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89DB8" w14:textId="6D43C35E" w:rsidR="00A43548" w:rsidRPr="008C35AA" w:rsidRDefault="008C35AA" w:rsidP="002E4B2E">
      <w:pPr>
        <w:spacing w:line="360" w:lineRule="auto"/>
        <w:rPr>
          <w:rFonts w:ascii="Times New Roman" w:hAnsi="Times New Roman" w:cs="Times New Roman"/>
          <w:sz w:val="24"/>
          <w:szCs w:val="24"/>
        </w:rPr>
      </w:pPr>
      <w:r>
        <w:rPr>
          <w:rFonts w:ascii="Times New Roman" w:hAnsi="Times New Roman" w:cs="Times New Roman"/>
          <w:sz w:val="24"/>
          <w:szCs w:val="24"/>
          <w:lang w:val="en-GB"/>
        </w:rPr>
        <w:t>D</w:t>
      </w:r>
      <w:bookmarkStart w:id="0" w:name="cysill"/>
      <w:bookmarkEnd w:id="0"/>
      <w:r>
        <w:rPr>
          <w:rFonts w:ascii="Times New Roman" w:hAnsi="Times New Roman" w:cs="Times New Roman"/>
          <w:sz w:val="24"/>
          <w:szCs w:val="24"/>
          <w:lang w:val="en-GB"/>
        </w:rPr>
        <w:t>iben yr aseiniad yma yw amlinellu cyfrifoldebau trawsgwricwlaidd o fewn y meysydd llythrennedd, rhifedd a chymhwysedd digidol yn y cwricwlwm cenedlaethol. Adlewyrchir profiad addysgu proffesiynol agwedd ddefnyddiol o ymrwymiad llythrennedd, rhifedd a chymhwysedd digidol yn drawsgwricwlaidd yn y Cyfnod sylfaen, o ganlyniad bwriedir ffocysu’r drafodaeth ar flwyddyn dau. Ysbrydolir y profiadau personol i ymdrin ag ymateb i ddadlau damcaniaethwyr ar gyfrifoldebau'r tri maes dysgu yn drawsgwricwlaidd. Cytuna Hadow (1931) efo damcaniaeth Dewey (1902) a chyfrifoldeb gweithgaredd a phrofiad yn hytrach na gwybodaeth i'w chaffael a ffeithiau i'w didoli. Ychwanegir Dewey (1902) anfantais o ddysgu’n drawsgwricwlaidd gan gredu Nid oes unrhyw fudd o greu gwrthwynebiad ‘ffug’ rhwng meysydd dysgu a'r plentyn fel ffocws ar gyfer y cwricwlwm.</w:t>
      </w:r>
      <w:r>
        <w:rPr>
          <w:rFonts w:ascii="Times New Roman" w:hAnsi="Times New Roman" w:cs="Times New Roman"/>
          <w:sz w:val="24"/>
          <w:szCs w:val="24"/>
          <w:lang w:val="en-GB"/>
        </w:rPr>
        <w:br/>
        <w:t>Anghytunir gan fodelau dysgu’n drawsgwricwlaidd Barnes (2015) ac ategir dylai athrawon dysgu’n drawsgwricwlaidd yn bleserus, yn ysgogi ac yn gallu adeiladu perthnasedd sy’n gysylltiedig â'r cwricwlwm. Dadleua Robinson ac Aronica (2015) bod yr effaith o ddysgu’n drawsgwricwlaidd yn ymddangos yn gul. Gwrthgyferbynnir rhai a chredir bod amrywiaeth o fuddion megis “Gall cynllunio trawsgwricwlaidd sicrhau cynnydd mewn llythrennedd a rhifedd” (Llywodraeth Cymru, 2014, t. 10).</w:t>
      </w:r>
    </w:p>
    <w:p w14:paraId="431E41DC" w14:textId="47F1F85C" w:rsidR="008E0176" w:rsidRPr="008C35AA" w:rsidRDefault="008C35AA" w:rsidP="002E4B2E">
      <w:pPr>
        <w:spacing w:line="360" w:lineRule="auto"/>
        <w:rPr>
          <w:rStyle w:val="tlid-translation"/>
          <w:rFonts w:ascii="Times New Roman" w:hAnsi="Times New Roman" w:cs="Times New Roman"/>
          <w:sz w:val="24"/>
          <w:szCs w:val="24"/>
          <w:lang w:val="en"/>
        </w:rPr>
      </w:pPr>
      <w:r>
        <w:rPr>
          <w:rFonts w:ascii="Times New Roman" w:hAnsi="Times New Roman" w:cs="Times New Roman"/>
          <w:sz w:val="24"/>
          <w:szCs w:val="24"/>
          <w:lang w:val="en-GB"/>
        </w:rPr>
        <w:t>Disgwylia Donaldson (2015) bod ei bedwar diben yn cael eu selio ar chwe maes dysgu a phrofiad yn ymrwymo’n drawsgwricwlaidd efo'r tri chyfrifoldeb llythrennedd, rhifedd a chymhwysedd digidol. Adlewyrchir hyn yn ehangach yn argymhellion chwech a saith, dywed dylai llythrennedd, rhifedd a chymhwysedd digidol fod gyfrifoldebau trawsgwricwlaidd i athrawon a’r dysgwyr. Ychwanegir dylai hymgorffori’r tri o fewn y chwe maes dysgu. Cefnoga Dearing (1994 dyfynnwyd yn Siraj-Blatchford a Siraj-Blatchford 1995) ar bwysigrwydd rhifedd a llythrennedd trwy awgrymu bod dysgwyr ysgol gynradd sy’n gadael yr ysgol heb afael gadarn sylfaenol ar rifedd a llythrennedd yn dylanwadu agwedd negyddol yn eu dyfodol. Enillais brofiad yn yr hyn a ddywed Daering (1994) am effaith rhifedd a llythrennedd, gwelais fod diffyg ymdrech a gwybodaeth o rifedd a llythrennedd yn y dysgwyr yn effeithio’n negyddol ar feysydd gwahanol sy’n ymdrin â’r ddau.</w:t>
      </w:r>
    </w:p>
    <w:p w14:paraId="05839935" w14:textId="6AA8A327" w:rsidR="00812D22" w:rsidRPr="008C35AA" w:rsidRDefault="008C35AA" w:rsidP="002E4B2E">
      <w:pPr>
        <w:spacing w:line="360" w:lineRule="auto"/>
        <w:rPr>
          <w:rFonts w:ascii="Times New Roman" w:hAnsi="Times New Roman" w:cs="Times New Roman"/>
          <w:sz w:val="24"/>
          <w:szCs w:val="24"/>
        </w:rPr>
      </w:pPr>
      <w:r>
        <w:rPr>
          <w:rFonts w:ascii="Times New Roman" w:hAnsi="Times New Roman" w:cs="Times New Roman"/>
          <w:sz w:val="24"/>
          <w:szCs w:val="24"/>
          <w:lang w:val="en-GB"/>
        </w:rPr>
        <w:t xml:space="preserve">Wedi’r cyfan, gwelir cysylltiad yn damcan Dole (2015) bod cyfranogiad Cymhwysedd digidol yn berthnasol i bob maes dysgu yn ogystal â llythrennedd i gyfiawnhau argymhellion Donaldson (2015) ac Yr Adran Addysg a Sgiliau (2014) o sicrhau bod pwrpas i bob gweithgaredd. Diddorol hefyd yw cyfeirio at ganlyniadau gwaith ymchwil Morrison (1994) fel rhan â chysylltiad pob plentyn yng nghwricwlwm Lloegr a Chymru, maent am amlinellu pwysigrwydd pynciau craidd ac academaidd. Caiff themâu trawsgwricwlaidd osod ar waelod </w:t>
      </w:r>
      <w:r>
        <w:rPr>
          <w:rFonts w:ascii="Times New Roman" w:hAnsi="Times New Roman" w:cs="Times New Roman"/>
          <w:sz w:val="24"/>
          <w:szCs w:val="24"/>
          <w:lang w:val="en-GB"/>
        </w:rPr>
        <w:lastRenderedPageBreak/>
        <w:t>yr ysgol heb ddiffyg sicrhau eu bod yn dod o hyd i le yng nghwricwlwm yr ysgol. Credir dylai gosod cydraddoldeb cyson ym mhob pwnc/maes dysgu trwy gydol yr ysgol i sicrhau osgoi ‘cwrlwicwm pwnc seiliedig ac academaidd’ sy’n dibynnu ar un peth yn unig. Does dim amheuaeth bod yr agwedd bresennol hynny yn ystyried argymhellion Donladson (2015) wrth addysgu’r tri chyfrifoldeb yn drawsgwricwlaidd ar gyfer y dyfodol llwyddiannus.</w:t>
      </w:r>
    </w:p>
    <w:p w14:paraId="55DB4B2F" w14:textId="4BF285DB" w:rsidR="00C7330C" w:rsidRPr="008C35AA" w:rsidRDefault="008C35AA" w:rsidP="002E4B2E">
      <w:pPr>
        <w:spacing w:line="360" w:lineRule="auto"/>
        <w:rPr>
          <w:rFonts w:ascii="Times New Roman" w:hAnsi="Times New Roman" w:cs="Times New Roman"/>
          <w:sz w:val="24"/>
          <w:szCs w:val="24"/>
        </w:rPr>
      </w:pPr>
      <w:r>
        <w:rPr>
          <w:rFonts w:ascii="Times New Roman" w:hAnsi="Times New Roman" w:cs="Times New Roman"/>
          <w:sz w:val="24"/>
          <w:szCs w:val="24"/>
          <w:lang w:val="en-GB"/>
        </w:rPr>
        <w:t xml:space="preserve">Datblygir amrywiaeth o sgiliau wrth ystyried ffynonellau Rowely a Cooper  (2009) megis sgiliau rhesymu, gwrando, creadigrwydd, meddwl, ysgrifennu a chyfathrebu. Yn ôl </w:t>
      </w:r>
      <w:bookmarkStart w:id="1" w:name="_Hlk531539699"/>
      <w:r w:rsidR="004D13A4" w:rsidRPr="004D13A4">
        <w:rPr>
          <w:rFonts w:ascii="Times New Roman" w:hAnsi="Times New Roman" w:cs="Times New Roman"/>
          <w:sz w:val="24"/>
          <w:szCs w:val="24"/>
        </w:rPr>
        <w:fldChar w:fldCharType="begin"/>
      </w:r>
      <w:r w:rsidR="004D13A4" w:rsidRPr="004D13A4">
        <w:rPr>
          <w:rFonts w:ascii="Times New Roman" w:hAnsi="Times New Roman" w:cs="Times New Roman"/>
          <w:sz w:val="24"/>
          <w:szCs w:val="24"/>
        </w:rPr>
        <w:instrText xml:space="preserve"> HYPERLINK "https://www.google.co.uk/search?tbo=p&amp;tbm=bks&amp;q=inauthor:%22Gary+Flewelling%22&amp;source=gbs_metadata_r&amp;cad=2" </w:instrText>
      </w:r>
      <w:r w:rsidR="004D13A4" w:rsidRPr="004D13A4">
        <w:rPr>
          <w:rFonts w:ascii="Times New Roman" w:hAnsi="Times New Roman" w:cs="Times New Roman"/>
          <w:sz w:val="24"/>
          <w:szCs w:val="24"/>
        </w:rPr>
        <w:fldChar w:fldCharType="separate"/>
      </w:r>
      <w:r w:rsidR="004D13A4" w:rsidRPr="004D13A4">
        <w:rPr>
          <w:rStyle w:val="Hyperlink"/>
          <w:rFonts w:ascii="Times New Roman" w:hAnsi="Times New Roman" w:cs="Times New Roman"/>
          <w:color w:val="auto"/>
          <w:sz w:val="24"/>
          <w:szCs w:val="24"/>
          <w:u w:val="none"/>
        </w:rPr>
        <w:t>Flewelling</w:t>
      </w:r>
      <w:r w:rsidR="004D13A4" w:rsidRPr="004D13A4">
        <w:rPr>
          <w:rFonts w:ascii="Times New Roman" w:hAnsi="Times New Roman" w:cs="Times New Roman"/>
          <w:sz w:val="24"/>
          <w:szCs w:val="24"/>
        </w:rPr>
        <w:fldChar w:fldCharType="end"/>
      </w:r>
      <w:r w:rsidR="004D13A4" w:rsidRPr="004D13A4">
        <w:rPr>
          <w:rFonts w:ascii="Times New Roman" w:hAnsi="Times New Roman" w:cs="Times New Roman"/>
          <w:sz w:val="24"/>
          <w:szCs w:val="24"/>
        </w:rPr>
        <w:t xml:space="preserve">, </w:t>
      </w:r>
      <w:hyperlink r:id="rId8" w:history="1">
        <w:r w:rsidR="004D13A4" w:rsidRPr="004D13A4">
          <w:rPr>
            <w:rStyle w:val="Hyperlink"/>
            <w:rFonts w:ascii="Times New Roman" w:hAnsi="Times New Roman" w:cs="Times New Roman"/>
            <w:color w:val="auto"/>
            <w:sz w:val="24"/>
            <w:szCs w:val="24"/>
            <w:u w:val="none"/>
          </w:rPr>
          <w:t xml:space="preserve"> Lind</w:t>
        </w:r>
      </w:hyperlink>
      <w:r w:rsidR="004D13A4" w:rsidRPr="004D13A4">
        <w:rPr>
          <w:rFonts w:ascii="Times New Roman" w:hAnsi="Times New Roman" w:cs="Times New Roman"/>
          <w:sz w:val="24"/>
          <w:szCs w:val="24"/>
        </w:rPr>
        <w:t xml:space="preserve"> a </w:t>
      </w:r>
      <w:hyperlink r:id="rId9" w:history="1">
        <w:r w:rsidR="004D13A4" w:rsidRPr="004D13A4">
          <w:rPr>
            <w:rStyle w:val="Hyperlink"/>
            <w:rFonts w:ascii="Times New Roman" w:hAnsi="Times New Roman" w:cs="Times New Roman"/>
            <w:color w:val="auto"/>
            <w:sz w:val="24"/>
            <w:szCs w:val="24"/>
            <w:u w:val="none"/>
          </w:rPr>
          <w:t xml:space="preserve"> Sauer</w:t>
        </w:r>
      </w:hyperlink>
      <w:bookmarkEnd w:id="1"/>
      <w:r w:rsidR="004D13A4">
        <w:rPr>
          <w:rStyle w:val="Hyperlink"/>
          <w:rFonts w:ascii="Times New Roman" w:hAnsi="Times New Roman" w:cs="Times New Roman"/>
          <w:color w:val="auto"/>
          <w:sz w:val="24"/>
          <w:szCs w:val="24"/>
          <w:u w:val="none"/>
        </w:rPr>
        <w:t xml:space="preserve"> </w:t>
      </w:r>
      <w:r w:rsidRPr="004D13A4">
        <w:rPr>
          <w:rFonts w:ascii="Times New Roman" w:hAnsi="Times New Roman" w:cs="Times New Roman"/>
          <w:sz w:val="24"/>
          <w:szCs w:val="24"/>
          <w:lang w:val="en-GB"/>
        </w:rPr>
        <w:t>(2013</w:t>
      </w:r>
      <w:r>
        <w:rPr>
          <w:rFonts w:ascii="Times New Roman" w:hAnsi="Times New Roman" w:cs="Times New Roman"/>
          <w:sz w:val="24"/>
          <w:szCs w:val="24"/>
          <w:lang w:val="en-GB"/>
        </w:rPr>
        <w:t>) enwir y math yma o weithgaredd yn ‘tasgau cyfoethog’. Arsylwais a ddysgais lawer o dasgau cyfoethog sy’n gorchuddio agwedd  trawsgwricwlaidd efo’r tri chyfrifoldeb. O brofiad, adlewyrchir amrywiaeth o agweddau positif megis datblygu sgiliau perthnasol o fewn y cwricwlwm, gweithgareddau sy’n addas i bawb, cyfleodd ymestynnol, creu penderfyniadau profi neu egluro, myfyrio a dadansoddi. Caiff yr agweddau hyn ei addasu i anghenion y dysgwyr, o ganlyniad adlewyrchir amrywiaeth o sgiliau a ffurf wahanol i drosglwyddo ac asesu elfennau o lythrennedd, rhifedd a chymhwysedd digidol o fewn weithgareddau.</w:t>
      </w:r>
    </w:p>
    <w:p w14:paraId="42CEB5F5" w14:textId="178AF80A" w:rsidR="00A43548" w:rsidRPr="008C35AA" w:rsidRDefault="008C35AA" w:rsidP="002E4B2E">
      <w:pPr>
        <w:spacing w:line="360" w:lineRule="auto"/>
        <w:rPr>
          <w:rFonts w:ascii="Times New Roman" w:hAnsi="Times New Roman" w:cs="Times New Roman"/>
          <w:sz w:val="24"/>
          <w:szCs w:val="24"/>
        </w:rPr>
      </w:pPr>
      <w:r>
        <w:rPr>
          <w:rFonts w:ascii="Times New Roman" w:hAnsi="Times New Roman" w:cs="Times New Roman"/>
          <w:sz w:val="24"/>
          <w:szCs w:val="24"/>
          <w:lang w:val="en-GB"/>
        </w:rPr>
        <w:t>Cynhwysa Rowely a Cooper (2009) sawl ffurf wahanol o drosglwyddo’r tri chyfrifoldeb megis ymholiad trwy chwarae, gymharu â myfyrio, ysgogi gan ymweliad a gofyn cwestiynau. Gweithredais yr hyn a nodir gan Rowely a Cooper yn ystod profiad addysgu proffesiynol wrth gynnwys sawl agwedd o’r tri chyfrifoldeb yn y ddarpariaeth barhaus. Yn ystod ymrwymiad cymhwysedd digidol, gwelais ddealltwriaeth fwy clir gan ddefnydd cyson o strategaeth bodiau, goleuadau traffig a chwestiynu. Amlyga hyn bod Cymhwysedd digidol yn fwy perthnasol ar draws y cwricwlwm ac o ganlyniad yn ymgysylltu’n fwy (Payton a Hague, 2010).  Amlinellir gan Barnes (2015) pwysigrwydd holi cwestiynau a chwilfrydedd wrth asesu. Trwy gyfuno'r mathau hyn o ymholiadau yn ystod y dysgu a'r addysgu, caiff integreiddio’r tri chyfrifoldeb dod yn naturiol i'r plant wrth ddysgu.</w:t>
      </w:r>
    </w:p>
    <w:p w14:paraId="7092F320" w14:textId="148ED0F5" w:rsidR="00A43548" w:rsidRPr="008C35AA" w:rsidRDefault="008C35AA" w:rsidP="002E4B2E">
      <w:pPr>
        <w:spacing w:line="360" w:lineRule="auto"/>
        <w:rPr>
          <w:rFonts w:ascii="Times New Roman" w:hAnsi="Times New Roman" w:cs="Times New Roman"/>
          <w:sz w:val="24"/>
          <w:szCs w:val="24"/>
          <w:highlight w:val="yellow"/>
        </w:rPr>
      </w:pPr>
      <w:r>
        <w:rPr>
          <w:rFonts w:ascii="Times New Roman" w:hAnsi="Times New Roman" w:cs="Times New Roman"/>
          <w:sz w:val="24"/>
          <w:szCs w:val="24"/>
          <w:lang w:val="en-GB"/>
        </w:rPr>
        <w:t xml:space="preserve">Nodir gan Yr Adran Addysg a Sgiliau (2013) dylen integreiddio ymagwedd asesu ar gyfer dysgu sef agwedd o ddeuddeg egwyddor bedagogaidd Donaldson (2015) ar draws y cwricwlwm, yn naturiol bydd hynny’n cyffwrdd ag fframwaith llythrennedd a rhifedd yn naturiol. Wrth asesu’n barhaus rhaid gosod gweithgareddau sy’n ymdrin â’r tri chyfrifoldeb ar lefel her a perthnasol y dysgwyr sy’n bwrpasol (Donaldson 2015). Fodd bynnag, dangosir Geiger, Good a Dole (2015) cysylltiadau hanfodol rhwng cyfranogiad Cymhwysedd digidol o fewn rhifedd megis yr hawl i fanteisio ar gyfleoedd i greu gweithgareddau sy'n berthnasol i </w:t>
      </w:r>
      <w:r>
        <w:rPr>
          <w:rFonts w:ascii="Times New Roman" w:hAnsi="Times New Roman" w:cs="Times New Roman"/>
          <w:sz w:val="24"/>
          <w:szCs w:val="24"/>
          <w:lang w:val="en-GB"/>
        </w:rPr>
        <w:lastRenderedPageBreak/>
        <w:t>bobl sy'n byw yn y byd presennol a thu hwnt. Wrth gynllunio dylid darparu cyfleoedd i ddysgwyr i ymgyfarwyddo a gwedd y profiad darllen a hynny’n drawsgwricwlaidd. Gweithredais hyn o fewn wers datblygu sgiliau meddwl ac emosiynol SEAL, darlennodd y dysgwyr ymarferion a senario go iawn a “deall y berthynas rhwng teimladau a gweithrediadau, a deall bod gan bobl eraill deimladau” (Yr adran addysg a sgiliau, 2015).  Ychwanegir dylai llythrennedd a rhifedd cael ei hymgorffori lle bynnag a phosib trwy asesu ar gyfer dysgu ond her yw sicrhau eu bod yn cael eu herio ym mhob pwnc i bob unigolyn.  Amlinella Estyn (anhysbys) pwysigrwydd o blethu’r tri chyfrifoldeb wrth gynnal cysondeb o heriau, argymhellir defnydd o godau lliw i heriau i ddynodi lefel yr her wrth gynnig cyfle i’r dysgwyr dewis pa her maent eisiau ei weithredu ynddo.</w:t>
      </w:r>
    </w:p>
    <w:p w14:paraId="7F0366E0" w14:textId="6BB1EA38" w:rsidR="00AF42FB" w:rsidRPr="008C35AA" w:rsidRDefault="008C35AA" w:rsidP="002E4B2E">
      <w:pPr>
        <w:spacing w:line="360" w:lineRule="auto"/>
        <w:rPr>
          <w:rFonts w:ascii="Times New Roman" w:hAnsi="Times New Roman" w:cs="Times New Roman"/>
          <w:sz w:val="24"/>
          <w:szCs w:val="24"/>
        </w:rPr>
      </w:pPr>
      <w:r>
        <w:rPr>
          <w:rFonts w:ascii="Times New Roman" w:hAnsi="Times New Roman" w:cs="Times New Roman"/>
          <w:sz w:val="24"/>
          <w:szCs w:val="24"/>
          <w:lang w:val="en-GB"/>
        </w:rPr>
        <w:t>Dadla Healy (1999) am bryderon ynghylch defnyddio cymhwysedd digidol yn wersi, Credir bod angen profiad byd go iawn yn hytrach na phrofiadau ‘ffug digidol’, atgyfnerthir gall athrawon yn manteisio’n ormod cymhwysedd digidol. Gwrthgyferbynnais fy mhrofiad efo Healy o hunanasesu ac asesu cyfoedion yn llwyddiannus trwy ddefnydd o holiaduron digidol. I oresgyn defnydd an-ddefnyddiol a anperthnasol o gymhwysedd digidol, argymhellaf fod athrawon yn cynllunio ar y cyd i sicrhau strwythur a defnydd llwyddiannus. Cytunir gan Newell (2012) bod defnydd cynllunio ar y cyd yn plethu syniadau synhwyrol o gynnal pwysigrwydd defnydd cymhwysedd digidol, megis bod yn caniatáu dysgwyr ymgysylltu â meysydd pwnc traddodiadol mewn ffyrdd newydd (Payton a Hague 2010).</w:t>
      </w:r>
    </w:p>
    <w:p w14:paraId="6DB00E49" w14:textId="35B39CB2" w:rsidR="00F540F7" w:rsidRPr="008C35AA" w:rsidRDefault="008C35AA" w:rsidP="002E4B2E">
      <w:pPr>
        <w:spacing w:line="360" w:lineRule="auto"/>
        <w:rPr>
          <w:rFonts w:ascii="Times New Roman" w:hAnsi="Times New Roman" w:cs="Times New Roman"/>
          <w:sz w:val="24"/>
          <w:szCs w:val="24"/>
        </w:rPr>
      </w:pPr>
      <w:r>
        <w:rPr>
          <w:rFonts w:ascii="Times New Roman" w:hAnsi="Times New Roman" w:cs="Times New Roman"/>
          <w:sz w:val="24"/>
          <w:szCs w:val="24"/>
          <w:lang w:val="en-GB"/>
        </w:rPr>
        <w:t xml:space="preserve">I sicrhau bod yr ymholiadau yn cael ei weithredu a’r asesu, amlinellir Llywodraeth Cymru (2015) trwy wella’r adnodd archwilio ysgolion maent o ganlyniad yn bodloni anghenion yn well gyflwyno’r Fframwaith ac asesu hyder athrawon. Atgyfnertha Llywodraeth Cymru (2015) broses clir ar gyfer hyder athrawon a sicrhau ansawdd, cysondeb a dibynadwyedd asesu. Amlinellir rolau a chyfrifoldebau o asesu sef Llywodraeth Cymru, Athrawon, awdurdodau lleol a gwirio allanol.  Ychwanega Llywodraeth Cymru (2016)  dylai ysgolion cyfrannu gyda’r awdurdod lleol a’r consortia rhanbarthol i asesu elfennau Cymhwysedd digidol i sicrhau a fyddai cyflawni agweddau’r Fframwaith yn safonol.  Cytuna Estyn (2018) a Llywodraeth Cymru (2015) pwysigrwydd o asesu hyder athrawon a’r fframwaith cymhwysedd digidol. Cynhwysir sawl cam i sicrhau bod asesu cysondeb yn cael ei weithredu megis dechrau efo cyfarfodydd cymedroli, yna’r penaethiaid yn cymeradwyo asesiadau athrawon a diweddu efo tystiolaeth efo cyflawniadau’r dysgwyr a’i ystyried mewn cyfarfodydd cymedroli. Adlewyrchir hyn safon safonol asesu athrawon yn gyffredinol ar gyfer pob maes pwnc yn y cyfnod sylfaen yn enwedig rhifedd, llythrennedd a chymhwysedd </w:t>
      </w:r>
      <w:r>
        <w:rPr>
          <w:rFonts w:ascii="Times New Roman" w:hAnsi="Times New Roman" w:cs="Times New Roman"/>
          <w:sz w:val="24"/>
          <w:szCs w:val="24"/>
          <w:lang w:val="en-GB"/>
        </w:rPr>
        <w:lastRenderedPageBreak/>
        <w:t>digidol i sicrhau eu bod ar y trywydd cywir.  Yn ystod y mapio cychwynnol, nodir gan Estyn (2018) canlyniad wan ar elfen gwerthuso megis hunanwerthusiad y dysgwyr yn ddigidol. Argymhellaf dylai’r Llywodraeth hybu cymhwysedd digidol wrth gyfrannu a chefnogi ysgolion wrth gynnal adnoddau digidol ar draws y dosbarthiadau. Ychwanegir Estyn (2018) dylai ysgolion wella’r adnodd archwilio wrth asesu hyder athrawon i gyflwyno’r Fframwaith.</w:t>
      </w:r>
    </w:p>
    <w:p w14:paraId="0E849A9B" w14:textId="460AC7ED" w:rsidR="00C82A82" w:rsidRPr="008C35AA" w:rsidRDefault="008C35AA" w:rsidP="002E4B2E">
      <w:pPr>
        <w:spacing w:line="360" w:lineRule="auto"/>
        <w:rPr>
          <w:rFonts w:ascii="Times New Roman" w:hAnsi="Times New Roman" w:cs="Times New Roman"/>
          <w:sz w:val="24"/>
          <w:szCs w:val="24"/>
        </w:rPr>
      </w:pPr>
      <w:r>
        <w:rPr>
          <w:rFonts w:ascii="Times New Roman" w:hAnsi="Times New Roman" w:cs="Times New Roman"/>
          <w:sz w:val="24"/>
          <w:szCs w:val="24"/>
          <w:lang w:val="en-GB"/>
        </w:rPr>
        <w:t>Cysylltir y cysyniad o hunanwerthuso’n ddigidol efo’r tri chyfrifoldeb trwy ymrwymiad Nokelainen (2006) o gynnwys holiadur hunan-raddfa ar ei gwaith. Cynhwysir tair elfen llythrennedd sef darllen, ysgrifennu a llafar wrth drafod y gwerthusiad. Caiff gweithred datblygiad sgiliau digidol yn annibynnol yn ystod y strategaeth hon a fydd yn enyn diddordeb y dysgwyr. Trwy ystyried gofynion  Llywodraeth Cymru (2015) bwriedir cyrraedd deilliant 5 ym mlwyddyn dau a’r gallu i gymryd rhan mewn trafodaethau ac yn rhannu gwybodaeth i gwblhau tasg. Wrth ddarllen ac ysgrifennu nodir dylai cysylltu profiadau personol a defnyddio’r hyn maent yn ei wybod i sillafu geiriau aml yn ystod yr hunanwerthusiad. Daw enghraifft o asesiad trawsgwricwlaidd Nokelainen (2006) o fudd yng ngeiriau Burke a Maddigan (2004, dyfynnwyd yn Bearne a Reedy 2018) credir bod llythrennedd digidol iach yn nod allweddol o gysylltiad gofynion Donaldson (2015). Mae'r addysgu bwriadol o'r sgiliau hyn yng nghyd-destun y maes pwnc maent yn perthyn yn cryfhau meistrolaeth plant o lythrennedd. Amlinella Yr Adran Addysg a Sgiliau (2013) integreiddiad naturiol ynglŷn â’r Tri llinyn llythrenned pedwar llinyn rhifedd. Enghraifft o hyn yw bod angen sgiliau darllen er mwyn darllen cwestiwn rhifedd a’i ateb yn ysgrifenedig a pharatoi ar gyfer asesu a dealltwriaeth y profion cenedlaethol. Adlewyrchir o brofiad  bod sgiliau siarad a gwrando, darllen ac ysgrifennu yn sgiliau generig, sy’n plethu ar draws y cwricwlwm. Cofnodais yn ystod profiad addysgu proffesiynol bod sgiliau yn ymrwymo i botensial llawn yn ystod cynhwysiad gweithgareddau sy’n ymwneud a Chymhwysedd digidol. Cytunir Didau (2014) bod fideos a appiau yn ystod gwersi yn cefnogi iaith y plant wrth ddarllen a datblygu geirfa newydd. Dadleuir gan Healy (1999) ennyn y pryderon am ddefnydd cymhwysedd digidol plant , credir bod angen profiad byd-eang arnynt ac ni fydd yn adeiladu 'cyhyrau deallus'. Ychwanegir Barnes (2015) bod y tri chyfrifoldeb datblygiad sgiliau llythrennedd y dysgwyr wrth gynnal trafodaethau dosbarth megis gwerthuso’r dasg neu esbonio a chwestiynu cyfarwyddiadau.</w:t>
      </w:r>
    </w:p>
    <w:p w14:paraId="0856D441" w14:textId="79D67A78" w:rsidR="006D22C6" w:rsidRPr="008C35AA" w:rsidRDefault="008C35AA" w:rsidP="002E4B2E">
      <w:pPr>
        <w:spacing w:line="360" w:lineRule="auto"/>
        <w:rPr>
          <w:rFonts w:ascii="Times New Roman" w:hAnsi="Times New Roman" w:cs="Times New Roman"/>
          <w:sz w:val="24"/>
          <w:szCs w:val="24"/>
        </w:rPr>
      </w:pPr>
      <w:r>
        <w:rPr>
          <w:rFonts w:ascii="Times New Roman" w:hAnsi="Times New Roman" w:cs="Times New Roman"/>
          <w:sz w:val="24"/>
          <w:szCs w:val="24"/>
          <w:lang w:val="en-GB"/>
        </w:rPr>
        <w:t xml:space="preserve">Anwybyddir cyfrifoldeb o blethu Cymhwysedd dysgu yn ystod profiad addysgu proffesiynol megis rhwystr amlwg sef gwybodaeth pwnc yr athrawon. Dangosir Geiger, Good a Dole (2015) rôl bwysig offer digidol wrth feithrin arferion rhifedd cyfoethog. Mesurais ganlyniad </w:t>
      </w:r>
      <w:r>
        <w:rPr>
          <w:rFonts w:ascii="Times New Roman" w:hAnsi="Times New Roman" w:cs="Times New Roman"/>
          <w:sz w:val="24"/>
          <w:szCs w:val="24"/>
          <w:lang w:val="en-GB"/>
        </w:rPr>
        <w:lastRenderedPageBreak/>
        <w:t>ddiffyg arweiniad ac adnoddau i gefnogi dysgu Cymhwysedd digidol yn drawsgwricwlaidd yn ystod fy mhrofiad, fel cynutir gan Estyn (2018).</w:t>
      </w:r>
    </w:p>
    <w:p w14:paraId="2E88CCE3" w14:textId="7FF30BEC" w:rsidR="00095F72" w:rsidRPr="008C35AA" w:rsidRDefault="008C35AA" w:rsidP="002E4B2E">
      <w:pPr>
        <w:spacing w:line="360" w:lineRule="auto"/>
        <w:rPr>
          <w:rFonts w:ascii="Times New Roman" w:hAnsi="Times New Roman" w:cs="Times New Roman"/>
          <w:sz w:val="24"/>
          <w:szCs w:val="24"/>
        </w:rPr>
      </w:pPr>
      <w:r>
        <w:rPr>
          <w:rFonts w:ascii="Times New Roman" w:hAnsi="Times New Roman" w:cs="Times New Roman"/>
          <w:sz w:val="24"/>
          <w:szCs w:val="24"/>
          <w:lang w:val="en-GB"/>
        </w:rPr>
        <w:t>Gwelais ddefnydd o integreiddio cymhwysedd digidol a rhifedd yn fwy aml na meysydd dysgu eraill.  Er mwyn canfod ffyrdd sy'n ymestyn arfer o ansawdd mewn rhifedd y tu hwnt i eithriadol mae rhaid sicrhau  gwybodaeth safonol pwnc athrawon, ond dangosir yn ddiffygiol gan Geiger, Good a Dole (2015). Dadla Pound a Lee (2010) bod cynyddiad o fewn gwybodaeth pwnc athrawon yn gymhwysedd digidol ond anghytunir Estyn (2018) efo chefnogaeth  Ofsed (2009) a dywed bod gwybodaeth bynciol athrawon mewn cymhwysedd digidol yn parhau i amrywio. Ychwanegir gall y pwnc achosi rhwystrau i athrawon oherwydd ei ofynion technegol yn ogystal â gofynion pedagogaidd. Bwriadaf i integreiddio Cymhwysed digidol yn ochr yn ochr efo llythrenned a rhifedd yn fy ngwersi yn gyson, megis pwyslais Donaldson (2015) a’r cyfrifoldeb o Gymhwysedd digidol yn y presennol ac enwedig y dyfodol. Amlinella Geiger, Good a Dole (2015) i gymryd mantais o integreiddio cymhwysedd digidol efo llythrennedd a rhifedd oherwydd maent yn berthnasol i’r bywyd go iawn.</w:t>
      </w:r>
    </w:p>
    <w:p w14:paraId="0B233D65" w14:textId="35CF5ABE" w:rsidR="00A43548" w:rsidRPr="008C35AA" w:rsidRDefault="008C35AA" w:rsidP="002E4B2E">
      <w:pPr>
        <w:spacing w:line="360" w:lineRule="auto"/>
        <w:rPr>
          <w:rFonts w:ascii="Times New Roman" w:hAnsi="Times New Roman" w:cs="Times New Roman"/>
          <w:sz w:val="24"/>
          <w:szCs w:val="24"/>
        </w:rPr>
      </w:pPr>
      <w:r>
        <w:rPr>
          <w:rFonts w:ascii="Times New Roman" w:hAnsi="Times New Roman" w:cs="Times New Roman"/>
          <w:sz w:val="24"/>
          <w:szCs w:val="24"/>
          <w:lang w:val="en-GB"/>
        </w:rPr>
        <w:t>Wrth gyfeirio yn ôl i hyder athrawon, dywed Didau (2014) bod diffyg hyder a gwybodaeth yn rhwystr sy’n ymddangos yn aml. Pwysleisia Beswic, Watson a Brown (2006) bod diffyg gwybodaeth a hyder mewn sgiliau rhifedd athrawon yn cael eu heffeithio ar ganlyniadau'r dysgwyr. Adlewyrchir bod un ar ddeg allan o ddeugain athro yn hyderus ynghylch eu gallu i ddefnyddio mathemateg ar gyfer tasgau pob dydd, ac roeddent yn argyhoeddedig o bwysigrwydd rhifedd. Cyfeirir gan Amadio (2013) dylen roi sylw i gymhwyso gwybodaeth a sgiliau i sefyllfaoedd bywyd go iawn. Ychwanegir bod rhifedd, llythrennedd a chymhwysedd digidol yn fwy tebygol o ddod i ddefnydd mewn sefyllfaoedd go iawn. Canfu Askew (2011) bod sawl disgybl yn gadael addysg gynradd efo diffyg gwybodaeth yn y tri chyfrifoldeb yma, pwysleisir  ar ddiffyg gwybodaeth pwnc yr athrawon. Does dim amheuaeth bod cyfrifoldeb hanfodol ar wybodaeth pwnc yr athrawon i ddylanwadu’n positif ar lefel canlyniad a pherfformiad y dysgwyr.</w:t>
      </w:r>
    </w:p>
    <w:p w14:paraId="393FE50E" w14:textId="696EC5ED" w:rsidR="003B173C" w:rsidRPr="008C35AA" w:rsidRDefault="008C35AA" w:rsidP="002E4B2E">
      <w:pPr>
        <w:spacing w:line="360" w:lineRule="auto"/>
        <w:rPr>
          <w:rFonts w:ascii="Times New Roman" w:hAnsi="Times New Roman" w:cs="Times New Roman"/>
          <w:sz w:val="24"/>
          <w:szCs w:val="24"/>
          <w:highlight w:val="magenta"/>
        </w:rPr>
      </w:pPr>
      <w:r>
        <w:rPr>
          <w:rFonts w:ascii="Times New Roman" w:hAnsi="Times New Roman" w:cs="Times New Roman"/>
          <w:sz w:val="24"/>
          <w:szCs w:val="24"/>
          <w:lang w:val="en-GB"/>
        </w:rPr>
        <w:t xml:space="preserve">Yn ystod profiad dysgu proffesiynol, tystiais fod rhan fwyaf o ddosbarthiadau yn cynnwys strwythur a threfn arferol o fathemateg a Saesneg bob bore ac ymgais wael o ddysgu trawsgwricwlaidd a chyfranogiad cymhwysedd digidol. Adlewyrchir yr ailadroddiad dyddiol hwn ar ddiffyg gwybodaeth y dysgwyr a’r athrawon megis strwythur cul sy’n osgoi rhyddid a’r gallu i ddatblygu gwybodaeth a dealltwriaeth mewn agweddau a phynciau eraill. Cefnoga </w:t>
      </w:r>
      <w:r>
        <w:rPr>
          <w:rFonts w:ascii="Times New Roman" w:hAnsi="Times New Roman" w:cs="Times New Roman"/>
          <w:sz w:val="24"/>
          <w:szCs w:val="24"/>
          <w:lang w:val="en-GB"/>
        </w:rPr>
        <w:lastRenderedPageBreak/>
        <w:t>Barnes (2015) bod rhan fwyaf o'r ysgol yn cael yr un strwythur o gynnwys pynciau a gwersi unigol sy’n rhoi ychydig llai amser i bynciau eraill. Gwrthgyferbynnir hyn ag argymhellion Donaldson (2015) a gwehyddiad o’r tri chyfrifoldeb ar draws y cwricwlwm. Argymhellir dylai athrawon cynllunio ar y cyd er mwyn ymestyn pob maes dysgu yn hafal efo plethiad o’r tri chyfrifoldeb.</w:t>
      </w:r>
    </w:p>
    <w:p w14:paraId="38E7BA0D" w14:textId="7C7B07D3" w:rsidR="00D36323" w:rsidRPr="008C35AA" w:rsidRDefault="008C35AA" w:rsidP="002E4B2E">
      <w:pPr>
        <w:spacing w:line="360" w:lineRule="auto"/>
        <w:rPr>
          <w:rFonts w:ascii="Times New Roman" w:hAnsi="Times New Roman" w:cs="Times New Roman"/>
          <w:sz w:val="24"/>
          <w:szCs w:val="24"/>
        </w:rPr>
      </w:pPr>
      <w:r>
        <w:rPr>
          <w:rFonts w:ascii="Times New Roman" w:hAnsi="Times New Roman" w:cs="Times New Roman"/>
          <w:sz w:val="24"/>
          <w:szCs w:val="24"/>
          <w:lang w:val="en-GB"/>
        </w:rPr>
        <w:t>Dywed Aubrey (1997) bod gwybodaeth dda o faes pwnc Mathemateg yn chwarae elfen allweddol o godi safon yn yr ystafell ddosbarth. Dadla Hadow (1931) a chredir bod ‘gwneud’ yn fwy pwysig na ‘gwybod’. Gosodir gan Donaldson (2015) arwyddion clir o ennill unigion iach a hyderus sy’n gysylltiedig â damcaniaeth Hadow trwy integreiddio’r tri chyfrifoldeb trwy gydol yr ysgol. Dangosa Aubery bod rhwystr anhygoel integreiddio’r tri chyfrifoldeb a’i dysgu’n drawsgwricwlaidd, hynny yw bod athrawon yn 1990au yn fwy hyderus mewn gwybodaeth bwnc unigol ac yn ddiffyg gwybodaeth mewn meysydd eraill megis chwe maes dysgu Donaldson. Amlinella Aubrey (1997) bod plant ac athrawon yn llai hyderus ac yn poeni wrth addysgu a dysgu mathemateg nag iaith, felly'r nod yw gweu rhifedd o fewn y meysydd dysgu heb roi pwysau arnynt. Cefnogir gan Pound a Lee (2010) bod dysgu rhifedd yn drawsgwricwlaidd yn hytrach fel ‘maes unigol’, maent yn llai heriol ac ystyrlon.</w:t>
      </w:r>
    </w:p>
    <w:p w14:paraId="7E3ABA1F" w14:textId="76FCF14E" w:rsidR="00B60972" w:rsidRPr="008C35AA" w:rsidRDefault="008C35AA" w:rsidP="002E4B2E">
      <w:pPr>
        <w:spacing w:before="240" w:line="360" w:lineRule="auto"/>
        <w:rPr>
          <w:rFonts w:ascii="Times New Roman" w:hAnsi="Times New Roman" w:cs="Times New Roman"/>
          <w:sz w:val="24"/>
          <w:szCs w:val="24"/>
        </w:rPr>
      </w:pPr>
      <w:r>
        <w:rPr>
          <w:rFonts w:ascii="Times New Roman" w:hAnsi="Times New Roman" w:cs="Times New Roman"/>
          <w:sz w:val="24"/>
          <w:szCs w:val="24"/>
          <w:lang w:val="en-GB"/>
        </w:rPr>
        <w:t>Atega Golding, Rowland a Barber (2002, dyfynnwyd yn Pound a Lee 2010) os yw gwybodaeth athrawon neu hyder yn eu gwendid, yna mae ceisio weithredu yn anoddach. Os gosodir sgil/maes dysgu yng nghyd-destun meysydd dysgu eraill, cefnogir dealltwriaeth y plant efo profiadau perthnasol a'i chysylltu efo amrywiaeth o sgiliau eraill. Er mwyn llwyddo'r hyn sydd angen, argymhellaf i fynychu cyrsiau neu hyfforddiant athrawon sy’n arbenigo yn y tri chyfrifoldeb. Cytunir Estyn (2018) dylai ysgolion penodi arweinydd digidol ar gyfer cefnogaeth i fonitro datblygiadau’n rheolaidd. Amlygir gan Gross (2013) bod iaith yn fwy pwysig efo cyfraniad cymhwysedd digidol, o ganlyniad bydd uwch arweinwyr digidol yn fuddiol iawn i’r ysgol gyfan. Argymhellaf hefyd dylai awdurdodau lleol a chonsortia rhanbarthol herio cynnydd cyfyngedig trwy fonitro safon yr ysgolion â gwireddu’r Fframwaith (Estyn, 2018). Gellir cynnwys ymweliadau allanol yn gyson i werthuso gwendidau o gynnwys y tri chyfrifoldeb a’i thrafod fel ysgol gyfan er mwyn cyfrannu syniadau perthnasol megis Wythnos fenter i ddatblygu sgiliau gwan y dysgwyr trwy weithgareddau hwyl (Donaldson, 2015). Ychwanegir Department for children, schools and families (2010)  bod gweithgareddau sy'n seiliedig ar wythnos fenter yn cryfhau ymgysylltiad disgyblion ac ystod o feysydd a dealltwriaeth glir ohonynt.</w:t>
      </w:r>
      <w:r w:rsidR="004D3FBA">
        <w:rPr>
          <w:rFonts w:ascii="Times New Roman" w:hAnsi="Times New Roman" w:cs="Times New Roman"/>
          <w:sz w:val="24"/>
          <w:szCs w:val="24"/>
          <w:lang w:val="en-GB"/>
        </w:rPr>
        <w:t xml:space="preserve"> Trosglwyddir hyn hyder a </w:t>
      </w:r>
      <w:r w:rsidR="004D3FBA">
        <w:rPr>
          <w:rFonts w:ascii="Times New Roman" w:hAnsi="Times New Roman" w:cs="Times New Roman"/>
          <w:sz w:val="24"/>
          <w:szCs w:val="24"/>
          <w:lang w:val="en-GB"/>
        </w:rPr>
        <w:lastRenderedPageBreak/>
        <w:t>sicrwydd ar gyfer yr athrawon wrth iddyn ymdopi ac edrych ar syniadau newydd wrth arsylwi athrawon eraill yn yr un amgylchedd sy’n addysgu’n trawsgwricwlaidd.</w:t>
      </w:r>
    </w:p>
    <w:p w14:paraId="3174839E" w14:textId="344B3E74" w:rsidR="00B60972" w:rsidRDefault="008C35AA" w:rsidP="002E4B2E">
      <w:pPr>
        <w:spacing w:before="240" w:line="360" w:lineRule="auto"/>
        <w:rPr>
          <w:rFonts w:ascii="Times New Roman" w:hAnsi="Times New Roman" w:cs="Times New Roman"/>
          <w:sz w:val="24"/>
          <w:szCs w:val="24"/>
          <w:lang w:val="en-GB"/>
        </w:rPr>
      </w:pPr>
      <w:r>
        <w:rPr>
          <w:rFonts w:ascii="Times New Roman" w:hAnsi="Times New Roman" w:cs="Times New Roman"/>
          <w:sz w:val="24"/>
          <w:szCs w:val="24"/>
          <w:lang w:val="en-GB"/>
        </w:rPr>
        <w:t>Ceir llawer cam gwag trwy sefyll yn llonydd felly gyda’n gilydd a than arweiniad cynllun trawsgwricwlaidd, caiff disgwyliadau ysgolion ei godi wrth ystyried dysgu rhifedd, llythrennedd a chymhwysedd digidol yn gyfrifoldebau trawsgwricwlaidd ar draws y meysydd dysgu</w:t>
      </w:r>
      <w:r w:rsidR="00F0378C">
        <w:rPr>
          <w:rFonts w:ascii="Times New Roman" w:hAnsi="Times New Roman" w:cs="Times New Roman"/>
          <w:sz w:val="24"/>
          <w:szCs w:val="24"/>
          <w:lang w:val="en-GB"/>
        </w:rPr>
        <w:t xml:space="preserve"> (Donaldson, 2015).</w:t>
      </w:r>
    </w:p>
    <w:p w14:paraId="223224AA" w14:textId="77777777" w:rsidR="00A8156F" w:rsidRPr="00417D6C" w:rsidRDefault="00A8156F" w:rsidP="002E4B2E">
      <w:pPr>
        <w:spacing w:before="240" w:line="360" w:lineRule="auto"/>
        <w:rPr>
          <w:rFonts w:ascii="Times New Roman" w:hAnsi="Times New Roman" w:cs="Times New Roman"/>
        </w:rPr>
      </w:pPr>
    </w:p>
    <w:p w14:paraId="0ECDEF01" w14:textId="5D5EE3A3" w:rsidR="00A43548" w:rsidRDefault="00A43548" w:rsidP="00A43548"/>
    <w:p w14:paraId="1187AF98" w14:textId="6B63E923" w:rsidR="00D75A8F" w:rsidRPr="003B173C" w:rsidRDefault="00D75A8F" w:rsidP="00D75A8F">
      <w:pPr>
        <w:spacing w:line="360" w:lineRule="auto"/>
        <w:rPr>
          <w:rFonts w:cstheme="minorHAnsi"/>
        </w:rPr>
      </w:pPr>
    </w:p>
    <w:p w14:paraId="08EE7926" w14:textId="47AAA084" w:rsidR="00C7330C" w:rsidRDefault="002647EA" w:rsidP="00C7330C">
      <w:pPr>
        <w:spacing w:line="240" w:lineRule="auto"/>
      </w:pPr>
      <w:r>
        <w:t xml:space="preserve"> </w:t>
      </w:r>
    </w:p>
    <w:p w14:paraId="264D8F54" w14:textId="03F8AA0F" w:rsidR="00694B71" w:rsidRDefault="00694B71" w:rsidP="00694B71">
      <w:pPr>
        <w:spacing w:line="240" w:lineRule="auto"/>
      </w:pPr>
    </w:p>
    <w:p w14:paraId="6D9CB7BE" w14:textId="77777777" w:rsidR="0034567D" w:rsidRDefault="0034567D" w:rsidP="005976EB">
      <w:pPr>
        <w:spacing w:line="240" w:lineRule="auto"/>
      </w:pPr>
    </w:p>
    <w:p w14:paraId="600B8224" w14:textId="754D1430" w:rsidR="007407A9" w:rsidRDefault="007407A9" w:rsidP="007407A9"/>
    <w:p w14:paraId="290C77BD" w14:textId="5E5A62B4" w:rsidR="00D55A59" w:rsidRDefault="00D55A59" w:rsidP="007407A9"/>
    <w:p w14:paraId="4C897373" w14:textId="501ED75F" w:rsidR="00D55A59" w:rsidRDefault="00D55A59" w:rsidP="007407A9"/>
    <w:p w14:paraId="4A39341F" w14:textId="0F917696" w:rsidR="00D55A59" w:rsidRDefault="00D55A59" w:rsidP="007407A9"/>
    <w:p w14:paraId="5A7F0C7E" w14:textId="570F19DC" w:rsidR="00D55A59" w:rsidRDefault="00D55A59" w:rsidP="007407A9"/>
    <w:p w14:paraId="795FEFD3" w14:textId="708068DC" w:rsidR="00D55A59" w:rsidRDefault="00D55A59" w:rsidP="007407A9"/>
    <w:p w14:paraId="0943BFD4" w14:textId="0722DDE5" w:rsidR="00D55A59" w:rsidRDefault="00D55A59" w:rsidP="007407A9"/>
    <w:p w14:paraId="5FA73E4E" w14:textId="2E0E254E" w:rsidR="00D55A59" w:rsidRDefault="00D55A59" w:rsidP="007407A9"/>
    <w:p w14:paraId="6FB9FB8C" w14:textId="4CF41E5F" w:rsidR="00D55A59" w:rsidRDefault="00D55A59" w:rsidP="007407A9"/>
    <w:p w14:paraId="4C3E0DBC" w14:textId="03A1BC5E" w:rsidR="00D55A59" w:rsidRDefault="00D55A59" w:rsidP="007407A9"/>
    <w:p w14:paraId="6EC4182B" w14:textId="73E02866" w:rsidR="00D55A59" w:rsidRDefault="00D55A59" w:rsidP="007407A9"/>
    <w:p w14:paraId="797AB7C7" w14:textId="73E94EB1" w:rsidR="00D55A59" w:rsidRDefault="00D55A59" w:rsidP="007407A9"/>
    <w:p w14:paraId="587CD0D0" w14:textId="4763A6C9" w:rsidR="00D55A59" w:rsidRDefault="00D55A59" w:rsidP="007407A9"/>
    <w:p w14:paraId="55024416" w14:textId="52FADC61" w:rsidR="00D55A59" w:rsidRDefault="00D55A59" w:rsidP="007407A9"/>
    <w:p w14:paraId="7CE54DA6" w14:textId="03E0E666" w:rsidR="00D55A59" w:rsidRDefault="00D55A59" w:rsidP="007407A9"/>
    <w:p w14:paraId="65F38BBA" w14:textId="4B445302" w:rsidR="00D55A59" w:rsidRDefault="00D55A59" w:rsidP="007407A9"/>
    <w:p w14:paraId="6EC0A2B5" w14:textId="77777777" w:rsidR="007F41E4" w:rsidRDefault="007F41E4" w:rsidP="00D55A59">
      <w:pPr>
        <w:spacing w:line="360" w:lineRule="auto"/>
        <w:rPr>
          <w:rStyle w:val="Hyperlink"/>
          <w:rFonts w:ascii="Times New Roman" w:hAnsi="Times New Roman" w:cs="Times New Roman"/>
          <w:color w:val="000000" w:themeColor="text1"/>
          <w:sz w:val="24"/>
          <w:szCs w:val="24"/>
        </w:rPr>
      </w:pPr>
    </w:p>
    <w:p w14:paraId="78745AF5" w14:textId="77777777" w:rsidR="007F41E4" w:rsidRDefault="007F41E4" w:rsidP="00D55A59">
      <w:pPr>
        <w:spacing w:line="360" w:lineRule="auto"/>
        <w:rPr>
          <w:rStyle w:val="Hyperlink"/>
          <w:rFonts w:ascii="Times New Roman" w:hAnsi="Times New Roman" w:cs="Times New Roman"/>
          <w:color w:val="000000" w:themeColor="text1"/>
          <w:sz w:val="24"/>
          <w:szCs w:val="24"/>
        </w:rPr>
      </w:pPr>
    </w:p>
    <w:p w14:paraId="5B063380" w14:textId="6F2EFB87" w:rsidR="00D55A59" w:rsidRDefault="00D55A59" w:rsidP="00D55A59">
      <w:pPr>
        <w:spacing w:line="360" w:lineRule="auto"/>
        <w:rPr>
          <w:rStyle w:val="Hyperlink"/>
          <w:rFonts w:ascii="Times New Roman" w:hAnsi="Times New Roman" w:cs="Times New Roman"/>
          <w:color w:val="000000" w:themeColor="text1"/>
          <w:sz w:val="24"/>
          <w:szCs w:val="24"/>
        </w:rPr>
      </w:pPr>
      <w:r>
        <w:rPr>
          <w:rStyle w:val="Hyperlink"/>
          <w:rFonts w:ascii="Times New Roman" w:hAnsi="Times New Roman" w:cs="Times New Roman"/>
          <w:color w:val="000000" w:themeColor="text1"/>
          <w:sz w:val="24"/>
          <w:szCs w:val="24"/>
        </w:rPr>
        <w:lastRenderedPageBreak/>
        <w:t>Rhestr gyfeiriadau</w:t>
      </w:r>
    </w:p>
    <w:p w14:paraId="17F295A3" w14:textId="77777777" w:rsidR="00D55A59" w:rsidRPr="00162339" w:rsidRDefault="00D55A59" w:rsidP="00D55A59">
      <w:pPr>
        <w:spacing w:line="360" w:lineRule="auto"/>
        <w:rPr>
          <w:rFonts w:ascii="Times New Roman" w:hAnsi="Times New Roman" w:cs="Times New Roman"/>
          <w:color w:val="000000" w:themeColor="text1"/>
          <w:sz w:val="24"/>
          <w:szCs w:val="24"/>
        </w:rPr>
      </w:pPr>
      <w:hyperlink r:id="rId10" w:history="1"/>
      <w:r w:rsidRPr="007F41E4">
        <w:rPr>
          <w:rStyle w:val="Hyperlink"/>
          <w:rFonts w:ascii="Times New Roman" w:hAnsi="Times New Roman" w:cs="Times New Roman"/>
          <w:color w:val="000000" w:themeColor="text1"/>
          <w:sz w:val="24"/>
          <w:szCs w:val="24"/>
          <w:u w:val="none"/>
        </w:rPr>
        <w:t xml:space="preserve">Amadio , M. (2013) </w:t>
      </w:r>
      <w:r w:rsidRPr="007F41E4">
        <w:rPr>
          <w:rStyle w:val="Hyperlink"/>
          <w:rFonts w:ascii="Times New Roman" w:hAnsi="Times New Roman" w:cs="Times New Roman"/>
          <w:i/>
          <w:color w:val="000000" w:themeColor="text1"/>
          <w:sz w:val="24"/>
          <w:szCs w:val="24"/>
          <w:u w:val="none"/>
        </w:rPr>
        <w:t>A rapid assessment of curricula for general education focusing on cross-curricular themes and generic competences or skills. Ar gael yn:</w:t>
      </w:r>
      <w:r w:rsidRPr="007F41E4">
        <w:rPr>
          <w:rStyle w:val="Hyperlink"/>
          <w:rFonts w:ascii="Times New Roman" w:hAnsi="Times New Roman" w:cs="Times New Roman"/>
          <w:color w:val="000000" w:themeColor="text1"/>
          <w:sz w:val="24"/>
          <w:szCs w:val="24"/>
          <w:u w:val="none"/>
        </w:rPr>
        <w:t xml:space="preserve"> </w:t>
      </w:r>
      <w:hyperlink r:id="rId11" w:history="1">
        <w:r w:rsidRPr="00162339">
          <w:rPr>
            <w:rStyle w:val="Hyperlink"/>
            <w:rFonts w:ascii="Times New Roman" w:hAnsi="Times New Roman" w:cs="Times New Roman"/>
            <w:color w:val="000000" w:themeColor="text1"/>
            <w:sz w:val="24"/>
            <w:szCs w:val="24"/>
          </w:rPr>
          <w:t>https://www.icet4u.org/docs/22593 9e.pdf</w:t>
        </w:r>
      </w:hyperlink>
      <w:r w:rsidRPr="00162339">
        <w:rPr>
          <w:rFonts w:ascii="Times New Roman" w:hAnsi="Times New Roman" w:cs="Times New Roman"/>
          <w:color w:val="000000" w:themeColor="text1"/>
          <w:sz w:val="24"/>
          <w:szCs w:val="24"/>
        </w:rPr>
        <w:t xml:space="preserve"> (Darllenwyd: 1 o Rhagfyr 2018).</w:t>
      </w:r>
    </w:p>
    <w:p w14:paraId="5063436A"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Askew, M. (2011</w:t>
      </w:r>
      <w:r w:rsidRPr="005E5375">
        <w:rPr>
          <w:rFonts w:ascii="Times New Roman" w:hAnsi="Times New Roman" w:cs="Times New Roman"/>
          <w:i/>
          <w:color w:val="000000" w:themeColor="text1"/>
          <w:sz w:val="24"/>
          <w:szCs w:val="24"/>
        </w:rPr>
        <w:t>) Transforming Primary Mathematics</w:t>
      </w:r>
      <w:r>
        <w:rPr>
          <w:rFonts w:ascii="Times New Roman" w:hAnsi="Times New Roman" w:cs="Times New Roman"/>
          <w:color w:val="000000" w:themeColor="text1"/>
          <w:sz w:val="24"/>
          <w:szCs w:val="24"/>
        </w:rPr>
        <w:t>.</w:t>
      </w:r>
      <w:r w:rsidRPr="00162339">
        <w:rPr>
          <w:rFonts w:ascii="Times New Roman" w:hAnsi="Times New Roman" w:cs="Times New Roman"/>
          <w:color w:val="000000" w:themeColor="text1"/>
          <w:sz w:val="24"/>
          <w:szCs w:val="24"/>
        </w:rPr>
        <w:t xml:space="preserve"> Oxon: Routledge.</w:t>
      </w:r>
    </w:p>
    <w:p w14:paraId="0B1E1200"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Aubery, C. (1997) </w:t>
      </w:r>
      <w:r w:rsidRPr="005E5375">
        <w:rPr>
          <w:rFonts w:ascii="Times New Roman" w:hAnsi="Times New Roman" w:cs="Times New Roman"/>
          <w:i/>
          <w:color w:val="000000" w:themeColor="text1"/>
          <w:sz w:val="24"/>
          <w:szCs w:val="24"/>
        </w:rPr>
        <w:t>Mathematics Teaching in the Early Years: an investigation into teachers’ subject knowledge</w:t>
      </w:r>
      <w:r>
        <w:rPr>
          <w:rFonts w:ascii="Times New Roman" w:hAnsi="Times New Roman" w:cs="Times New Roman"/>
          <w:color w:val="000000" w:themeColor="text1"/>
          <w:sz w:val="24"/>
          <w:szCs w:val="24"/>
        </w:rPr>
        <w:t xml:space="preserve">. </w:t>
      </w:r>
      <w:r w:rsidRPr="00162339">
        <w:rPr>
          <w:rFonts w:ascii="Times New Roman" w:hAnsi="Times New Roman" w:cs="Times New Roman"/>
          <w:color w:val="000000" w:themeColor="text1"/>
          <w:sz w:val="24"/>
          <w:szCs w:val="24"/>
        </w:rPr>
        <w:t>London</w:t>
      </w:r>
      <w:r>
        <w:rPr>
          <w:rFonts w:ascii="Times New Roman" w:hAnsi="Times New Roman" w:cs="Times New Roman"/>
          <w:color w:val="000000" w:themeColor="text1"/>
          <w:sz w:val="24"/>
          <w:szCs w:val="24"/>
        </w:rPr>
        <w:t xml:space="preserve">: </w:t>
      </w:r>
      <w:r w:rsidRPr="00162339">
        <w:rPr>
          <w:rFonts w:ascii="Times New Roman" w:hAnsi="Times New Roman" w:cs="Times New Roman"/>
          <w:color w:val="000000" w:themeColor="text1"/>
          <w:sz w:val="24"/>
          <w:szCs w:val="24"/>
        </w:rPr>
        <w:t>Falmer Press.</w:t>
      </w:r>
    </w:p>
    <w:p w14:paraId="1BA55156"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Barnes, J. (2015) </w:t>
      </w:r>
      <w:r w:rsidRPr="00162339">
        <w:rPr>
          <w:rFonts w:ascii="Times New Roman" w:hAnsi="Times New Roman" w:cs="Times New Roman"/>
          <w:i/>
          <w:color w:val="000000" w:themeColor="text1"/>
          <w:sz w:val="24"/>
          <w:szCs w:val="24"/>
        </w:rPr>
        <w:t>Cross-curricular learning 3-14 (3rd edition</w:t>
      </w:r>
      <w:r w:rsidRPr="00162339">
        <w:rPr>
          <w:rFonts w:ascii="Times New Roman" w:hAnsi="Times New Roman" w:cs="Times New Roman"/>
          <w:color w:val="000000" w:themeColor="text1"/>
          <w:sz w:val="24"/>
          <w:szCs w:val="24"/>
        </w:rPr>
        <w:t xml:space="preserve">). London: SAGE </w:t>
      </w:r>
    </w:p>
    <w:p w14:paraId="302E00B9"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bCs/>
          <w:color w:val="000000" w:themeColor="text1"/>
          <w:sz w:val="24"/>
          <w:szCs w:val="24"/>
        </w:rPr>
        <w:t>Bearne, E. a Reedy, D. (2018)</w:t>
      </w:r>
      <w:r w:rsidRPr="00162339">
        <w:rPr>
          <w:rFonts w:ascii="Times New Roman" w:hAnsi="Times New Roman" w:cs="Times New Roman"/>
          <w:bCs/>
          <w:i/>
          <w:color w:val="000000" w:themeColor="text1"/>
          <w:sz w:val="24"/>
          <w:szCs w:val="24"/>
        </w:rPr>
        <w:t xml:space="preserve"> Teaching Primary English: Subject Knowledge and Classroom Practice. </w:t>
      </w:r>
      <w:r w:rsidRPr="00162339">
        <w:rPr>
          <w:rFonts w:ascii="Times New Roman" w:hAnsi="Times New Roman" w:cs="Times New Roman"/>
          <w:bCs/>
          <w:color w:val="000000" w:themeColor="text1"/>
          <w:sz w:val="24"/>
          <w:szCs w:val="24"/>
        </w:rPr>
        <w:t>Oxon: Routledge.</w:t>
      </w:r>
    </w:p>
    <w:p w14:paraId="6FDE80B0" w14:textId="77777777" w:rsidR="00D55A59" w:rsidRPr="00162339" w:rsidRDefault="00D55A59" w:rsidP="00D55A59">
      <w:pPr>
        <w:spacing w:line="360" w:lineRule="auto"/>
        <w:rPr>
          <w:rFonts w:ascii="Times New Roman" w:hAnsi="Times New Roman" w:cs="Times New Roman"/>
          <w:i/>
          <w:color w:val="000000" w:themeColor="text1"/>
          <w:sz w:val="24"/>
          <w:szCs w:val="24"/>
        </w:rPr>
      </w:pPr>
      <w:bookmarkStart w:id="2" w:name="_Hlk531772016"/>
      <w:r w:rsidRPr="00162339">
        <w:rPr>
          <w:rFonts w:ascii="Times New Roman" w:hAnsi="Times New Roman" w:cs="Times New Roman"/>
          <w:color w:val="000000" w:themeColor="text1"/>
          <w:sz w:val="24"/>
          <w:szCs w:val="24"/>
        </w:rPr>
        <w:t>Beswic, K. a Watson, J a Brown, N. (2006</w:t>
      </w:r>
      <w:bookmarkEnd w:id="2"/>
      <w:r w:rsidRPr="00162339">
        <w:rPr>
          <w:rFonts w:ascii="Times New Roman" w:hAnsi="Times New Roman" w:cs="Times New Roman"/>
          <w:color w:val="000000" w:themeColor="text1"/>
          <w:sz w:val="24"/>
          <w:szCs w:val="24"/>
        </w:rPr>
        <w:t xml:space="preserve">) </w:t>
      </w:r>
      <w:r w:rsidRPr="00162339">
        <w:rPr>
          <w:rFonts w:ascii="Times New Roman" w:hAnsi="Times New Roman" w:cs="Times New Roman"/>
          <w:i/>
          <w:color w:val="000000" w:themeColor="text1"/>
          <w:sz w:val="24"/>
          <w:szCs w:val="24"/>
        </w:rPr>
        <w:t xml:space="preserve">Teachers’ Confidence and Beliefs and their Students’ Attitudes to Mathematics. </w:t>
      </w:r>
      <w:r w:rsidRPr="00162339">
        <w:rPr>
          <w:rFonts w:ascii="Times New Roman" w:hAnsi="Times New Roman" w:cs="Times New Roman"/>
          <w:color w:val="000000" w:themeColor="text1"/>
          <w:sz w:val="24"/>
          <w:szCs w:val="24"/>
        </w:rPr>
        <w:t xml:space="preserve">Ar gael: </w:t>
      </w:r>
      <w:hyperlink r:id="rId12" w:history="1">
        <w:r w:rsidRPr="00162339">
          <w:rPr>
            <w:rStyle w:val="Hyperlink"/>
            <w:rFonts w:ascii="Times New Roman" w:hAnsi="Times New Roman" w:cs="Times New Roman"/>
            <w:i/>
            <w:color w:val="000000" w:themeColor="text1"/>
            <w:sz w:val="24"/>
            <w:szCs w:val="24"/>
          </w:rPr>
          <w:t>https://www.researchgate.net/profile/Natalie_Brown3/publication/228943793_Teachers'_confidence_and_beliefs_and_their_students'_attitudes_to_mathematics/links/0c960522a4ec4caa49000000/Teachers-confidence-and-beliefs-and-their-students-attitudes-to-mathematics.pdf</w:t>
        </w:r>
      </w:hyperlink>
      <w:r w:rsidRPr="00162339">
        <w:rPr>
          <w:rStyle w:val="Hyperlink"/>
          <w:rFonts w:ascii="Times New Roman" w:hAnsi="Times New Roman" w:cs="Times New Roman"/>
          <w:color w:val="000000" w:themeColor="text1"/>
          <w:sz w:val="24"/>
          <w:szCs w:val="24"/>
        </w:rPr>
        <w:t xml:space="preserve"> (Darllenwyd: 4 o Rhagfyr 2018).</w:t>
      </w:r>
    </w:p>
    <w:p w14:paraId="45FBC4B7"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Caldwell, H. and Bird, J. (2015) </w:t>
      </w:r>
      <w:r w:rsidRPr="00162339">
        <w:rPr>
          <w:rFonts w:ascii="Times New Roman" w:hAnsi="Times New Roman" w:cs="Times New Roman"/>
          <w:i/>
          <w:color w:val="000000" w:themeColor="text1"/>
          <w:sz w:val="24"/>
          <w:szCs w:val="24"/>
        </w:rPr>
        <w:t>Teaching with Tablets</w:t>
      </w:r>
      <w:r w:rsidRPr="00162339">
        <w:rPr>
          <w:rFonts w:ascii="Times New Roman" w:hAnsi="Times New Roman" w:cs="Times New Roman"/>
          <w:color w:val="000000" w:themeColor="text1"/>
          <w:sz w:val="24"/>
          <w:szCs w:val="24"/>
        </w:rPr>
        <w:t xml:space="preserve">. United Kingdom: SAGE Publications  </w:t>
      </w:r>
    </w:p>
    <w:p w14:paraId="66B68628" w14:textId="77777777" w:rsidR="00D55A59" w:rsidRPr="00162339" w:rsidRDefault="00D55A59" w:rsidP="00D55A59">
      <w:pPr>
        <w:spacing w:line="360" w:lineRule="auto"/>
        <w:rPr>
          <w:rFonts w:ascii="Times New Roman" w:hAnsi="Times New Roman" w:cs="Times New Roman"/>
          <w:color w:val="000000" w:themeColor="text1"/>
          <w:sz w:val="24"/>
          <w:szCs w:val="24"/>
          <w:lang w:val="en-GB"/>
        </w:rPr>
      </w:pPr>
      <w:r w:rsidRPr="00162339">
        <w:rPr>
          <w:rFonts w:ascii="Times New Roman" w:hAnsi="Times New Roman" w:cs="Times New Roman"/>
          <w:color w:val="000000" w:themeColor="text1"/>
          <w:sz w:val="24"/>
          <w:szCs w:val="24"/>
          <w:lang w:val="en-GB"/>
        </w:rPr>
        <w:t xml:space="preserve">Dearing, R. (1994) </w:t>
      </w:r>
      <w:r w:rsidRPr="00162339">
        <w:rPr>
          <w:rFonts w:ascii="Times New Roman" w:hAnsi="Times New Roman" w:cs="Times New Roman"/>
          <w:i/>
          <w:iCs/>
          <w:color w:val="000000" w:themeColor="text1"/>
          <w:sz w:val="24"/>
          <w:szCs w:val="24"/>
          <w:lang w:val="en-GB"/>
        </w:rPr>
        <w:t xml:space="preserve">The Dearing Review (1994) </w:t>
      </w:r>
      <w:r w:rsidRPr="00162339">
        <w:rPr>
          <w:rFonts w:ascii="Times New Roman" w:hAnsi="Times New Roman" w:cs="Times New Roman"/>
          <w:i/>
          <w:iCs/>
          <w:color w:val="000000" w:themeColor="text1"/>
          <w:sz w:val="24"/>
          <w:szCs w:val="24"/>
          <w:lang w:val="en-GB"/>
        </w:rPr>
        <w:br/>
        <w:t xml:space="preserve">The National Curriculum and its Assessment: Final Report. </w:t>
      </w:r>
      <w:r w:rsidRPr="00162339">
        <w:rPr>
          <w:rFonts w:ascii="Times New Roman" w:hAnsi="Times New Roman" w:cs="Times New Roman"/>
          <w:bCs/>
          <w:color w:val="000000" w:themeColor="text1"/>
          <w:sz w:val="24"/>
          <w:szCs w:val="24"/>
          <w:lang w:val="en-GB"/>
        </w:rPr>
        <w:t>London: School Curriculum and Assessment Authority.</w:t>
      </w:r>
    </w:p>
    <w:p w14:paraId="03459908"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Department for children, schools and families (2010) </w:t>
      </w:r>
      <w:r w:rsidRPr="00162339">
        <w:rPr>
          <w:rFonts w:ascii="Times New Roman" w:hAnsi="Times New Roman" w:cs="Times New Roman"/>
          <w:i/>
          <w:color w:val="000000" w:themeColor="text1"/>
          <w:sz w:val="24"/>
          <w:szCs w:val="24"/>
        </w:rPr>
        <w:t>A guide to Enterprise Education. For Enterprise Coordinators, teachers and leaders at schools</w:t>
      </w:r>
      <w:r w:rsidRPr="00162339">
        <w:rPr>
          <w:rFonts w:ascii="Times New Roman" w:hAnsi="Times New Roman" w:cs="Times New Roman"/>
          <w:color w:val="000000" w:themeColor="text1"/>
          <w:sz w:val="24"/>
          <w:szCs w:val="24"/>
        </w:rPr>
        <w:t>. Nottingham: Crown.</w:t>
      </w:r>
    </w:p>
    <w:p w14:paraId="200C7BFC"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Dewey, J. (1902) </w:t>
      </w:r>
      <w:r w:rsidRPr="00162339">
        <w:rPr>
          <w:rFonts w:ascii="Times New Roman" w:hAnsi="Times New Roman" w:cs="Times New Roman"/>
          <w:i/>
          <w:color w:val="000000" w:themeColor="text1"/>
          <w:sz w:val="24"/>
          <w:szCs w:val="24"/>
        </w:rPr>
        <w:t xml:space="preserve">The child and the curriculum. </w:t>
      </w:r>
      <w:r w:rsidRPr="00162339">
        <w:rPr>
          <w:rFonts w:ascii="Times New Roman" w:hAnsi="Times New Roman" w:cs="Times New Roman"/>
          <w:color w:val="000000" w:themeColor="text1"/>
          <w:sz w:val="24"/>
          <w:szCs w:val="24"/>
        </w:rPr>
        <w:t>Chicago: University of Chicago Press.</w:t>
      </w:r>
    </w:p>
    <w:p w14:paraId="19FD2F3E"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Didau, D. (2014) </w:t>
      </w:r>
      <w:r w:rsidRPr="00162339">
        <w:rPr>
          <w:rFonts w:ascii="Times New Roman" w:hAnsi="Times New Roman" w:cs="Times New Roman"/>
          <w:i/>
          <w:color w:val="000000" w:themeColor="text1"/>
          <w:sz w:val="24"/>
          <w:szCs w:val="24"/>
        </w:rPr>
        <w:t>The Secret of Literacy.</w:t>
      </w:r>
      <w:r w:rsidRPr="00162339">
        <w:rPr>
          <w:rFonts w:ascii="Times New Roman" w:hAnsi="Times New Roman" w:cs="Times New Roman"/>
          <w:color w:val="000000" w:themeColor="text1"/>
          <w:sz w:val="24"/>
          <w:szCs w:val="24"/>
        </w:rPr>
        <w:t xml:space="preserve"> Carmarthen: Crown Publishing.</w:t>
      </w:r>
    </w:p>
    <w:p w14:paraId="210A2CF3" w14:textId="77777777" w:rsidR="00D55A59" w:rsidRPr="002A7662" w:rsidRDefault="00D55A59" w:rsidP="00D55A59">
      <w:pPr>
        <w:spacing w:line="360" w:lineRule="auto"/>
        <w:rPr>
          <w:rFonts w:ascii="Times New Roman" w:hAnsi="Times New Roman" w:cs="Times New Roman"/>
          <w:color w:val="000000" w:themeColor="text1"/>
          <w:sz w:val="24"/>
          <w:szCs w:val="24"/>
          <w:lang w:val="en-GB"/>
        </w:rPr>
      </w:pPr>
      <w:r w:rsidRPr="002A7662">
        <w:rPr>
          <w:rFonts w:ascii="Times New Roman" w:hAnsi="Times New Roman" w:cs="Times New Roman"/>
          <w:color w:val="000000" w:themeColor="text1"/>
          <w:sz w:val="24"/>
          <w:szCs w:val="24"/>
          <w:lang w:val="en-GB"/>
        </w:rPr>
        <w:t xml:space="preserve">Donaldson, G. (2015) </w:t>
      </w:r>
      <w:r w:rsidRPr="002A7662">
        <w:rPr>
          <w:rFonts w:ascii="Times New Roman" w:hAnsi="Times New Roman" w:cs="Times New Roman"/>
          <w:i/>
          <w:iCs/>
          <w:color w:val="000000" w:themeColor="text1"/>
          <w:sz w:val="24"/>
          <w:szCs w:val="24"/>
          <w:lang w:val="en-GB"/>
        </w:rPr>
        <w:t xml:space="preserve">Dyfodol Llwyddiannus. </w:t>
      </w:r>
      <w:r w:rsidRPr="002A7662">
        <w:rPr>
          <w:rFonts w:ascii="Times New Roman" w:hAnsi="Times New Roman" w:cs="Times New Roman"/>
          <w:color w:val="000000" w:themeColor="text1"/>
          <w:sz w:val="24"/>
          <w:szCs w:val="24"/>
          <w:lang w:val="en-GB"/>
        </w:rPr>
        <w:t>Caerdydd: Llywodraeth Cymru.</w:t>
      </w:r>
    </w:p>
    <w:p w14:paraId="1E6B2E70" w14:textId="77777777" w:rsidR="00D55A59" w:rsidRPr="00162339" w:rsidRDefault="00D55A59" w:rsidP="00D55A59">
      <w:pPr>
        <w:spacing w:line="360" w:lineRule="auto"/>
        <w:rPr>
          <w:rStyle w:val="Hyperlink"/>
          <w:rFonts w:ascii="Times New Roman" w:hAnsi="Times New Roman" w:cs="Times New Roman"/>
          <w:color w:val="000000" w:themeColor="text1"/>
          <w:sz w:val="24"/>
          <w:szCs w:val="24"/>
        </w:rPr>
      </w:pPr>
      <w:r w:rsidRPr="007F41E4">
        <w:rPr>
          <w:rStyle w:val="Hyperlink"/>
          <w:rFonts w:ascii="Times New Roman" w:hAnsi="Times New Roman" w:cs="Times New Roman"/>
          <w:color w:val="000000" w:themeColor="text1"/>
          <w:sz w:val="24"/>
          <w:szCs w:val="24"/>
          <w:u w:val="none"/>
        </w:rPr>
        <w:t xml:space="preserve">Estyn (2018) </w:t>
      </w:r>
      <w:r w:rsidRPr="007F41E4">
        <w:rPr>
          <w:rStyle w:val="Hyperlink"/>
          <w:rFonts w:ascii="Times New Roman" w:hAnsi="Times New Roman" w:cs="Times New Roman"/>
          <w:i/>
          <w:color w:val="000000" w:themeColor="text1"/>
          <w:sz w:val="24"/>
          <w:szCs w:val="24"/>
          <w:u w:val="none"/>
        </w:rPr>
        <w:t xml:space="preserve">Paratoi ar gyfer y Fframwaith Cymhwysedd Digidol. </w:t>
      </w:r>
      <w:r w:rsidRPr="007F41E4">
        <w:rPr>
          <w:rStyle w:val="Hyperlink"/>
          <w:rFonts w:ascii="Times New Roman" w:hAnsi="Times New Roman" w:cs="Times New Roman"/>
          <w:color w:val="000000" w:themeColor="text1"/>
          <w:sz w:val="24"/>
          <w:szCs w:val="24"/>
          <w:u w:val="none"/>
        </w:rPr>
        <w:t>Ar gael yn:</w:t>
      </w:r>
      <w:r w:rsidRPr="00162339">
        <w:rPr>
          <w:rStyle w:val="Hyperlink"/>
          <w:rFonts w:ascii="Times New Roman" w:hAnsi="Times New Roman" w:cs="Times New Roman"/>
          <w:color w:val="000000" w:themeColor="text1"/>
          <w:sz w:val="24"/>
          <w:szCs w:val="24"/>
        </w:rPr>
        <w:t xml:space="preserve"> </w:t>
      </w:r>
      <w:hyperlink r:id="rId13" w:history="1">
        <w:r w:rsidRPr="00162339">
          <w:rPr>
            <w:rStyle w:val="Hyperlink"/>
            <w:rFonts w:ascii="Times New Roman" w:hAnsi="Times New Roman" w:cs="Times New Roman"/>
            <w:color w:val="000000" w:themeColor="text1"/>
            <w:sz w:val="24"/>
            <w:szCs w:val="24"/>
          </w:rPr>
          <w:t>https://www.estyn.llyw.cymru/sites/default/files/documents/Preparing%20for%20the%20DCF%20cym.pdf</w:t>
        </w:r>
      </w:hyperlink>
      <w:r w:rsidRPr="00162339">
        <w:rPr>
          <w:rStyle w:val="Hyperlink"/>
          <w:rFonts w:ascii="Times New Roman" w:hAnsi="Times New Roman" w:cs="Times New Roman"/>
          <w:color w:val="000000" w:themeColor="text1"/>
          <w:sz w:val="24"/>
          <w:szCs w:val="24"/>
        </w:rPr>
        <w:t xml:space="preserve"> (Darllenwyd: 9 o Rhagfyr 2018). </w:t>
      </w:r>
    </w:p>
    <w:p w14:paraId="10E12F18"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7F41E4">
        <w:rPr>
          <w:rStyle w:val="Hyperlink"/>
          <w:rFonts w:ascii="Times New Roman" w:hAnsi="Times New Roman" w:cs="Times New Roman"/>
          <w:color w:val="000000" w:themeColor="text1"/>
          <w:sz w:val="24"/>
          <w:szCs w:val="24"/>
          <w:u w:val="none"/>
        </w:rPr>
        <w:lastRenderedPageBreak/>
        <w:t>Estyn (anhysbys)</w:t>
      </w:r>
      <w:r w:rsidRPr="00162339">
        <w:rPr>
          <w:rStyle w:val="Hyperlink"/>
          <w:rFonts w:ascii="Times New Roman" w:hAnsi="Times New Roman" w:cs="Times New Roman"/>
          <w:color w:val="000000" w:themeColor="text1"/>
          <w:sz w:val="24"/>
          <w:szCs w:val="24"/>
        </w:rPr>
        <w:t xml:space="preserve"> </w:t>
      </w:r>
      <w:r w:rsidRPr="00162339">
        <w:rPr>
          <w:rFonts w:ascii="Times New Roman" w:hAnsi="Times New Roman" w:cs="Times New Roman"/>
          <w:i/>
          <w:color w:val="000000" w:themeColor="text1"/>
          <w:sz w:val="24"/>
          <w:szCs w:val="24"/>
        </w:rPr>
        <w:t xml:space="preserve">Herio dysgu disgyblion, herio deilliannau. </w:t>
      </w:r>
      <w:r w:rsidRPr="00162339">
        <w:rPr>
          <w:rFonts w:ascii="Times New Roman" w:hAnsi="Times New Roman" w:cs="Times New Roman"/>
          <w:color w:val="000000" w:themeColor="text1"/>
          <w:sz w:val="24"/>
          <w:szCs w:val="24"/>
        </w:rPr>
        <w:t>Ar gael yn:</w:t>
      </w:r>
      <w:r w:rsidRPr="00162339">
        <w:rPr>
          <w:rStyle w:val="Hyperlink"/>
          <w:rFonts w:ascii="Times New Roman" w:hAnsi="Times New Roman" w:cs="Times New Roman"/>
          <w:color w:val="000000" w:themeColor="text1"/>
          <w:sz w:val="24"/>
          <w:szCs w:val="24"/>
        </w:rPr>
        <w:t xml:space="preserve"> </w:t>
      </w:r>
      <w:hyperlink r:id="rId14" w:history="1">
        <w:r w:rsidRPr="00162339">
          <w:rPr>
            <w:rStyle w:val="Hyperlink"/>
            <w:rFonts w:ascii="Times New Roman" w:hAnsi="Times New Roman" w:cs="Times New Roman"/>
            <w:color w:val="000000" w:themeColor="text1"/>
            <w:sz w:val="24"/>
            <w:szCs w:val="24"/>
          </w:rPr>
          <w:t>https://www.estyn.llyw.cymru/arfer-effeithiol/herio-dysgu-disgyblion-herio-deilliannau?_ga=2.61870956.1558633285.1544090043-1843361231.1539959212</w:t>
        </w:r>
      </w:hyperlink>
      <w:r w:rsidRPr="00162339">
        <w:rPr>
          <w:rStyle w:val="Hyperlink"/>
          <w:rFonts w:ascii="Times New Roman" w:hAnsi="Times New Roman" w:cs="Times New Roman"/>
          <w:color w:val="000000" w:themeColor="text1"/>
          <w:sz w:val="24"/>
          <w:szCs w:val="24"/>
        </w:rPr>
        <w:t xml:space="preserve"> (Darllenwyd: 9 o Rhagfyr 2018).</w:t>
      </w:r>
    </w:p>
    <w:bookmarkStart w:id="3" w:name="_Hlk532398242"/>
    <w:bookmarkStart w:id="4" w:name="_GoBack"/>
    <w:p w14:paraId="29D86C3C"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7F41E4">
        <w:rPr>
          <w:rFonts w:ascii="Times New Roman" w:hAnsi="Times New Roman" w:cs="Times New Roman"/>
          <w:color w:val="000000" w:themeColor="text1"/>
          <w:sz w:val="24"/>
          <w:szCs w:val="24"/>
        </w:rPr>
        <w:fldChar w:fldCharType="begin"/>
      </w:r>
      <w:r w:rsidRPr="007F41E4">
        <w:rPr>
          <w:rFonts w:ascii="Times New Roman" w:hAnsi="Times New Roman" w:cs="Times New Roman"/>
          <w:color w:val="000000" w:themeColor="text1"/>
          <w:sz w:val="24"/>
          <w:szCs w:val="24"/>
        </w:rPr>
        <w:instrText xml:space="preserve"> HYPERLINK "https://www.google.co.uk/search?tbo=p&amp;tbm=bks&amp;q=inauthor:%22Gary+Flewelling%22&amp;source=gbs_metadata_r&amp;cad=2" </w:instrText>
      </w:r>
      <w:r w:rsidRPr="007F41E4">
        <w:rPr>
          <w:rFonts w:ascii="Times New Roman" w:hAnsi="Times New Roman" w:cs="Times New Roman"/>
          <w:color w:val="000000" w:themeColor="text1"/>
          <w:sz w:val="24"/>
          <w:szCs w:val="24"/>
        </w:rPr>
        <w:fldChar w:fldCharType="separate"/>
      </w:r>
      <w:r w:rsidRPr="007F41E4">
        <w:rPr>
          <w:rStyle w:val="Hyperlink"/>
          <w:rFonts w:ascii="Times New Roman" w:hAnsi="Times New Roman" w:cs="Times New Roman"/>
          <w:color w:val="000000" w:themeColor="text1"/>
          <w:sz w:val="24"/>
          <w:szCs w:val="24"/>
          <w:u w:val="none"/>
        </w:rPr>
        <w:t>Flewelling</w:t>
      </w:r>
      <w:r w:rsidRPr="007F41E4">
        <w:rPr>
          <w:rFonts w:ascii="Times New Roman" w:hAnsi="Times New Roman" w:cs="Times New Roman"/>
          <w:color w:val="000000" w:themeColor="text1"/>
          <w:sz w:val="24"/>
          <w:szCs w:val="24"/>
        </w:rPr>
        <w:fldChar w:fldCharType="end"/>
      </w:r>
      <w:r w:rsidRPr="007F41E4">
        <w:rPr>
          <w:rFonts w:ascii="Times New Roman" w:hAnsi="Times New Roman" w:cs="Times New Roman"/>
          <w:color w:val="000000" w:themeColor="text1"/>
          <w:sz w:val="24"/>
          <w:szCs w:val="24"/>
        </w:rPr>
        <w:t xml:space="preserve">, G. a </w:t>
      </w:r>
      <w:hyperlink r:id="rId15" w:history="1">
        <w:r w:rsidRPr="007F41E4">
          <w:rPr>
            <w:rStyle w:val="Hyperlink"/>
            <w:rFonts w:ascii="Times New Roman" w:hAnsi="Times New Roman" w:cs="Times New Roman"/>
            <w:color w:val="000000" w:themeColor="text1"/>
            <w:sz w:val="24"/>
            <w:szCs w:val="24"/>
            <w:u w:val="none"/>
          </w:rPr>
          <w:t xml:space="preserve"> Lind</w:t>
        </w:r>
      </w:hyperlink>
      <w:r w:rsidRPr="007F41E4">
        <w:rPr>
          <w:rFonts w:ascii="Times New Roman" w:hAnsi="Times New Roman" w:cs="Times New Roman"/>
          <w:color w:val="000000" w:themeColor="text1"/>
          <w:sz w:val="24"/>
          <w:szCs w:val="24"/>
        </w:rPr>
        <w:t xml:space="preserve">, J. a </w:t>
      </w:r>
      <w:hyperlink r:id="rId16" w:history="1">
        <w:r w:rsidRPr="007F41E4">
          <w:rPr>
            <w:rStyle w:val="Hyperlink"/>
            <w:rFonts w:ascii="Times New Roman" w:hAnsi="Times New Roman" w:cs="Times New Roman"/>
            <w:color w:val="000000" w:themeColor="text1"/>
            <w:sz w:val="24"/>
            <w:szCs w:val="24"/>
            <w:u w:val="none"/>
          </w:rPr>
          <w:t xml:space="preserve"> Sauer</w:t>
        </w:r>
      </w:hyperlink>
      <w:r w:rsidRPr="007F41E4">
        <w:rPr>
          <w:rFonts w:ascii="Times New Roman" w:hAnsi="Times New Roman" w:cs="Times New Roman"/>
          <w:color w:val="000000" w:themeColor="text1"/>
          <w:sz w:val="24"/>
          <w:szCs w:val="24"/>
        </w:rPr>
        <w:t>, R</w:t>
      </w:r>
      <w:bookmarkEnd w:id="3"/>
      <w:bookmarkEnd w:id="4"/>
      <w:r w:rsidRPr="00162339">
        <w:rPr>
          <w:rFonts w:ascii="Times New Roman" w:hAnsi="Times New Roman" w:cs="Times New Roman"/>
          <w:color w:val="000000" w:themeColor="text1"/>
          <w:sz w:val="24"/>
          <w:szCs w:val="24"/>
        </w:rPr>
        <w:t xml:space="preserve">. (2013) </w:t>
      </w:r>
      <w:r w:rsidRPr="00162339">
        <w:rPr>
          <w:rFonts w:ascii="Times New Roman" w:hAnsi="Times New Roman" w:cs="Times New Roman"/>
          <w:i/>
          <w:color w:val="000000" w:themeColor="text1"/>
          <w:sz w:val="24"/>
          <w:szCs w:val="24"/>
        </w:rPr>
        <w:t xml:space="preserve">Rich Learning Tasks: Number and Algebra for Primary Students. </w:t>
      </w:r>
      <w:r w:rsidRPr="00162339">
        <w:rPr>
          <w:rFonts w:ascii="Times New Roman" w:hAnsi="Times New Roman" w:cs="Times New Roman"/>
          <w:color w:val="000000" w:themeColor="text1"/>
          <w:sz w:val="24"/>
          <w:szCs w:val="24"/>
        </w:rPr>
        <w:t>Awstralia: Australian Association of Mathematics Teachers.</w:t>
      </w:r>
    </w:p>
    <w:p w14:paraId="6EBCFC55"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Geiger, V. a Good, M. a Dole, S. (2015) The Role of Digital Technologies in Numeracy Teaching and Learning. Ar gael yn: https://link.springer.com/content/pdf/10.1007%2Fs10763-014-9530-4.pdf  (Darllenwyd: 5 o Rhagfyr 2018).</w:t>
      </w:r>
    </w:p>
    <w:p w14:paraId="63292E1B"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Golding, M a Rowland, T a Barber, T. (2002) </w:t>
      </w:r>
      <w:r w:rsidRPr="00162339">
        <w:rPr>
          <w:rFonts w:ascii="Times New Roman" w:hAnsi="Times New Roman" w:cs="Times New Roman"/>
          <w:i/>
          <w:color w:val="000000" w:themeColor="text1"/>
          <w:sz w:val="24"/>
          <w:szCs w:val="24"/>
        </w:rPr>
        <w:t xml:space="preserve">Does it Matter? Primary Teacher Trainees’ Subject Knowledge in Mathematic. </w:t>
      </w:r>
      <w:r w:rsidRPr="00162339">
        <w:rPr>
          <w:rFonts w:ascii="Times New Roman" w:hAnsi="Times New Roman" w:cs="Times New Roman"/>
          <w:color w:val="000000" w:themeColor="text1"/>
          <w:sz w:val="24"/>
          <w:szCs w:val="24"/>
        </w:rPr>
        <w:t xml:space="preserve">Ar gael yn: </w:t>
      </w:r>
      <w:hyperlink r:id="rId17" w:history="1">
        <w:r w:rsidRPr="00162339">
          <w:rPr>
            <w:rStyle w:val="Hyperlink"/>
            <w:rFonts w:ascii="Times New Roman" w:hAnsi="Times New Roman" w:cs="Times New Roman"/>
            <w:color w:val="000000" w:themeColor="text1"/>
            <w:sz w:val="24"/>
            <w:szCs w:val="24"/>
          </w:rPr>
          <w:t>https://onlinelibrary.wiley.com/doi/pdf/10.1080/0141192022000015543a</w:t>
        </w:r>
      </w:hyperlink>
      <w:r w:rsidRPr="00162339">
        <w:rPr>
          <w:rStyle w:val="Hyperlink"/>
          <w:rFonts w:ascii="Times New Roman" w:hAnsi="Times New Roman" w:cs="Times New Roman"/>
          <w:color w:val="000000" w:themeColor="text1"/>
          <w:sz w:val="24"/>
          <w:szCs w:val="24"/>
        </w:rPr>
        <w:t xml:space="preserve"> (Darllenwyd: 1 o Rhagfyr 2018).</w:t>
      </w:r>
    </w:p>
    <w:p w14:paraId="3DDAAAEF"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Gross, J. (2013) </w:t>
      </w:r>
      <w:r w:rsidRPr="00162339">
        <w:rPr>
          <w:rFonts w:ascii="Times New Roman" w:hAnsi="Times New Roman" w:cs="Times New Roman"/>
          <w:i/>
          <w:color w:val="000000" w:themeColor="text1"/>
          <w:sz w:val="24"/>
          <w:szCs w:val="24"/>
        </w:rPr>
        <w:t>Time to Talk</w:t>
      </w:r>
      <w:r w:rsidRPr="00162339">
        <w:rPr>
          <w:rFonts w:ascii="Times New Roman" w:hAnsi="Times New Roman" w:cs="Times New Roman"/>
          <w:color w:val="000000" w:themeColor="text1"/>
          <w:sz w:val="24"/>
          <w:szCs w:val="24"/>
        </w:rPr>
        <w:t>. Fulton: Oxon</w:t>
      </w:r>
    </w:p>
    <w:p w14:paraId="08DC6699"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Hadow, H. (1931) </w:t>
      </w:r>
      <w:r w:rsidRPr="00162339">
        <w:rPr>
          <w:rFonts w:ascii="Times New Roman" w:hAnsi="Times New Roman" w:cs="Times New Roman"/>
          <w:i/>
          <w:color w:val="000000" w:themeColor="text1"/>
          <w:sz w:val="24"/>
          <w:szCs w:val="24"/>
        </w:rPr>
        <w:t xml:space="preserve">Report of The Consultative Committee on THE PRIMARY SCHOOL. </w:t>
      </w:r>
      <w:r w:rsidRPr="00162339">
        <w:rPr>
          <w:rFonts w:ascii="Times New Roman" w:hAnsi="Times New Roman" w:cs="Times New Roman"/>
          <w:bCs/>
          <w:color w:val="000000" w:themeColor="text1"/>
          <w:sz w:val="24"/>
          <w:szCs w:val="24"/>
        </w:rPr>
        <w:t>Llundain: HM Stationery Office.</w:t>
      </w:r>
    </w:p>
    <w:p w14:paraId="0A58B1E9"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Hayes, D. (2010) </w:t>
      </w:r>
      <w:r w:rsidRPr="00162339">
        <w:rPr>
          <w:rFonts w:ascii="Times New Roman" w:hAnsi="Times New Roman" w:cs="Times New Roman"/>
          <w:i/>
          <w:color w:val="000000" w:themeColor="text1"/>
          <w:sz w:val="24"/>
          <w:szCs w:val="24"/>
        </w:rPr>
        <w:t xml:space="preserve">The seductive charms of a cross-curricular approach. </w:t>
      </w:r>
      <w:r w:rsidRPr="00162339">
        <w:rPr>
          <w:rFonts w:ascii="Times New Roman" w:hAnsi="Times New Roman" w:cs="Times New Roman"/>
          <w:color w:val="000000" w:themeColor="text1"/>
          <w:sz w:val="24"/>
          <w:szCs w:val="24"/>
        </w:rPr>
        <w:t xml:space="preserve">Ar gael yn: </w:t>
      </w:r>
      <w:hyperlink r:id="rId18" w:history="1">
        <w:r w:rsidRPr="00162339">
          <w:rPr>
            <w:rStyle w:val="Hyperlink"/>
            <w:rFonts w:ascii="Times New Roman" w:hAnsi="Times New Roman" w:cs="Times New Roman"/>
            <w:color w:val="000000" w:themeColor="text1"/>
            <w:sz w:val="24"/>
            <w:szCs w:val="24"/>
          </w:rPr>
          <w:t>https://www.tandfonline.com/doi/pdf/10.1080/03004270903519238?needAccess=true</w:t>
        </w:r>
      </w:hyperlink>
      <w:r w:rsidRPr="00162339">
        <w:rPr>
          <w:rStyle w:val="Hyperlink"/>
          <w:rFonts w:ascii="Times New Roman" w:hAnsi="Times New Roman" w:cs="Times New Roman"/>
          <w:color w:val="000000" w:themeColor="text1"/>
          <w:sz w:val="24"/>
          <w:szCs w:val="24"/>
        </w:rPr>
        <w:t xml:space="preserve"> (Darllenwyd: 7 o Rhagfyr 2018).</w:t>
      </w:r>
    </w:p>
    <w:p w14:paraId="07ADDF36"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Healy, J. (1999) </w:t>
      </w:r>
      <w:r w:rsidRPr="005E5375">
        <w:rPr>
          <w:rFonts w:ascii="Times New Roman" w:hAnsi="Times New Roman" w:cs="Times New Roman"/>
          <w:i/>
          <w:color w:val="000000" w:themeColor="text1"/>
          <w:sz w:val="24"/>
          <w:szCs w:val="24"/>
        </w:rPr>
        <w:t>Failure to connect</w:t>
      </w:r>
      <w:r w:rsidRPr="00162339">
        <w:rPr>
          <w:rFonts w:ascii="Times New Roman" w:hAnsi="Times New Roman" w:cs="Times New Roman"/>
          <w:color w:val="000000" w:themeColor="text1"/>
          <w:sz w:val="24"/>
          <w:szCs w:val="24"/>
        </w:rPr>
        <w:t>. New york: touchstone.</w:t>
      </w:r>
    </w:p>
    <w:p w14:paraId="3458CA7F" w14:textId="77777777" w:rsidR="00D55A59" w:rsidRPr="002A7662" w:rsidRDefault="00D55A59" w:rsidP="00D55A59">
      <w:pPr>
        <w:spacing w:line="360" w:lineRule="auto"/>
        <w:rPr>
          <w:rFonts w:ascii="Times New Roman" w:hAnsi="Times New Roman" w:cs="Times New Roman"/>
          <w:color w:val="000000" w:themeColor="text1"/>
          <w:sz w:val="24"/>
          <w:szCs w:val="24"/>
          <w:lang w:val="en-GB"/>
        </w:rPr>
      </w:pPr>
      <w:r w:rsidRPr="002A7662">
        <w:rPr>
          <w:rFonts w:ascii="Times New Roman" w:hAnsi="Times New Roman" w:cs="Times New Roman"/>
          <w:color w:val="000000" w:themeColor="text1"/>
          <w:sz w:val="24"/>
          <w:szCs w:val="24"/>
          <w:lang w:val="en-GB"/>
        </w:rPr>
        <w:t>Llywodraeth Cymru (2014</w:t>
      </w:r>
      <w:r w:rsidRPr="002A7662">
        <w:rPr>
          <w:rFonts w:ascii="Times New Roman" w:hAnsi="Times New Roman" w:cs="Times New Roman"/>
          <w:i/>
          <w:iCs/>
          <w:color w:val="000000" w:themeColor="text1"/>
          <w:sz w:val="24"/>
          <w:szCs w:val="24"/>
          <w:lang w:val="en-GB"/>
        </w:rPr>
        <w:t>) Fframwaith Llythrennedd a Rhifedd</w:t>
      </w:r>
      <w:r w:rsidRPr="002A7662">
        <w:rPr>
          <w:rFonts w:ascii="Times New Roman" w:hAnsi="Times New Roman" w:cs="Times New Roman"/>
          <w:color w:val="000000" w:themeColor="text1"/>
          <w:sz w:val="24"/>
          <w:szCs w:val="24"/>
          <w:lang w:val="en-GB"/>
        </w:rPr>
        <w:t xml:space="preserve">. Ar gael yn: </w:t>
      </w:r>
      <w:hyperlink r:id="rId19" w:history="1">
        <w:r w:rsidRPr="002A7662">
          <w:rPr>
            <w:rStyle w:val="Hyperlink"/>
            <w:rFonts w:ascii="Times New Roman" w:hAnsi="Times New Roman" w:cs="Times New Roman"/>
            <w:color w:val="000000" w:themeColor="text1"/>
            <w:sz w:val="24"/>
            <w:szCs w:val="24"/>
            <w:lang w:val="en-GB"/>
          </w:rPr>
          <w:t>http://learning.gov.wales/resources/browse-all/nlnf/framework?component=literacy&amp;selectedYear=col_8&amp;lang=cy</w:t>
        </w:r>
      </w:hyperlink>
      <w:r w:rsidRPr="002A7662">
        <w:rPr>
          <w:rFonts w:ascii="Times New Roman" w:hAnsi="Times New Roman" w:cs="Times New Roman"/>
          <w:color w:val="000000" w:themeColor="text1"/>
          <w:sz w:val="24"/>
          <w:szCs w:val="24"/>
          <w:lang w:val="en-GB"/>
        </w:rPr>
        <w:t xml:space="preserve"> (Darllenwyd: 6 o Rhagfyr 2018).</w:t>
      </w:r>
    </w:p>
    <w:p w14:paraId="4D5D4699"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Llywodraeth Cymru (2015) </w:t>
      </w:r>
      <w:r w:rsidRPr="00162339">
        <w:rPr>
          <w:rFonts w:ascii="Times New Roman" w:hAnsi="Times New Roman" w:cs="Times New Roman"/>
          <w:i/>
          <w:color w:val="000000" w:themeColor="text1"/>
          <w:sz w:val="24"/>
          <w:szCs w:val="24"/>
        </w:rPr>
        <w:t>Atgyfnerthu hyder yn asesiadau athrawon</w:t>
      </w:r>
      <w:r w:rsidRPr="00162339">
        <w:rPr>
          <w:rFonts w:ascii="Times New Roman" w:hAnsi="Times New Roman" w:cs="Times New Roman"/>
          <w:color w:val="000000" w:themeColor="text1"/>
          <w:sz w:val="24"/>
          <w:szCs w:val="24"/>
        </w:rPr>
        <w:t>. Ar gael yn: learning.gov.wales/docs/learningwales/publications/141211-teacher-assessment-poster-cy-v2.pdf?fbclid=IwAR1Ofc-0VUekRcgq2mjd5qEUTqcAQ3IBQI4nQ07Ra7RdB8q1dCL4cdEy0Ak (Darllenwyd: 5 o Rhagfyr 2018).</w:t>
      </w:r>
    </w:p>
    <w:p w14:paraId="0E6A3AF8"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lastRenderedPageBreak/>
        <w:t xml:space="preserve">Llywodraeth Cymru (2015) </w:t>
      </w:r>
      <w:r w:rsidRPr="00162339">
        <w:rPr>
          <w:rFonts w:ascii="Times New Roman" w:hAnsi="Times New Roman" w:cs="Times New Roman"/>
          <w:i/>
          <w:color w:val="000000" w:themeColor="text1"/>
          <w:sz w:val="24"/>
          <w:szCs w:val="24"/>
        </w:rPr>
        <w:t>Cymwys am oes</w:t>
      </w:r>
      <w:r w:rsidRPr="00162339">
        <w:rPr>
          <w:rFonts w:ascii="Times New Roman" w:hAnsi="Times New Roman" w:cs="Times New Roman"/>
          <w:color w:val="000000" w:themeColor="text1"/>
          <w:sz w:val="24"/>
          <w:szCs w:val="24"/>
        </w:rPr>
        <w:t xml:space="preserve">. Caerdydd: Llywodraeth Cymru.  </w:t>
      </w:r>
    </w:p>
    <w:p w14:paraId="1C64F857"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Llywodraeth Cymru. (2016) </w:t>
      </w:r>
      <w:r w:rsidRPr="00162339">
        <w:rPr>
          <w:rFonts w:ascii="Times New Roman" w:hAnsi="Times New Roman" w:cs="Times New Roman"/>
          <w:i/>
          <w:color w:val="000000" w:themeColor="text1"/>
          <w:sz w:val="24"/>
          <w:szCs w:val="24"/>
        </w:rPr>
        <w:t>Y Fframwaith Cymhwysedd Digidol.</w:t>
      </w:r>
      <w:r w:rsidRPr="00162339">
        <w:rPr>
          <w:rFonts w:ascii="Times New Roman" w:hAnsi="Times New Roman" w:cs="Times New Roman"/>
          <w:color w:val="000000" w:themeColor="text1"/>
          <w:sz w:val="24"/>
          <w:szCs w:val="24"/>
        </w:rPr>
        <w:t xml:space="preserve"> Ar gael yn: http://learning.gov.wales/docs/learningwales/public ations/160901-dcf-excel-cy.xlsx  (Darlennwyd: 8 o Rhagfyr).</w:t>
      </w:r>
    </w:p>
    <w:p w14:paraId="6897D694"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Morrison, K. (1994) </w:t>
      </w:r>
      <w:r w:rsidRPr="00162339">
        <w:rPr>
          <w:rFonts w:ascii="Times New Roman" w:hAnsi="Times New Roman" w:cs="Times New Roman"/>
          <w:i/>
          <w:color w:val="000000" w:themeColor="text1"/>
          <w:sz w:val="24"/>
          <w:szCs w:val="24"/>
        </w:rPr>
        <w:t xml:space="preserve">Implenting cross-curricular themes. </w:t>
      </w:r>
      <w:r w:rsidRPr="00162339">
        <w:rPr>
          <w:rFonts w:ascii="Times New Roman" w:hAnsi="Times New Roman" w:cs="Times New Roman"/>
          <w:color w:val="000000" w:themeColor="text1"/>
          <w:sz w:val="24"/>
          <w:szCs w:val="24"/>
        </w:rPr>
        <w:t>London: David Fulton Publishers.</w:t>
      </w:r>
    </w:p>
    <w:p w14:paraId="240FD5B7"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Newell, A. (2012) </w:t>
      </w:r>
      <w:r w:rsidRPr="00162339">
        <w:rPr>
          <w:rFonts w:ascii="Times New Roman" w:hAnsi="Times New Roman" w:cs="Times New Roman"/>
          <w:i/>
          <w:color w:val="000000" w:themeColor="text1"/>
          <w:sz w:val="24"/>
          <w:szCs w:val="24"/>
        </w:rPr>
        <w:t xml:space="preserve">Collaborative lesson planning. </w:t>
      </w:r>
      <w:r w:rsidRPr="00162339">
        <w:rPr>
          <w:rFonts w:ascii="Times New Roman" w:hAnsi="Times New Roman" w:cs="Times New Roman"/>
          <w:color w:val="000000" w:themeColor="text1"/>
          <w:sz w:val="24"/>
          <w:szCs w:val="24"/>
        </w:rPr>
        <w:t xml:space="preserve">Ar gael yn: </w:t>
      </w:r>
      <w:hyperlink r:id="rId20" w:history="1">
        <w:r w:rsidRPr="00162339">
          <w:rPr>
            <w:rStyle w:val="Hyperlink"/>
            <w:rFonts w:ascii="Times New Roman" w:hAnsi="Times New Roman" w:cs="Times New Roman"/>
            <w:color w:val="000000" w:themeColor="text1"/>
            <w:sz w:val="24"/>
            <w:szCs w:val="24"/>
          </w:rPr>
          <w:t>http://www.sec-ed.co.uk/blog/collaborative-lesson-planning</w:t>
        </w:r>
      </w:hyperlink>
      <w:r w:rsidRPr="00162339">
        <w:rPr>
          <w:rFonts w:ascii="Times New Roman" w:hAnsi="Times New Roman" w:cs="Times New Roman"/>
          <w:color w:val="000000" w:themeColor="text1"/>
          <w:sz w:val="24"/>
          <w:szCs w:val="24"/>
        </w:rPr>
        <w:t>. (Darllenwyd: 9 o Rhagfyr 2018).</w:t>
      </w:r>
    </w:p>
    <w:p w14:paraId="0E86A12E" w14:textId="77777777" w:rsidR="00D55A59" w:rsidRPr="00162339" w:rsidRDefault="00D55A59" w:rsidP="00D55A59">
      <w:pPr>
        <w:spacing w:line="360" w:lineRule="auto"/>
        <w:rPr>
          <w:rFonts w:ascii="Times New Roman" w:hAnsi="Times New Roman" w:cs="Times New Roman"/>
          <w:color w:val="000000" w:themeColor="text1"/>
          <w:sz w:val="24"/>
          <w:szCs w:val="24"/>
        </w:rPr>
      </w:pPr>
      <w:bookmarkStart w:id="5" w:name="_Hlk531786012"/>
      <w:r w:rsidRPr="00162339">
        <w:rPr>
          <w:rFonts w:ascii="Times New Roman" w:hAnsi="Times New Roman" w:cs="Times New Roman"/>
          <w:color w:val="000000" w:themeColor="text1"/>
          <w:sz w:val="24"/>
          <w:szCs w:val="24"/>
        </w:rPr>
        <w:t>Nokelainen</w:t>
      </w:r>
      <w:bookmarkEnd w:id="5"/>
      <w:r w:rsidRPr="00162339">
        <w:rPr>
          <w:rFonts w:ascii="Times New Roman" w:hAnsi="Times New Roman" w:cs="Times New Roman"/>
          <w:color w:val="000000" w:themeColor="text1"/>
          <w:sz w:val="24"/>
          <w:szCs w:val="24"/>
        </w:rPr>
        <w:t xml:space="preserve">, P. (2006). </w:t>
      </w:r>
      <w:r w:rsidRPr="00162339">
        <w:rPr>
          <w:rFonts w:ascii="Times New Roman" w:hAnsi="Times New Roman" w:cs="Times New Roman"/>
          <w:i/>
          <w:color w:val="000000" w:themeColor="text1"/>
          <w:sz w:val="24"/>
          <w:szCs w:val="24"/>
        </w:rPr>
        <w:t xml:space="preserve">An empirical assessment of pedagogical usability criteria for digital learning material with elementary school students. </w:t>
      </w:r>
      <w:r w:rsidRPr="00162339">
        <w:rPr>
          <w:rFonts w:ascii="Times New Roman" w:hAnsi="Times New Roman" w:cs="Times New Roman"/>
          <w:color w:val="000000" w:themeColor="text1"/>
          <w:sz w:val="24"/>
          <w:szCs w:val="24"/>
        </w:rPr>
        <w:t xml:space="preserve">Ar gael yn: </w:t>
      </w:r>
      <w:hyperlink r:id="rId21" w:anchor="page_scan_tab_contents" w:history="1">
        <w:r w:rsidRPr="00162339">
          <w:rPr>
            <w:rStyle w:val="Hyperlink"/>
            <w:rFonts w:ascii="Times New Roman" w:hAnsi="Times New Roman" w:cs="Times New Roman"/>
            <w:color w:val="000000" w:themeColor="text1"/>
            <w:sz w:val="24"/>
            <w:szCs w:val="24"/>
          </w:rPr>
          <w:t>https://www.jstor.org/stable/pdf/jeductechsoci.9.2.178.pdf?seq=1#page_scan_tab_contents</w:t>
        </w:r>
      </w:hyperlink>
      <w:r w:rsidRPr="00162339">
        <w:rPr>
          <w:rFonts w:ascii="Times New Roman" w:hAnsi="Times New Roman" w:cs="Times New Roman"/>
          <w:color w:val="000000" w:themeColor="text1"/>
          <w:sz w:val="24"/>
          <w:szCs w:val="24"/>
        </w:rPr>
        <w:t xml:space="preserve"> (Darllenwyd: 4 o Rhagfyr 2018).</w:t>
      </w:r>
    </w:p>
    <w:p w14:paraId="5DE21110"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Payton, S. and Hague, C. (2010). </w:t>
      </w:r>
      <w:r w:rsidRPr="005E5375">
        <w:rPr>
          <w:rFonts w:ascii="Times New Roman" w:hAnsi="Times New Roman" w:cs="Times New Roman"/>
          <w:i/>
          <w:color w:val="000000" w:themeColor="text1"/>
          <w:sz w:val="24"/>
          <w:szCs w:val="24"/>
        </w:rPr>
        <w:t>Digital literacy across the curriculum</w:t>
      </w:r>
      <w:r>
        <w:rPr>
          <w:rFonts w:ascii="Times New Roman" w:hAnsi="Times New Roman" w:cs="Times New Roman"/>
          <w:color w:val="000000" w:themeColor="text1"/>
          <w:sz w:val="24"/>
          <w:szCs w:val="24"/>
        </w:rPr>
        <w:t>.</w:t>
      </w:r>
      <w:r w:rsidRPr="00162339">
        <w:rPr>
          <w:rFonts w:ascii="Times New Roman" w:hAnsi="Times New Roman" w:cs="Times New Roman"/>
          <w:color w:val="000000" w:themeColor="text1"/>
          <w:sz w:val="24"/>
          <w:szCs w:val="24"/>
        </w:rPr>
        <w:t xml:space="preserve"> Bristol: Futurelab.</w:t>
      </w:r>
    </w:p>
    <w:p w14:paraId="44B58B39"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Penny, D. (2010) </w:t>
      </w:r>
      <w:r w:rsidRPr="00162339">
        <w:rPr>
          <w:rFonts w:ascii="Times New Roman" w:hAnsi="Times New Roman" w:cs="Times New Roman"/>
          <w:i/>
          <w:color w:val="000000" w:themeColor="text1"/>
          <w:sz w:val="24"/>
          <w:szCs w:val="24"/>
        </w:rPr>
        <w:t>Inclusive Early Childhood Education: Development, Resources, and Practice</w:t>
      </w:r>
      <w:r w:rsidRPr="00162339">
        <w:rPr>
          <w:rFonts w:ascii="Times New Roman" w:hAnsi="Times New Roman" w:cs="Times New Roman"/>
          <w:color w:val="000000" w:themeColor="text1"/>
          <w:sz w:val="24"/>
          <w:szCs w:val="24"/>
        </w:rPr>
        <w:t>. Belmont: Wadsworth Cengage learning.</w:t>
      </w:r>
    </w:p>
    <w:p w14:paraId="03AADF94"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Pound, L. a Lee, T. (2015) </w:t>
      </w:r>
      <w:r w:rsidRPr="00162339">
        <w:rPr>
          <w:rFonts w:ascii="Times New Roman" w:hAnsi="Times New Roman" w:cs="Times New Roman"/>
          <w:i/>
          <w:color w:val="000000" w:themeColor="text1"/>
          <w:sz w:val="24"/>
          <w:szCs w:val="24"/>
        </w:rPr>
        <w:t xml:space="preserve">Teaching Mathematics Creatively 2ed. </w:t>
      </w:r>
      <w:r w:rsidRPr="00162339">
        <w:rPr>
          <w:rFonts w:ascii="Times New Roman" w:hAnsi="Times New Roman" w:cs="Times New Roman"/>
          <w:color w:val="000000" w:themeColor="text1"/>
          <w:sz w:val="24"/>
          <w:szCs w:val="24"/>
        </w:rPr>
        <w:t>Oxon: Routledge.</w:t>
      </w:r>
    </w:p>
    <w:p w14:paraId="4D4FEA63"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Pound, L. and Lee, T. (2010</w:t>
      </w:r>
      <w:r w:rsidRPr="00162339">
        <w:rPr>
          <w:rFonts w:ascii="Times New Roman" w:hAnsi="Times New Roman" w:cs="Times New Roman"/>
          <w:i/>
          <w:color w:val="000000" w:themeColor="text1"/>
          <w:sz w:val="24"/>
          <w:szCs w:val="24"/>
        </w:rPr>
        <w:t>) Teaching Mathematics Creatively.</w:t>
      </w:r>
      <w:r w:rsidRPr="00162339">
        <w:rPr>
          <w:rFonts w:ascii="Times New Roman" w:hAnsi="Times New Roman" w:cs="Times New Roman"/>
          <w:color w:val="000000" w:themeColor="text1"/>
          <w:sz w:val="24"/>
          <w:szCs w:val="24"/>
        </w:rPr>
        <w:t xml:space="preserve"> Routledge: Oxon</w:t>
      </w:r>
    </w:p>
    <w:p w14:paraId="0DDFA598"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Robinson, K. a Aronica, L. (2015) </w:t>
      </w:r>
      <w:r w:rsidRPr="005E5375">
        <w:rPr>
          <w:rFonts w:ascii="Times New Roman" w:hAnsi="Times New Roman" w:cs="Times New Roman"/>
          <w:i/>
          <w:color w:val="000000" w:themeColor="text1"/>
          <w:sz w:val="24"/>
          <w:szCs w:val="24"/>
        </w:rPr>
        <w:t>Creative schools</w:t>
      </w:r>
      <w:r w:rsidRPr="00162339">
        <w:rPr>
          <w:rFonts w:ascii="Times New Roman" w:hAnsi="Times New Roman" w:cs="Times New Roman"/>
          <w:color w:val="000000" w:themeColor="text1"/>
          <w:sz w:val="24"/>
          <w:szCs w:val="24"/>
        </w:rPr>
        <w:t>. America: Penguin Books.</w:t>
      </w:r>
    </w:p>
    <w:p w14:paraId="57E07296"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Rowely, C. a Cooper, H. (2009) </w:t>
      </w:r>
      <w:r w:rsidRPr="00162339">
        <w:rPr>
          <w:rFonts w:ascii="Times New Roman" w:hAnsi="Times New Roman" w:cs="Times New Roman"/>
          <w:i/>
          <w:color w:val="000000" w:themeColor="text1"/>
          <w:sz w:val="24"/>
          <w:szCs w:val="24"/>
        </w:rPr>
        <w:t xml:space="preserve">Cross-curricular approaches to teaching and learning. </w:t>
      </w:r>
      <w:r w:rsidRPr="00162339">
        <w:rPr>
          <w:rFonts w:ascii="Times New Roman" w:hAnsi="Times New Roman" w:cs="Times New Roman"/>
          <w:color w:val="000000" w:themeColor="text1"/>
          <w:sz w:val="24"/>
          <w:szCs w:val="24"/>
        </w:rPr>
        <w:t>London: SAGE Publications.</w:t>
      </w:r>
    </w:p>
    <w:p w14:paraId="5898D170" w14:textId="77777777" w:rsidR="00D55A59" w:rsidRPr="0016233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Siraj-Blatchford, J. a Siraj-Blatchford, I. (1995) </w:t>
      </w:r>
      <w:r w:rsidRPr="00162339">
        <w:rPr>
          <w:rFonts w:ascii="Times New Roman" w:hAnsi="Times New Roman" w:cs="Times New Roman"/>
          <w:i/>
          <w:color w:val="000000" w:themeColor="text1"/>
          <w:sz w:val="24"/>
          <w:szCs w:val="24"/>
        </w:rPr>
        <w:t>Educating the whole child cross-curricular skills, themes and dimensions.</w:t>
      </w:r>
      <w:r w:rsidRPr="00162339">
        <w:rPr>
          <w:rFonts w:ascii="Times New Roman" w:hAnsi="Times New Roman" w:cs="Times New Roman"/>
          <w:color w:val="000000" w:themeColor="text1"/>
          <w:sz w:val="24"/>
          <w:szCs w:val="24"/>
        </w:rPr>
        <w:t xml:space="preserve"> Buckingham: Open University Press.</w:t>
      </w:r>
    </w:p>
    <w:p w14:paraId="79A79392" w14:textId="77777777" w:rsidR="00D55A59" w:rsidRPr="00162339" w:rsidRDefault="00D55A59" w:rsidP="00D55A59">
      <w:pPr>
        <w:spacing w:line="360" w:lineRule="auto"/>
        <w:rPr>
          <w:rFonts w:ascii="Times New Roman" w:hAnsi="Times New Roman" w:cs="Times New Roman"/>
          <w:i/>
          <w:color w:val="000000" w:themeColor="text1"/>
          <w:sz w:val="24"/>
          <w:szCs w:val="24"/>
        </w:rPr>
      </w:pPr>
      <w:r w:rsidRPr="00162339">
        <w:rPr>
          <w:rFonts w:ascii="Times New Roman" w:hAnsi="Times New Roman" w:cs="Times New Roman"/>
          <w:color w:val="000000" w:themeColor="text1"/>
          <w:sz w:val="24"/>
          <w:szCs w:val="24"/>
        </w:rPr>
        <w:t xml:space="preserve">Yr Adran Addysg a Sgiliau (2013) </w:t>
      </w:r>
      <w:r w:rsidRPr="00162339">
        <w:rPr>
          <w:rFonts w:ascii="Times New Roman" w:hAnsi="Times New Roman" w:cs="Times New Roman"/>
          <w:i/>
          <w:color w:val="000000" w:themeColor="text1"/>
          <w:sz w:val="24"/>
          <w:szCs w:val="24"/>
        </w:rPr>
        <w:t>Asesu ar gyfer dysgu a’r Fframwaith Llythrennedd a Rhifedd Cenedlaethol.</w:t>
      </w:r>
      <w:r>
        <w:rPr>
          <w:rFonts w:ascii="Times New Roman" w:hAnsi="Times New Roman" w:cs="Times New Roman"/>
          <w:i/>
          <w:color w:val="000000" w:themeColor="text1"/>
          <w:sz w:val="24"/>
          <w:szCs w:val="24"/>
        </w:rPr>
        <w:t xml:space="preserve"> </w:t>
      </w:r>
      <w:r w:rsidRPr="005E5375">
        <w:rPr>
          <w:rFonts w:ascii="Times New Roman" w:hAnsi="Times New Roman" w:cs="Times New Roman"/>
          <w:color w:val="000000" w:themeColor="text1"/>
          <w:sz w:val="24"/>
          <w:szCs w:val="24"/>
        </w:rPr>
        <w:t>Caerdydd: Llywodraeth Cymru.</w:t>
      </w:r>
    </w:p>
    <w:p w14:paraId="2CD538BC" w14:textId="77777777" w:rsidR="00D55A59" w:rsidRPr="002A7662" w:rsidRDefault="00D55A59" w:rsidP="00D55A59">
      <w:pPr>
        <w:spacing w:line="360" w:lineRule="auto"/>
        <w:rPr>
          <w:rFonts w:ascii="Times New Roman" w:hAnsi="Times New Roman" w:cs="Times New Roman"/>
          <w:color w:val="000000" w:themeColor="text1"/>
          <w:sz w:val="24"/>
          <w:szCs w:val="24"/>
          <w:lang w:val="en-GB"/>
        </w:rPr>
      </w:pPr>
      <w:r w:rsidRPr="002A7662">
        <w:rPr>
          <w:rFonts w:ascii="Times New Roman" w:hAnsi="Times New Roman" w:cs="Times New Roman"/>
          <w:color w:val="000000" w:themeColor="text1"/>
          <w:sz w:val="24"/>
          <w:szCs w:val="24"/>
          <w:lang w:val="en-GB"/>
        </w:rPr>
        <w:t xml:space="preserve">Yr Adran Addysg a Sgiliau (2015) </w:t>
      </w:r>
      <w:r w:rsidRPr="002A7662">
        <w:rPr>
          <w:rFonts w:ascii="Times New Roman" w:hAnsi="Times New Roman" w:cs="Times New Roman"/>
          <w:i/>
          <w:iCs/>
          <w:color w:val="000000" w:themeColor="text1"/>
          <w:sz w:val="24"/>
          <w:szCs w:val="24"/>
          <w:lang w:val="en-GB"/>
        </w:rPr>
        <w:t xml:space="preserve">Fframwaith y Cyfnod Sylfaen. </w:t>
      </w:r>
      <w:r w:rsidRPr="002A7662">
        <w:rPr>
          <w:rFonts w:ascii="Times New Roman" w:hAnsi="Times New Roman" w:cs="Times New Roman"/>
          <w:color w:val="000000" w:themeColor="text1"/>
          <w:sz w:val="24"/>
          <w:szCs w:val="24"/>
          <w:lang w:val="en-GB"/>
        </w:rPr>
        <w:t xml:space="preserve">Ar gael yn: </w:t>
      </w:r>
      <w:hyperlink r:id="rId22" w:history="1">
        <w:r w:rsidRPr="002A7662">
          <w:rPr>
            <w:rStyle w:val="Hyperlink"/>
            <w:rFonts w:ascii="Times New Roman" w:hAnsi="Times New Roman" w:cs="Times New Roman"/>
            <w:color w:val="000000" w:themeColor="text1"/>
            <w:sz w:val="24"/>
            <w:szCs w:val="24"/>
            <w:lang w:val="en-GB"/>
          </w:rPr>
          <w:t>http://learning.gov.wales/docs/learningwales/publications/150803-fp-framework-cy.pdf</w:t>
        </w:r>
      </w:hyperlink>
      <w:r w:rsidRPr="002A7662">
        <w:rPr>
          <w:rFonts w:ascii="Times New Roman" w:hAnsi="Times New Roman" w:cs="Times New Roman"/>
          <w:color w:val="000000" w:themeColor="text1"/>
          <w:sz w:val="24"/>
          <w:szCs w:val="24"/>
          <w:lang w:val="en-GB"/>
        </w:rPr>
        <w:t xml:space="preserve"> (Darllenwyd: 4 o Rhagfyr 2018).</w:t>
      </w:r>
    </w:p>
    <w:p w14:paraId="173157E9" w14:textId="25371603" w:rsidR="00D55A59" w:rsidRPr="00D55A59" w:rsidRDefault="00D55A59" w:rsidP="00D55A59">
      <w:pPr>
        <w:spacing w:line="360" w:lineRule="auto"/>
        <w:rPr>
          <w:rFonts w:ascii="Times New Roman" w:hAnsi="Times New Roman" w:cs="Times New Roman"/>
          <w:color w:val="000000" w:themeColor="text1"/>
          <w:sz w:val="24"/>
          <w:szCs w:val="24"/>
        </w:rPr>
      </w:pPr>
      <w:r w:rsidRPr="00162339">
        <w:rPr>
          <w:rFonts w:ascii="Times New Roman" w:hAnsi="Times New Roman" w:cs="Times New Roman"/>
          <w:color w:val="000000" w:themeColor="text1"/>
          <w:sz w:val="24"/>
          <w:szCs w:val="24"/>
        </w:rPr>
        <w:t xml:space="preserve">Yr Adran Addysg a Sgiliau. (2014) </w:t>
      </w:r>
      <w:r w:rsidRPr="005E5375">
        <w:rPr>
          <w:rFonts w:ascii="Times New Roman" w:hAnsi="Times New Roman" w:cs="Times New Roman"/>
          <w:i/>
          <w:color w:val="000000" w:themeColor="text1"/>
          <w:sz w:val="24"/>
          <w:szCs w:val="24"/>
        </w:rPr>
        <w:t>Asesu ar gyfer dysgu a’r Fframwaith Llythrennedd a Rhifedd Cenedlaethol</w:t>
      </w:r>
      <w:r>
        <w:rPr>
          <w:rFonts w:ascii="Times New Roman" w:hAnsi="Times New Roman" w:cs="Times New Roman"/>
          <w:i/>
          <w:color w:val="000000" w:themeColor="text1"/>
          <w:sz w:val="24"/>
          <w:szCs w:val="24"/>
        </w:rPr>
        <w:t>.</w:t>
      </w:r>
      <w:r w:rsidRPr="00162339">
        <w:rPr>
          <w:rFonts w:ascii="Times New Roman" w:hAnsi="Times New Roman" w:cs="Times New Roman"/>
          <w:color w:val="000000" w:themeColor="text1"/>
          <w:sz w:val="24"/>
          <w:szCs w:val="24"/>
        </w:rPr>
        <w:t xml:space="preserve"> Caerdydd: Llywodraeth Cymru. </w:t>
      </w:r>
    </w:p>
    <w:sectPr w:rsidR="00D55A59" w:rsidRPr="00D55A59">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30981" w14:textId="77777777" w:rsidR="009B7ABB" w:rsidRDefault="009B7ABB" w:rsidP="004A0FAE">
      <w:pPr>
        <w:spacing w:after="0" w:line="240" w:lineRule="auto"/>
      </w:pPr>
      <w:r>
        <w:separator/>
      </w:r>
    </w:p>
  </w:endnote>
  <w:endnote w:type="continuationSeparator" w:id="0">
    <w:p w14:paraId="72094766" w14:textId="77777777" w:rsidR="009B7ABB" w:rsidRDefault="009B7ABB" w:rsidP="004A0F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val="0"/>
      </w:rPr>
      <w:id w:val="1578251622"/>
      <w:docPartObj>
        <w:docPartGallery w:val="Page Numbers (Bottom of Page)"/>
        <w:docPartUnique/>
      </w:docPartObj>
    </w:sdtPr>
    <w:sdtEndPr>
      <w:rPr>
        <w:noProof/>
      </w:rPr>
    </w:sdtEndPr>
    <w:sdtContent>
      <w:p w14:paraId="4FFAEB89" w14:textId="4AF834AC" w:rsidR="009B7ABB" w:rsidRDefault="009B7ABB">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0AFB8933" w14:textId="77777777" w:rsidR="009B7ABB" w:rsidRDefault="009B7A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71FAA" w14:textId="77777777" w:rsidR="009B7ABB" w:rsidRDefault="009B7ABB" w:rsidP="004A0FAE">
      <w:pPr>
        <w:spacing w:after="0" w:line="240" w:lineRule="auto"/>
      </w:pPr>
      <w:r>
        <w:separator/>
      </w:r>
    </w:p>
  </w:footnote>
  <w:footnote w:type="continuationSeparator" w:id="0">
    <w:p w14:paraId="1F83CD7B" w14:textId="77777777" w:rsidR="009B7ABB" w:rsidRDefault="009B7ABB" w:rsidP="004A0F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9228E" w14:textId="52079C10" w:rsidR="009B7ABB" w:rsidRDefault="009B7ABB">
    <w:pPr>
      <w:pStyle w:val="Header"/>
    </w:pPr>
    <w:r>
      <w:t>1404843</w:t>
    </w:r>
  </w:p>
  <w:p w14:paraId="0E9E4508" w14:textId="77777777" w:rsidR="009B7ABB" w:rsidRDefault="009B7A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9921AD"/>
    <w:multiLevelType w:val="hybridMultilevel"/>
    <w:tmpl w:val="A8D6CA5A"/>
    <w:lvl w:ilvl="0" w:tplc="AD1690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560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520"/>
    <w:rsid w:val="00043133"/>
    <w:rsid w:val="00043218"/>
    <w:rsid w:val="00052D8B"/>
    <w:rsid w:val="000758F7"/>
    <w:rsid w:val="00081B7A"/>
    <w:rsid w:val="00095F72"/>
    <w:rsid w:val="0009620B"/>
    <w:rsid w:val="0009670D"/>
    <w:rsid w:val="000A4AC3"/>
    <w:rsid w:val="000B4AA0"/>
    <w:rsid w:val="000B7C7B"/>
    <w:rsid w:val="000C0AB4"/>
    <w:rsid w:val="000D7FB7"/>
    <w:rsid w:val="0010087A"/>
    <w:rsid w:val="00107B6A"/>
    <w:rsid w:val="00152587"/>
    <w:rsid w:val="0016187B"/>
    <w:rsid w:val="0018651D"/>
    <w:rsid w:val="00197A3B"/>
    <w:rsid w:val="001B241B"/>
    <w:rsid w:val="001B26A7"/>
    <w:rsid w:val="001B3C6A"/>
    <w:rsid w:val="001D1162"/>
    <w:rsid w:val="001E087E"/>
    <w:rsid w:val="001E28DB"/>
    <w:rsid w:val="001E5143"/>
    <w:rsid w:val="00214534"/>
    <w:rsid w:val="00250148"/>
    <w:rsid w:val="00251231"/>
    <w:rsid w:val="002647EA"/>
    <w:rsid w:val="00267C57"/>
    <w:rsid w:val="00284522"/>
    <w:rsid w:val="00292D38"/>
    <w:rsid w:val="002A40E0"/>
    <w:rsid w:val="002C4F63"/>
    <w:rsid w:val="002E1D2A"/>
    <w:rsid w:val="002E4B2E"/>
    <w:rsid w:val="0030278F"/>
    <w:rsid w:val="00302E54"/>
    <w:rsid w:val="00304615"/>
    <w:rsid w:val="00307591"/>
    <w:rsid w:val="003416FC"/>
    <w:rsid w:val="00341F91"/>
    <w:rsid w:val="0034280C"/>
    <w:rsid w:val="00345095"/>
    <w:rsid w:val="0034567D"/>
    <w:rsid w:val="003549A1"/>
    <w:rsid w:val="00371345"/>
    <w:rsid w:val="00377CF6"/>
    <w:rsid w:val="00386055"/>
    <w:rsid w:val="00390DE6"/>
    <w:rsid w:val="003A07BB"/>
    <w:rsid w:val="003A190C"/>
    <w:rsid w:val="003A79D7"/>
    <w:rsid w:val="003B173C"/>
    <w:rsid w:val="003C0932"/>
    <w:rsid w:val="003F5F6D"/>
    <w:rsid w:val="00412643"/>
    <w:rsid w:val="00417D6C"/>
    <w:rsid w:val="00420932"/>
    <w:rsid w:val="00451DC0"/>
    <w:rsid w:val="00471D54"/>
    <w:rsid w:val="00481742"/>
    <w:rsid w:val="004875C3"/>
    <w:rsid w:val="00495F3C"/>
    <w:rsid w:val="004A0FAE"/>
    <w:rsid w:val="004A42E5"/>
    <w:rsid w:val="004A620D"/>
    <w:rsid w:val="004C1136"/>
    <w:rsid w:val="004C65A1"/>
    <w:rsid w:val="004C6627"/>
    <w:rsid w:val="004C73EA"/>
    <w:rsid w:val="004D13A4"/>
    <w:rsid w:val="004D3FBA"/>
    <w:rsid w:val="004E2931"/>
    <w:rsid w:val="005127BD"/>
    <w:rsid w:val="00524072"/>
    <w:rsid w:val="00547895"/>
    <w:rsid w:val="00555ECF"/>
    <w:rsid w:val="00556E1D"/>
    <w:rsid w:val="005706E3"/>
    <w:rsid w:val="005718FC"/>
    <w:rsid w:val="005774E9"/>
    <w:rsid w:val="00590832"/>
    <w:rsid w:val="00591724"/>
    <w:rsid w:val="005976EB"/>
    <w:rsid w:val="005A0E01"/>
    <w:rsid w:val="005A289D"/>
    <w:rsid w:val="005D62AC"/>
    <w:rsid w:val="006047B6"/>
    <w:rsid w:val="00606FCA"/>
    <w:rsid w:val="006109A4"/>
    <w:rsid w:val="00626BE3"/>
    <w:rsid w:val="00633125"/>
    <w:rsid w:val="0063446B"/>
    <w:rsid w:val="00645BB6"/>
    <w:rsid w:val="00662C60"/>
    <w:rsid w:val="00662D38"/>
    <w:rsid w:val="00667B51"/>
    <w:rsid w:val="00672CB2"/>
    <w:rsid w:val="00680F68"/>
    <w:rsid w:val="00694B71"/>
    <w:rsid w:val="00695083"/>
    <w:rsid w:val="00695D21"/>
    <w:rsid w:val="00695D4B"/>
    <w:rsid w:val="006B6E4E"/>
    <w:rsid w:val="006C4801"/>
    <w:rsid w:val="006D22C6"/>
    <w:rsid w:val="00723BD6"/>
    <w:rsid w:val="0072437A"/>
    <w:rsid w:val="007407A9"/>
    <w:rsid w:val="00742085"/>
    <w:rsid w:val="00753061"/>
    <w:rsid w:val="0077763E"/>
    <w:rsid w:val="007A1724"/>
    <w:rsid w:val="007A1A7C"/>
    <w:rsid w:val="007B20A9"/>
    <w:rsid w:val="007C02C7"/>
    <w:rsid w:val="007C0944"/>
    <w:rsid w:val="007C5C31"/>
    <w:rsid w:val="007D4236"/>
    <w:rsid w:val="007F1F96"/>
    <w:rsid w:val="007F2507"/>
    <w:rsid w:val="007F41E4"/>
    <w:rsid w:val="007F6BE1"/>
    <w:rsid w:val="00812904"/>
    <w:rsid w:val="00812D22"/>
    <w:rsid w:val="00827218"/>
    <w:rsid w:val="008316AD"/>
    <w:rsid w:val="00835E9D"/>
    <w:rsid w:val="00847B3D"/>
    <w:rsid w:val="0085409C"/>
    <w:rsid w:val="00861C45"/>
    <w:rsid w:val="008626B6"/>
    <w:rsid w:val="008737D1"/>
    <w:rsid w:val="00876100"/>
    <w:rsid w:val="008769AD"/>
    <w:rsid w:val="0088082D"/>
    <w:rsid w:val="008A0C70"/>
    <w:rsid w:val="008C35AA"/>
    <w:rsid w:val="008D5611"/>
    <w:rsid w:val="008D76C8"/>
    <w:rsid w:val="008E0176"/>
    <w:rsid w:val="008E330E"/>
    <w:rsid w:val="008E33FF"/>
    <w:rsid w:val="008F6754"/>
    <w:rsid w:val="00913A3D"/>
    <w:rsid w:val="00913CC9"/>
    <w:rsid w:val="00917600"/>
    <w:rsid w:val="00975875"/>
    <w:rsid w:val="009821E1"/>
    <w:rsid w:val="009859F9"/>
    <w:rsid w:val="009A63CB"/>
    <w:rsid w:val="009B7ABB"/>
    <w:rsid w:val="009E4C76"/>
    <w:rsid w:val="00A141E2"/>
    <w:rsid w:val="00A15D8F"/>
    <w:rsid w:val="00A271FA"/>
    <w:rsid w:val="00A27628"/>
    <w:rsid w:val="00A41B52"/>
    <w:rsid w:val="00A41C44"/>
    <w:rsid w:val="00A43548"/>
    <w:rsid w:val="00A56F14"/>
    <w:rsid w:val="00A665A7"/>
    <w:rsid w:val="00A77B15"/>
    <w:rsid w:val="00A8156F"/>
    <w:rsid w:val="00A87881"/>
    <w:rsid w:val="00A97520"/>
    <w:rsid w:val="00AA0257"/>
    <w:rsid w:val="00AA22FF"/>
    <w:rsid w:val="00AD726D"/>
    <w:rsid w:val="00AF42FB"/>
    <w:rsid w:val="00AF4543"/>
    <w:rsid w:val="00AF63FC"/>
    <w:rsid w:val="00B51C0C"/>
    <w:rsid w:val="00B5620A"/>
    <w:rsid w:val="00B60972"/>
    <w:rsid w:val="00B616F7"/>
    <w:rsid w:val="00BA635C"/>
    <w:rsid w:val="00BB03B5"/>
    <w:rsid w:val="00BD6F25"/>
    <w:rsid w:val="00BD7482"/>
    <w:rsid w:val="00BE11C8"/>
    <w:rsid w:val="00BF5A5B"/>
    <w:rsid w:val="00C06369"/>
    <w:rsid w:val="00C343E6"/>
    <w:rsid w:val="00C35630"/>
    <w:rsid w:val="00C41415"/>
    <w:rsid w:val="00C7286A"/>
    <w:rsid w:val="00C7330C"/>
    <w:rsid w:val="00C74C4B"/>
    <w:rsid w:val="00C82A82"/>
    <w:rsid w:val="00CA21D1"/>
    <w:rsid w:val="00CC0BED"/>
    <w:rsid w:val="00CD1679"/>
    <w:rsid w:val="00CD33F0"/>
    <w:rsid w:val="00CD6D73"/>
    <w:rsid w:val="00CE59C6"/>
    <w:rsid w:val="00CE6B8A"/>
    <w:rsid w:val="00CF42C5"/>
    <w:rsid w:val="00CF7435"/>
    <w:rsid w:val="00D053CF"/>
    <w:rsid w:val="00D215D0"/>
    <w:rsid w:val="00D36323"/>
    <w:rsid w:val="00D452FB"/>
    <w:rsid w:val="00D5407F"/>
    <w:rsid w:val="00D55A59"/>
    <w:rsid w:val="00D6440E"/>
    <w:rsid w:val="00D73191"/>
    <w:rsid w:val="00D75A8F"/>
    <w:rsid w:val="00D93D7B"/>
    <w:rsid w:val="00DB5032"/>
    <w:rsid w:val="00DB6FD7"/>
    <w:rsid w:val="00DD04B5"/>
    <w:rsid w:val="00DD173F"/>
    <w:rsid w:val="00DD3225"/>
    <w:rsid w:val="00DD7A94"/>
    <w:rsid w:val="00DE33E7"/>
    <w:rsid w:val="00DE6E22"/>
    <w:rsid w:val="00DF5DAF"/>
    <w:rsid w:val="00E13F29"/>
    <w:rsid w:val="00E17B1B"/>
    <w:rsid w:val="00E52A82"/>
    <w:rsid w:val="00E57AB4"/>
    <w:rsid w:val="00E76B25"/>
    <w:rsid w:val="00E825C6"/>
    <w:rsid w:val="00E8512D"/>
    <w:rsid w:val="00EA54A1"/>
    <w:rsid w:val="00EB68C8"/>
    <w:rsid w:val="00ED1BFF"/>
    <w:rsid w:val="00F018C6"/>
    <w:rsid w:val="00F0378C"/>
    <w:rsid w:val="00F15EA9"/>
    <w:rsid w:val="00F2430B"/>
    <w:rsid w:val="00F31B31"/>
    <w:rsid w:val="00F46DEF"/>
    <w:rsid w:val="00F473EB"/>
    <w:rsid w:val="00F540F7"/>
    <w:rsid w:val="00F546EC"/>
    <w:rsid w:val="00F83D3F"/>
    <w:rsid w:val="00F8761C"/>
    <w:rsid w:val="00F94E05"/>
    <w:rsid w:val="00FA72C3"/>
    <w:rsid w:val="00FC744D"/>
    <w:rsid w:val="00FC7528"/>
    <w:rsid w:val="00FD4342"/>
    <w:rsid w:val="00FE2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14:docId w14:val="163E685B"/>
  <w15:chartTrackingRefBased/>
  <w15:docId w15:val="{73D5BE00-E087-4CAE-B98B-84368B8B5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noProof/>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9821E1"/>
    <w:pPr>
      <w:spacing w:after="0" w:line="240" w:lineRule="auto"/>
    </w:pPr>
    <w:rPr>
      <w:noProof/>
      <w:lang w:val="cy-GB"/>
    </w:rPr>
  </w:style>
  <w:style w:type="paragraph" w:styleId="BalloonText">
    <w:name w:val="Balloon Text"/>
    <w:basedOn w:val="Normal"/>
    <w:link w:val="BalloonTextChar"/>
    <w:uiPriority w:val="99"/>
    <w:semiHidden/>
    <w:unhideWhenUsed/>
    <w:rsid w:val="009821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21E1"/>
    <w:rPr>
      <w:rFonts w:ascii="Segoe UI" w:hAnsi="Segoe UI" w:cs="Segoe UI"/>
      <w:noProof/>
      <w:sz w:val="18"/>
      <w:szCs w:val="18"/>
      <w:lang w:val="cy-GB"/>
    </w:rPr>
  </w:style>
  <w:style w:type="paragraph" w:styleId="Header">
    <w:name w:val="header"/>
    <w:basedOn w:val="Normal"/>
    <w:link w:val="HeaderChar"/>
    <w:uiPriority w:val="99"/>
    <w:unhideWhenUsed/>
    <w:rsid w:val="004A0F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FAE"/>
    <w:rPr>
      <w:noProof/>
      <w:lang w:val="cy-GB"/>
    </w:rPr>
  </w:style>
  <w:style w:type="paragraph" w:styleId="Footer">
    <w:name w:val="footer"/>
    <w:basedOn w:val="Normal"/>
    <w:link w:val="FooterChar"/>
    <w:uiPriority w:val="99"/>
    <w:unhideWhenUsed/>
    <w:rsid w:val="004A0F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FAE"/>
    <w:rPr>
      <w:noProof/>
      <w:lang w:val="cy-GB"/>
    </w:rPr>
  </w:style>
  <w:style w:type="character" w:styleId="Hyperlink">
    <w:name w:val="Hyperlink"/>
    <w:basedOn w:val="DefaultParagraphFont"/>
    <w:uiPriority w:val="99"/>
    <w:unhideWhenUsed/>
    <w:rsid w:val="004A0FAE"/>
    <w:rPr>
      <w:color w:val="0563C1" w:themeColor="hyperlink"/>
      <w:u w:val="single"/>
    </w:rPr>
  </w:style>
  <w:style w:type="character" w:styleId="UnresolvedMention">
    <w:name w:val="Unresolved Mention"/>
    <w:basedOn w:val="DefaultParagraphFont"/>
    <w:uiPriority w:val="99"/>
    <w:semiHidden/>
    <w:unhideWhenUsed/>
    <w:rsid w:val="004A0FAE"/>
    <w:rPr>
      <w:color w:val="605E5C"/>
      <w:shd w:val="clear" w:color="auto" w:fill="E1DFDD"/>
    </w:rPr>
  </w:style>
  <w:style w:type="character" w:customStyle="1" w:styleId="tlid-translation">
    <w:name w:val="tlid-translation"/>
    <w:basedOn w:val="DefaultParagraphFont"/>
    <w:rsid w:val="00F46DEF"/>
  </w:style>
  <w:style w:type="paragraph" w:styleId="NormalWeb">
    <w:name w:val="Normal (Web)"/>
    <w:basedOn w:val="Normal"/>
    <w:uiPriority w:val="99"/>
    <w:semiHidden/>
    <w:unhideWhenUsed/>
    <w:rsid w:val="00DB5032"/>
    <w:pPr>
      <w:spacing w:before="100" w:beforeAutospacing="1" w:after="100" w:afterAutospacing="1" w:line="240" w:lineRule="auto"/>
    </w:pPr>
    <w:rPr>
      <w:rFonts w:ascii="Times New Roman" w:eastAsia="Times New Roman" w:hAnsi="Times New Roman" w:cs="Times New Roman"/>
      <w:noProof w:val="0"/>
      <w:sz w:val="24"/>
      <w:szCs w:val="24"/>
      <w:lang w:val="en-GB" w:eastAsia="en-GB"/>
    </w:rPr>
  </w:style>
  <w:style w:type="character" w:customStyle="1" w:styleId="shorttext">
    <w:name w:val="short_text"/>
    <w:basedOn w:val="DefaultParagraphFont"/>
    <w:rsid w:val="003549A1"/>
  </w:style>
  <w:style w:type="character" w:styleId="FollowedHyperlink">
    <w:name w:val="FollowedHyperlink"/>
    <w:basedOn w:val="DefaultParagraphFont"/>
    <w:uiPriority w:val="99"/>
    <w:semiHidden/>
    <w:unhideWhenUsed/>
    <w:rsid w:val="00A77B15"/>
    <w:rPr>
      <w:color w:val="954F72" w:themeColor="followedHyperlink"/>
      <w:u w:val="single"/>
    </w:rPr>
  </w:style>
  <w:style w:type="paragraph" w:styleId="ListParagraph">
    <w:name w:val="List Paragraph"/>
    <w:basedOn w:val="Normal"/>
    <w:uiPriority w:val="34"/>
    <w:qFormat/>
    <w:rsid w:val="00A435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10815">
      <w:bodyDiv w:val="1"/>
      <w:marLeft w:val="0"/>
      <w:marRight w:val="0"/>
      <w:marTop w:val="0"/>
      <w:marBottom w:val="0"/>
      <w:divBdr>
        <w:top w:val="none" w:sz="0" w:space="0" w:color="auto"/>
        <w:left w:val="none" w:sz="0" w:space="0" w:color="auto"/>
        <w:bottom w:val="none" w:sz="0" w:space="0" w:color="auto"/>
        <w:right w:val="none" w:sz="0" w:space="0" w:color="auto"/>
      </w:divBdr>
      <w:divsChild>
        <w:div w:id="1290742223">
          <w:marLeft w:val="0"/>
          <w:marRight w:val="0"/>
          <w:marTop w:val="0"/>
          <w:marBottom w:val="0"/>
          <w:divBdr>
            <w:top w:val="none" w:sz="0" w:space="0" w:color="auto"/>
            <w:left w:val="none" w:sz="0" w:space="0" w:color="auto"/>
            <w:bottom w:val="none" w:sz="0" w:space="0" w:color="auto"/>
            <w:right w:val="none" w:sz="0" w:space="0" w:color="auto"/>
          </w:divBdr>
          <w:divsChild>
            <w:div w:id="1245607142">
              <w:marLeft w:val="0"/>
              <w:marRight w:val="0"/>
              <w:marTop w:val="0"/>
              <w:marBottom w:val="0"/>
              <w:divBdr>
                <w:top w:val="none" w:sz="0" w:space="0" w:color="auto"/>
                <w:left w:val="none" w:sz="0" w:space="0" w:color="auto"/>
                <w:bottom w:val="none" w:sz="0" w:space="0" w:color="auto"/>
                <w:right w:val="none" w:sz="0" w:space="0" w:color="auto"/>
              </w:divBdr>
              <w:divsChild>
                <w:div w:id="1524318351">
                  <w:marLeft w:val="0"/>
                  <w:marRight w:val="0"/>
                  <w:marTop w:val="0"/>
                  <w:marBottom w:val="0"/>
                  <w:divBdr>
                    <w:top w:val="none" w:sz="0" w:space="0" w:color="auto"/>
                    <w:left w:val="none" w:sz="0" w:space="0" w:color="auto"/>
                    <w:bottom w:val="none" w:sz="0" w:space="0" w:color="auto"/>
                    <w:right w:val="none" w:sz="0" w:space="0" w:color="auto"/>
                  </w:divBdr>
                  <w:divsChild>
                    <w:div w:id="1271624054">
                      <w:marLeft w:val="0"/>
                      <w:marRight w:val="0"/>
                      <w:marTop w:val="0"/>
                      <w:marBottom w:val="0"/>
                      <w:divBdr>
                        <w:top w:val="none" w:sz="0" w:space="0" w:color="auto"/>
                        <w:left w:val="none" w:sz="0" w:space="0" w:color="auto"/>
                        <w:bottom w:val="none" w:sz="0" w:space="0" w:color="auto"/>
                        <w:right w:val="none" w:sz="0" w:space="0" w:color="auto"/>
                      </w:divBdr>
                      <w:divsChild>
                        <w:div w:id="508562481">
                          <w:marLeft w:val="0"/>
                          <w:marRight w:val="0"/>
                          <w:marTop w:val="0"/>
                          <w:marBottom w:val="0"/>
                          <w:divBdr>
                            <w:top w:val="none" w:sz="0" w:space="0" w:color="auto"/>
                            <w:left w:val="none" w:sz="0" w:space="0" w:color="auto"/>
                            <w:bottom w:val="none" w:sz="0" w:space="0" w:color="auto"/>
                            <w:right w:val="none" w:sz="0" w:space="0" w:color="auto"/>
                          </w:divBdr>
                          <w:divsChild>
                            <w:div w:id="1937320934">
                              <w:marLeft w:val="0"/>
                              <w:marRight w:val="0"/>
                              <w:marTop w:val="0"/>
                              <w:marBottom w:val="0"/>
                              <w:divBdr>
                                <w:top w:val="none" w:sz="0" w:space="0" w:color="auto"/>
                                <w:left w:val="none" w:sz="0" w:space="0" w:color="auto"/>
                                <w:bottom w:val="none" w:sz="0" w:space="0" w:color="auto"/>
                                <w:right w:val="none" w:sz="0" w:space="0" w:color="auto"/>
                              </w:divBdr>
                              <w:divsChild>
                                <w:div w:id="1113480889">
                                  <w:marLeft w:val="0"/>
                                  <w:marRight w:val="0"/>
                                  <w:marTop w:val="0"/>
                                  <w:marBottom w:val="0"/>
                                  <w:divBdr>
                                    <w:top w:val="none" w:sz="0" w:space="0" w:color="auto"/>
                                    <w:left w:val="none" w:sz="0" w:space="0" w:color="auto"/>
                                    <w:bottom w:val="none" w:sz="0" w:space="0" w:color="auto"/>
                                    <w:right w:val="none" w:sz="0" w:space="0" w:color="auto"/>
                                  </w:divBdr>
                                  <w:divsChild>
                                    <w:div w:id="507866965">
                                      <w:marLeft w:val="0"/>
                                      <w:marRight w:val="0"/>
                                      <w:marTop w:val="0"/>
                                      <w:marBottom w:val="0"/>
                                      <w:divBdr>
                                        <w:top w:val="none" w:sz="0" w:space="0" w:color="auto"/>
                                        <w:left w:val="none" w:sz="0" w:space="0" w:color="auto"/>
                                        <w:bottom w:val="none" w:sz="0" w:space="0" w:color="auto"/>
                                        <w:right w:val="none" w:sz="0" w:space="0" w:color="auto"/>
                                      </w:divBdr>
                                      <w:divsChild>
                                        <w:div w:id="134685049">
                                          <w:marLeft w:val="0"/>
                                          <w:marRight w:val="0"/>
                                          <w:marTop w:val="0"/>
                                          <w:marBottom w:val="495"/>
                                          <w:divBdr>
                                            <w:top w:val="none" w:sz="0" w:space="0" w:color="auto"/>
                                            <w:left w:val="none" w:sz="0" w:space="0" w:color="auto"/>
                                            <w:bottom w:val="none" w:sz="0" w:space="0" w:color="auto"/>
                                            <w:right w:val="none" w:sz="0" w:space="0" w:color="auto"/>
                                          </w:divBdr>
                                          <w:divsChild>
                                            <w:div w:id="191320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8971319">
      <w:bodyDiv w:val="1"/>
      <w:marLeft w:val="0"/>
      <w:marRight w:val="0"/>
      <w:marTop w:val="0"/>
      <w:marBottom w:val="0"/>
      <w:divBdr>
        <w:top w:val="none" w:sz="0" w:space="0" w:color="auto"/>
        <w:left w:val="none" w:sz="0" w:space="0" w:color="auto"/>
        <w:bottom w:val="none" w:sz="0" w:space="0" w:color="auto"/>
        <w:right w:val="none" w:sz="0" w:space="0" w:color="auto"/>
      </w:divBdr>
      <w:divsChild>
        <w:div w:id="706368478">
          <w:marLeft w:val="0"/>
          <w:marRight w:val="0"/>
          <w:marTop w:val="0"/>
          <w:marBottom w:val="0"/>
          <w:divBdr>
            <w:top w:val="none" w:sz="0" w:space="0" w:color="auto"/>
            <w:left w:val="none" w:sz="0" w:space="0" w:color="auto"/>
            <w:bottom w:val="none" w:sz="0" w:space="0" w:color="auto"/>
            <w:right w:val="none" w:sz="0" w:space="0" w:color="auto"/>
          </w:divBdr>
          <w:divsChild>
            <w:div w:id="662971696">
              <w:marLeft w:val="0"/>
              <w:marRight w:val="0"/>
              <w:marTop w:val="0"/>
              <w:marBottom w:val="0"/>
              <w:divBdr>
                <w:top w:val="none" w:sz="0" w:space="0" w:color="auto"/>
                <w:left w:val="none" w:sz="0" w:space="0" w:color="auto"/>
                <w:bottom w:val="none" w:sz="0" w:space="0" w:color="auto"/>
                <w:right w:val="none" w:sz="0" w:space="0" w:color="auto"/>
              </w:divBdr>
              <w:divsChild>
                <w:div w:id="577834463">
                  <w:marLeft w:val="0"/>
                  <w:marRight w:val="0"/>
                  <w:marTop w:val="0"/>
                  <w:marBottom w:val="0"/>
                  <w:divBdr>
                    <w:top w:val="none" w:sz="0" w:space="0" w:color="auto"/>
                    <w:left w:val="none" w:sz="0" w:space="0" w:color="auto"/>
                    <w:bottom w:val="none" w:sz="0" w:space="0" w:color="auto"/>
                    <w:right w:val="none" w:sz="0" w:space="0" w:color="auto"/>
                  </w:divBdr>
                  <w:divsChild>
                    <w:div w:id="485128922">
                      <w:marLeft w:val="0"/>
                      <w:marRight w:val="0"/>
                      <w:marTop w:val="0"/>
                      <w:marBottom w:val="0"/>
                      <w:divBdr>
                        <w:top w:val="none" w:sz="0" w:space="0" w:color="auto"/>
                        <w:left w:val="none" w:sz="0" w:space="0" w:color="auto"/>
                        <w:bottom w:val="none" w:sz="0" w:space="0" w:color="auto"/>
                        <w:right w:val="none" w:sz="0" w:space="0" w:color="auto"/>
                      </w:divBdr>
                      <w:divsChild>
                        <w:div w:id="1980303802">
                          <w:marLeft w:val="0"/>
                          <w:marRight w:val="0"/>
                          <w:marTop w:val="0"/>
                          <w:marBottom w:val="0"/>
                          <w:divBdr>
                            <w:top w:val="none" w:sz="0" w:space="0" w:color="auto"/>
                            <w:left w:val="none" w:sz="0" w:space="0" w:color="auto"/>
                            <w:bottom w:val="none" w:sz="0" w:space="0" w:color="auto"/>
                            <w:right w:val="none" w:sz="0" w:space="0" w:color="auto"/>
                          </w:divBdr>
                          <w:divsChild>
                            <w:div w:id="293567386">
                              <w:marLeft w:val="0"/>
                              <w:marRight w:val="0"/>
                              <w:marTop w:val="0"/>
                              <w:marBottom w:val="0"/>
                              <w:divBdr>
                                <w:top w:val="none" w:sz="0" w:space="0" w:color="auto"/>
                                <w:left w:val="none" w:sz="0" w:space="0" w:color="auto"/>
                                <w:bottom w:val="none" w:sz="0" w:space="0" w:color="auto"/>
                                <w:right w:val="none" w:sz="0" w:space="0" w:color="auto"/>
                              </w:divBdr>
                              <w:divsChild>
                                <w:div w:id="1338729152">
                                  <w:marLeft w:val="0"/>
                                  <w:marRight w:val="0"/>
                                  <w:marTop w:val="0"/>
                                  <w:marBottom w:val="0"/>
                                  <w:divBdr>
                                    <w:top w:val="none" w:sz="0" w:space="0" w:color="auto"/>
                                    <w:left w:val="none" w:sz="0" w:space="0" w:color="auto"/>
                                    <w:bottom w:val="none" w:sz="0" w:space="0" w:color="auto"/>
                                    <w:right w:val="none" w:sz="0" w:space="0" w:color="auto"/>
                                  </w:divBdr>
                                  <w:divsChild>
                                    <w:div w:id="1090928903">
                                      <w:marLeft w:val="0"/>
                                      <w:marRight w:val="0"/>
                                      <w:marTop w:val="0"/>
                                      <w:marBottom w:val="0"/>
                                      <w:divBdr>
                                        <w:top w:val="none" w:sz="0" w:space="0" w:color="auto"/>
                                        <w:left w:val="none" w:sz="0" w:space="0" w:color="auto"/>
                                        <w:bottom w:val="none" w:sz="0" w:space="0" w:color="auto"/>
                                        <w:right w:val="none" w:sz="0" w:space="0" w:color="auto"/>
                                      </w:divBdr>
                                      <w:divsChild>
                                        <w:div w:id="2111199467">
                                          <w:marLeft w:val="0"/>
                                          <w:marRight w:val="0"/>
                                          <w:marTop w:val="0"/>
                                          <w:marBottom w:val="495"/>
                                          <w:divBdr>
                                            <w:top w:val="none" w:sz="0" w:space="0" w:color="auto"/>
                                            <w:left w:val="none" w:sz="0" w:space="0" w:color="auto"/>
                                            <w:bottom w:val="none" w:sz="0" w:space="0" w:color="auto"/>
                                            <w:right w:val="none" w:sz="0" w:space="0" w:color="auto"/>
                                          </w:divBdr>
                                          <w:divsChild>
                                            <w:div w:id="169634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1493362">
      <w:bodyDiv w:val="1"/>
      <w:marLeft w:val="0"/>
      <w:marRight w:val="0"/>
      <w:marTop w:val="0"/>
      <w:marBottom w:val="0"/>
      <w:divBdr>
        <w:top w:val="none" w:sz="0" w:space="0" w:color="auto"/>
        <w:left w:val="none" w:sz="0" w:space="0" w:color="auto"/>
        <w:bottom w:val="none" w:sz="0" w:space="0" w:color="auto"/>
        <w:right w:val="none" w:sz="0" w:space="0" w:color="auto"/>
      </w:divBdr>
      <w:divsChild>
        <w:div w:id="1675179216">
          <w:marLeft w:val="0"/>
          <w:marRight w:val="0"/>
          <w:marTop w:val="0"/>
          <w:marBottom w:val="0"/>
          <w:divBdr>
            <w:top w:val="none" w:sz="0" w:space="0" w:color="auto"/>
            <w:left w:val="none" w:sz="0" w:space="0" w:color="auto"/>
            <w:bottom w:val="none" w:sz="0" w:space="0" w:color="auto"/>
            <w:right w:val="none" w:sz="0" w:space="0" w:color="auto"/>
          </w:divBdr>
          <w:divsChild>
            <w:div w:id="44793564">
              <w:marLeft w:val="0"/>
              <w:marRight w:val="0"/>
              <w:marTop w:val="0"/>
              <w:marBottom w:val="0"/>
              <w:divBdr>
                <w:top w:val="none" w:sz="0" w:space="0" w:color="auto"/>
                <w:left w:val="none" w:sz="0" w:space="0" w:color="auto"/>
                <w:bottom w:val="none" w:sz="0" w:space="0" w:color="auto"/>
                <w:right w:val="none" w:sz="0" w:space="0" w:color="auto"/>
              </w:divBdr>
              <w:divsChild>
                <w:div w:id="94970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221496">
      <w:bodyDiv w:val="1"/>
      <w:marLeft w:val="0"/>
      <w:marRight w:val="0"/>
      <w:marTop w:val="0"/>
      <w:marBottom w:val="0"/>
      <w:divBdr>
        <w:top w:val="none" w:sz="0" w:space="0" w:color="auto"/>
        <w:left w:val="none" w:sz="0" w:space="0" w:color="auto"/>
        <w:bottom w:val="none" w:sz="0" w:space="0" w:color="auto"/>
        <w:right w:val="none" w:sz="0" w:space="0" w:color="auto"/>
      </w:divBdr>
      <w:divsChild>
        <w:div w:id="1100301708">
          <w:marLeft w:val="0"/>
          <w:marRight w:val="0"/>
          <w:marTop w:val="0"/>
          <w:marBottom w:val="0"/>
          <w:divBdr>
            <w:top w:val="none" w:sz="0" w:space="0" w:color="auto"/>
            <w:left w:val="none" w:sz="0" w:space="0" w:color="auto"/>
            <w:bottom w:val="none" w:sz="0" w:space="0" w:color="auto"/>
            <w:right w:val="none" w:sz="0" w:space="0" w:color="auto"/>
          </w:divBdr>
          <w:divsChild>
            <w:div w:id="854267290">
              <w:marLeft w:val="0"/>
              <w:marRight w:val="0"/>
              <w:marTop w:val="0"/>
              <w:marBottom w:val="0"/>
              <w:divBdr>
                <w:top w:val="none" w:sz="0" w:space="0" w:color="auto"/>
                <w:left w:val="none" w:sz="0" w:space="0" w:color="auto"/>
                <w:bottom w:val="none" w:sz="0" w:space="0" w:color="auto"/>
                <w:right w:val="none" w:sz="0" w:space="0" w:color="auto"/>
              </w:divBdr>
              <w:divsChild>
                <w:div w:id="1285848468">
                  <w:marLeft w:val="0"/>
                  <w:marRight w:val="0"/>
                  <w:marTop w:val="0"/>
                  <w:marBottom w:val="0"/>
                  <w:divBdr>
                    <w:top w:val="none" w:sz="0" w:space="0" w:color="auto"/>
                    <w:left w:val="none" w:sz="0" w:space="0" w:color="auto"/>
                    <w:bottom w:val="none" w:sz="0" w:space="0" w:color="auto"/>
                    <w:right w:val="none" w:sz="0" w:space="0" w:color="auto"/>
                  </w:divBdr>
                  <w:divsChild>
                    <w:div w:id="218249015">
                      <w:marLeft w:val="0"/>
                      <w:marRight w:val="0"/>
                      <w:marTop w:val="0"/>
                      <w:marBottom w:val="0"/>
                      <w:divBdr>
                        <w:top w:val="none" w:sz="0" w:space="0" w:color="auto"/>
                        <w:left w:val="none" w:sz="0" w:space="0" w:color="auto"/>
                        <w:bottom w:val="none" w:sz="0" w:space="0" w:color="auto"/>
                        <w:right w:val="none" w:sz="0" w:space="0" w:color="auto"/>
                      </w:divBdr>
                      <w:divsChild>
                        <w:div w:id="1219197487">
                          <w:marLeft w:val="0"/>
                          <w:marRight w:val="0"/>
                          <w:marTop w:val="0"/>
                          <w:marBottom w:val="0"/>
                          <w:divBdr>
                            <w:top w:val="none" w:sz="0" w:space="0" w:color="auto"/>
                            <w:left w:val="none" w:sz="0" w:space="0" w:color="auto"/>
                            <w:bottom w:val="none" w:sz="0" w:space="0" w:color="auto"/>
                            <w:right w:val="none" w:sz="0" w:space="0" w:color="auto"/>
                          </w:divBdr>
                          <w:divsChild>
                            <w:div w:id="410542526">
                              <w:marLeft w:val="0"/>
                              <w:marRight w:val="0"/>
                              <w:marTop w:val="0"/>
                              <w:marBottom w:val="0"/>
                              <w:divBdr>
                                <w:top w:val="none" w:sz="0" w:space="0" w:color="auto"/>
                                <w:left w:val="none" w:sz="0" w:space="0" w:color="auto"/>
                                <w:bottom w:val="none" w:sz="0" w:space="0" w:color="auto"/>
                                <w:right w:val="none" w:sz="0" w:space="0" w:color="auto"/>
                              </w:divBdr>
                              <w:divsChild>
                                <w:div w:id="108165773">
                                  <w:marLeft w:val="0"/>
                                  <w:marRight w:val="0"/>
                                  <w:marTop w:val="0"/>
                                  <w:marBottom w:val="0"/>
                                  <w:divBdr>
                                    <w:top w:val="none" w:sz="0" w:space="0" w:color="auto"/>
                                    <w:left w:val="none" w:sz="0" w:space="0" w:color="auto"/>
                                    <w:bottom w:val="none" w:sz="0" w:space="0" w:color="auto"/>
                                    <w:right w:val="none" w:sz="0" w:space="0" w:color="auto"/>
                                  </w:divBdr>
                                  <w:divsChild>
                                    <w:div w:id="981274672">
                                      <w:marLeft w:val="0"/>
                                      <w:marRight w:val="0"/>
                                      <w:marTop w:val="0"/>
                                      <w:marBottom w:val="0"/>
                                      <w:divBdr>
                                        <w:top w:val="none" w:sz="0" w:space="0" w:color="auto"/>
                                        <w:left w:val="none" w:sz="0" w:space="0" w:color="auto"/>
                                        <w:bottom w:val="none" w:sz="0" w:space="0" w:color="auto"/>
                                        <w:right w:val="none" w:sz="0" w:space="0" w:color="auto"/>
                                      </w:divBdr>
                                      <w:divsChild>
                                        <w:div w:id="1497502189">
                                          <w:marLeft w:val="0"/>
                                          <w:marRight w:val="0"/>
                                          <w:marTop w:val="0"/>
                                          <w:marBottom w:val="495"/>
                                          <w:divBdr>
                                            <w:top w:val="none" w:sz="0" w:space="0" w:color="auto"/>
                                            <w:left w:val="none" w:sz="0" w:space="0" w:color="auto"/>
                                            <w:bottom w:val="none" w:sz="0" w:space="0" w:color="auto"/>
                                            <w:right w:val="none" w:sz="0" w:space="0" w:color="auto"/>
                                          </w:divBdr>
                                          <w:divsChild>
                                            <w:div w:id="25232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0389790">
      <w:bodyDiv w:val="1"/>
      <w:marLeft w:val="0"/>
      <w:marRight w:val="0"/>
      <w:marTop w:val="0"/>
      <w:marBottom w:val="0"/>
      <w:divBdr>
        <w:top w:val="none" w:sz="0" w:space="0" w:color="auto"/>
        <w:left w:val="none" w:sz="0" w:space="0" w:color="auto"/>
        <w:bottom w:val="none" w:sz="0" w:space="0" w:color="auto"/>
        <w:right w:val="none" w:sz="0" w:space="0" w:color="auto"/>
      </w:divBdr>
      <w:divsChild>
        <w:div w:id="1294673206">
          <w:marLeft w:val="0"/>
          <w:marRight w:val="0"/>
          <w:marTop w:val="0"/>
          <w:marBottom w:val="0"/>
          <w:divBdr>
            <w:top w:val="none" w:sz="0" w:space="0" w:color="auto"/>
            <w:left w:val="none" w:sz="0" w:space="0" w:color="auto"/>
            <w:bottom w:val="none" w:sz="0" w:space="0" w:color="auto"/>
            <w:right w:val="none" w:sz="0" w:space="0" w:color="auto"/>
          </w:divBdr>
          <w:divsChild>
            <w:div w:id="1027367061">
              <w:marLeft w:val="0"/>
              <w:marRight w:val="0"/>
              <w:marTop w:val="0"/>
              <w:marBottom w:val="0"/>
              <w:divBdr>
                <w:top w:val="none" w:sz="0" w:space="0" w:color="auto"/>
                <w:left w:val="none" w:sz="0" w:space="0" w:color="auto"/>
                <w:bottom w:val="none" w:sz="0" w:space="0" w:color="auto"/>
                <w:right w:val="none" w:sz="0" w:space="0" w:color="auto"/>
              </w:divBdr>
              <w:divsChild>
                <w:div w:id="43725562">
                  <w:marLeft w:val="0"/>
                  <w:marRight w:val="0"/>
                  <w:marTop w:val="0"/>
                  <w:marBottom w:val="0"/>
                  <w:divBdr>
                    <w:top w:val="none" w:sz="0" w:space="0" w:color="auto"/>
                    <w:left w:val="none" w:sz="0" w:space="0" w:color="auto"/>
                    <w:bottom w:val="none" w:sz="0" w:space="0" w:color="auto"/>
                    <w:right w:val="none" w:sz="0" w:space="0" w:color="auto"/>
                  </w:divBdr>
                  <w:divsChild>
                    <w:div w:id="2004115353">
                      <w:marLeft w:val="0"/>
                      <w:marRight w:val="0"/>
                      <w:marTop w:val="0"/>
                      <w:marBottom w:val="0"/>
                      <w:divBdr>
                        <w:top w:val="none" w:sz="0" w:space="0" w:color="auto"/>
                        <w:left w:val="none" w:sz="0" w:space="0" w:color="auto"/>
                        <w:bottom w:val="none" w:sz="0" w:space="0" w:color="auto"/>
                        <w:right w:val="none" w:sz="0" w:space="0" w:color="auto"/>
                      </w:divBdr>
                      <w:divsChild>
                        <w:div w:id="477579696">
                          <w:marLeft w:val="0"/>
                          <w:marRight w:val="0"/>
                          <w:marTop w:val="0"/>
                          <w:marBottom w:val="0"/>
                          <w:divBdr>
                            <w:top w:val="none" w:sz="0" w:space="0" w:color="auto"/>
                            <w:left w:val="none" w:sz="0" w:space="0" w:color="auto"/>
                            <w:bottom w:val="none" w:sz="0" w:space="0" w:color="auto"/>
                            <w:right w:val="none" w:sz="0" w:space="0" w:color="auto"/>
                          </w:divBdr>
                          <w:divsChild>
                            <w:div w:id="1414817423">
                              <w:marLeft w:val="0"/>
                              <w:marRight w:val="0"/>
                              <w:marTop w:val="0"/>
                              <w:marBottom w:val="0"/>
                              <w:divBdr>
                                <w:top w:val="none" w:sz="0" w:space="0" w:color="auto"/>
                                <w:left w:val="none" w:sz="0" w:space="0" w:color="auto"/>
                                <w:bottom w:val="none" w:sz="0" w:space="0" w:color="auto"/>
                                <w:right w:val="none" w:sz="0" w:space="0" w:color="auto"/>
                              </w:divBdr>
                              <w:divsChild>
                                <w:div w:id="1453010773">
                                  <w:marLeft w:val="0"/>
                                  <w:marRight w:val="0"/>
                                  <w:marTop w:val="0"/>
                                  <w:marBottom w:val="0"/>
                                  <w:divBdr>
                                    <w:top w:val="none" w:sz="0" w:space="0" w:color="auto"/>
                                    <w:left w:val="none" w:sz="0" w:space="0" w:color="auto"/>
                                    <w:bottom w:val="none" w:sz="0" w:space="0" w:color="auto"/>
                                    <w:right w:val="none" w:sz="0" w:space="0" w:color="auto"/>
                                  </w:divBdr>
                                  <w:divsChild>
                                    <w:div w:id="1201360683">
                                      <w:marLeft w:val="0"/>
                                      <w:marRight w:val="0"/>
                                      <w:marTop w:val="0"/>
                                      <w:marBottom w:val="0"/>
                                      <w:divBdr>
                                        <w:top w:val="none" w:sz="0" w:space="0" w:color="auto"/>
                                        <w:left w:val="none" w:sz="0" w:space="0" w:color="auto"/>
                                        <w:bottom w:val="none" w:sz="0" w:space="0" w:color="auto"/>
                                        <w:right w:val="none" w:sz="0" w:space="0" w:color="auto"/>
                                      </w:divBdr>
                                      <w:divsChild>
                                        <w:div w:id="256793495">
                                          <w:marLeft w:val="0"/>
                                          <w:marRight w:val="0"/>
                                          <w:marTop w:val="0"/>
                                          <w:marBottom w:val="495"/>
                                          <w:divBdr>
                                            <w:top w:val="none" w:sz="0" w:space="0" w:color="auto"/>
                                            <w:left w:val="none" w:sz="0" w:space="0" w:color="auto"/>
                                            <w:bottom w:val="none" w:sz="0" w:space="0" w:color="auto"/>
                                            <w:right w:val="none" w:sz="0" w:space="0" w:color="auto"/>
                                          </w:divBdr>
                                          <w:divsChild>
                                            <w:div w:id="76684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9863342">
      <w:bodyDiv w:val="1"/>
      <w:marLeft w:val="0"/>
      <w:marRight w:val="0"/>
      <w:marTop w:val="0"/>
      <w:marBottom w:val="0"/>
      <w:divBdr>
        <w:top w:val="none" w:sz="0" w:space="0" w:color="auto"/>
        <w:left w:val="none" w:sz="0" w:space="0" w:color="auto"/>
        <w:bottom w:val="none" w:sz="0" w:space="0" w:color="auto"/>
        <w:right w:val="none" w:sz="0" w:space="0" w:color="auto"/>
      </w:divBdr>
    </w:div>
    <w:div w:id="1337802617">
      <w:bodyDiv w:val="1"/>
      <w:marLeft w:val="0"/>
      <w:marRight w:val="0"/>
      <w:marTop w:val="0"/>
      <w:marBottom w:val="0"/>
      <w:divBdr>
        <w:top w:val="none" w:sz="0" w:space="0" w:color="auto"/>
        <w:left w:val="none" w:sz="0" w:space="0" w:color="auto"/>
        <w:bottom w:val="none" w:sz="0" w:space="0" w:color="auto"/>
        <w:right w:val="none" w:sz="0" w:space="0" w:color="auto"/>
      </w:divBdr>
    </w:div>
    <w:div w:id="1406998590">
      <w:bodyDiv w:val="1"/>
      <w:marLeft w:val="0"/>
      <w:marRight w:val="0"/>
      <w:marTop w:val="0"/>
      <w:marBottom w:val="0"/>
      <w:divBdr>
        <w:top w:val="none" w:sz="0" w:space="0" w:color="auto"/>
        <w:left w:val="none" w:sz="0" w:space="0" w:color="auto"/>
        <w:bottom w:val="none" w:sz="0" w:space="0" w:color="auto"/>
        <w:right w:val="none" w:sz="0" w:space="0" w:color="auto"/>
      </w:divBdr>
    </w:div>
    <w:div w:id="1831870374">
      <w:bodyDiv w:val="1"/>
      <w:marLeft w:val="0"/>
      <w:marRight w:val="0"/>
      <w:marTop w:val="0"/>
      <w:marBottom w:val="0"/>
      <w:divBdr>
        <w:top w:val="none" w:sz="0" w:space="0" w:color="auto"/>
        <w:left w:val="none" w:sz="0" w:space="0" w:color="auto"/>
        <w:bottom w:val="none" w:sz="0" w:space="0" w:color="auto"/>
        <w:right w:val="none" w:sz="0" w:space="0" w:color="auto"/>
      </w:divBdr>
      <w:divsChild>
        <w:div w:id="77335339">
          <w:marLeft w:val="60"/>
          <w:marRight w:val="0"/>
          <w:marTop w:val="0"/>
          <w:marBottom w:val="0"/>
          <w:divBdr>
            <w:top w:val="none" w:sz="0" w:space="0" w:color="auto"/>
            <w:left w:val="none" w:sz="0" w:space="0" w:color="auto"/>
            <w:bottom w:val="none" w:sz="0" w:space="0" w:color="auto"/>
            <w:right w:val="none" w:sz="0" w:space="0" w:color="auto"/>
          </w:divBdr>
          <w:divsChild>
            <w:div w:id="317803725">
              <w:marLeft w:val="0"/>
              <w:marRight w:val="0"/>
              <w:marTop w:val="0"/>
              <w:marBottom w:val="0"/>
              <w:divBdr>
                <w:top w:val="none" w:sz="0" w:space="0" w:color="auto"/>
                <w:left w:val="none" w:sz="0" w:space="0" w:color="auto"/>
                <w:bottom w:val="none" w:sz="0" w:space="0" w:color="auto"/>
                <w:right w:val="none" w:sz="0" w:space="0" w:color="auto"/>
              </w:divBdr>
              <w:divsChild>
                <w:div w:id="756243703">
                  <w:marLeft w:val="0"/>
                  <w:marRight w:val="0"/>
                  <w:marTop w:val="0"/>
                  <w:marBottom w:val="120"/>
                  <w:divBdr>
                    <w:top w:val="single" w:sz="6" w:space="0" w:color="F5F5F5"/>
                    <w:left w:val="single" w:sz="6" w:space="0" w:color="F5F5F5"/>
                    <w:bottom w:val="single" w:sz="6" w:space="0" w:color="F5F5F5"/>
                    <w:right w:val="single" w:sz="6" w:space="0" w:color="F5F5F5"/>
                  </w:divBdr>
                  <w:divsChild>
                    <w:div w:id="623657900">
                      <w:marLeft w:val="0"/>
                      <w:marRight w:val="0"/>
                      <w:marTop w:val="0"/>
                      <w:marBottom w:val="0"/>
                      <w:divBdr>
                        <w:top w:val="none" w:sz="0" w:space="0" w:color="auto"/>
                        <w:left w:val="none" w:sz="0" w:space="0" w:color="auto"/>
                        <w:bottom w:val="none" w:sz="0" w:space="0" w:color="auto"/>
                        <w:right w:val="none" w:sz="0" w:space="0" w:color="auto"/>
                      </w:divBdr>
                      <w:divsChild>
                        <w:div w:id="37848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632350">
      <w:bodyDiv w:val="1"/>
      <w:marLeft w:val="0"/>
      <w:marRight w:val="0"/>
      <w:marTop w:val="0"/>
      <w:marBottom w:val="0"/>
      <w:divBdr>
        <w:top w:val="none" w:sz="0" w:space="0" w:color="auto"/>
        <w:left w:val="none" w:sz="0" w:space="0" w:color="auto"/>
        <w:bottom w:val="none" w:sz="0" w:space="0" w:color="auto"/>
        <w:right w:val="none" w:sz="0" w:space="0" w:color="auto"/>
      </w:divBdr>
      <w:divsChild>
        <w:div w:id="1132286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search?tbo=p&amp;tbm=bks&amp;q=inauthor:%22Jane+Lind%22&amp;source=gbs_metadata_r&amp;cad=2" TargetMode="External"/><Relationship Id="rId13" Type="http://schemas.openxmlformats.org/officeDocument/2006/relationships/hyperlink" Target="https://www.estyn.llyw.cymru/sites/default/files/documents/Preparing%20for%20the%20DCF%20cym.pdf" TargetMode="External"/><Relationship Id="rId18" Type="http://schemas.openxmlformats.org/officeDocument/2006/relationships/hyperlink" Target="https://www.tandfonline.com/doi/pdf/10.1080/03004270903519238?needAccess=tru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jstor.org/stable/pdf/jeductechsoci.9.2.178.pdf?seq=1" TargetMode="External"/><Relationship Id="rId7" Type="http://schemas.openxmlformats.org/officeDocument/2006/relationships/endnotes" Target="endnotes.xml"/><Relationship Id="rId12" Type="http://schemas.openxmlformats.org/officeDocument/2006/relationships/hyperlink" Target="https://www.researchgate.net/profile/Natalie_Brown3/publication/228943793_Teachers'_confidence_and_beliefs_and_their_students'_attitudes_to_mathematics/links/0c960522a4ec4caa49000000/Teachers-confidence-and-beliefs-and-their-students-attitudes-to-mathematics.pdf" TargetMode="External"/><Relationship Id="rId17" Type="http://schemas.openxmlformats.org/officeDocument/2006/relationships/hyperlink" Target="https://onlinelibrary.wiley.com/doi/pdf/10.1080/0141192022000015543a"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ogle.co.uk/search?tbo=p&amp;tbm=bks&amp;q=inauthor:%22Ron+Sauer%22&amp;source=gbs_metadata_r&amp;cad=2" TargetMode="External"/><Relationship Id="rId20" Type="http://schemas.openxmlformats.org/officeDocument/2006/relationships/hyperlink" Target="http://www.sec-ed.co.uk/blog/collaborative-lesson-plann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cet4u.org/docs/22593%209e.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ogle.co.uk/search?tbo=p&amp;tbm=bks&amp;q=inauthor:%22Jane+Lind%22&amp;source=gbs_metadata_r&amp;cad=2" TargetMode="External"/><Relationship Id="rId23" Type="http://schemas.openxmlformats.org/officeDocument/2006/relationships/header" Target="header1.xml"/><Relationship Id="rId10" Type="http://schemas.openxmlformats.org/officeDocument/2006/relationships/hyperlink" Target="http://learning.gov.wales/docs/learningwales/publications/131104-assessment-for-learning-and-the-nlnf-cy.pdf?fbclid=IwAR2fjRbl9NI_B48rrXvUa7vECskaBokiGrgPqPc8PP9WXZZyByDHabbabM0" TargetMode="External"/><Relationship Id="rId19" Type="http://schemas.openxmlformats.org/officeDocument/2006/relationships/hyperlink" Target="http://learning.gov.wales/resources/browse-all/nlnf/framework?component=literacy&amp;selectedYear=col_8&amp;lang=cy" TargetMode="External"/><Relationship Id="rId4" Type="http://schemas.openxmlformats.org/officeDocument/2006/relationships/settings" Target="settings.xml"/><Relationship Id="rId9" Type="http://schemas.openxmlformats.org/officeDocument/2006/relationships/hyperlink" Target="https://www.google.co.uk/search?tbo=p&amp;tbm=bks&amp;q=inauthor:%22Ron+Sauer%22&amp;source=gbs_metadata_r&amp;cad=2" TargetMode="External"/><Relationship Id="rId14" Type="http://schemas.openxmlformats.org/officeDocument/2006/relationships/hyperlink" Target="https://www.estyn.llyw.cymru/arfer-effeithiol/herio-dysgu-disgyblion-herio-deilliannau?_ga=2.61870956.1558633285.1544090043-1843361231.1539959212" TargetMode="External"/><Relationship Id="rId22" Type="http://schemas.openxmlformats.org/officeDocument/2006/relationships/hyperlink" Target="http://learning.gov.wales/docs/learningwales/publications/150803-fp-framework-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E33BD-164A-4B99-A9C8-FFA9CC046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3033</TotalTime>
  <Pages>10</Pages>
  <Words>3658</Words>
  <Characters>20857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Rogers</dc:creator>
  <cp:keywords/>
  <dc:description/>
  <cp:lastModifiedBy>Lauren Rogers</cp:lastModifiedBy>
  <cp:revision>3</cp:revision>
  <dcterms:created xsi:type="dcterms:W3CDTF">2018-11-27T14:29:00Z</dcterms:created>
  <dcterms:modified xsi:type="dcterms:W3CDTF">2018-12-13T23:31:00Z</dcterms:modified>
</cp:coreProperties>
</file>