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1D229A" w14:textId="77777777" w:rsidR="006F40CC" w:rsidRPr="00EB74E5" w:rsidRDefault="00966934">
      <w:pPr>
        <w:rPr>
          <w:b/>
          <w:u w:val="single"/>
        </w:rPr>
      </w:pPr>
    </w:p>
    <w:p w14:paraId="4931AE74" w14:textId="77777777" w:rsidR="0084018F" w:rsidRDefault="0084018F">
      <w:pPr>
        <w:rPr>
          <w:b/>
          <w:u w:val="single"/>
        </w:rPr>
      </w:pPr>
    </w:p>
    <w:p w14:paraId="407ADAA6" w14:textId="77777777" w:rsidR="0084018F" w:rsidRPr="0084018F" w:rsidRDefault="0084018F" w:rsidP="0084018F">
      <w:pPr>
        <w:suppressAutoHyphens/>
        <w:autoSpaceDN w:val="0"/>
        <w:spacing w:after="0" w:line="240" w:lineRule="auto"/>
        <w:ind w:left="-180" w:right="-334"/>
        <w:textAlignment w:val="baseline"/>
        <w:rPr>
          <w:rFonts w:ascii="Calibri" w:eastAsia="Calibri" w:hAnsi="Calibri" w:cs="Arial"/>
        </w:rPr>
      </w:pPr>
      <w:r w:rsidRPr="0084018F">
        <w:rPr>
          <w:rFonts w:ascii="Georgia" w:eastAsia="SimSun" w:hAnsi="Georgia" w:cs="Times New Roman"/>
          <w:noProof/>
          <w:color w:val="000000"/>
          <w:sz w:val="21"/>
          <w:szCs w:val="21"/>
          <w:lang w:eastAsia="zh-CN"/>
        </w:rPr>
        <w:drawing>
          <wp:inline distT="0" distB="0" distL="0" distR="0" wp14:anchorId="5A46F6F6" wp14:editId="6F7D25B0">
            <wp:extent cx="2876546" cy="1047746"/>
            <wp:effectExtent l="19050" t="19050" r="19054" b="19054"/>
            <wp:docPr id="1" name="Picture 2" descr="TSD_logo20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876546" cy="1047746"/>
                    </a:xfrm>
                    <a:prstGeom prst="rect">
                      <a:avLst/>
                    </a:prstGeom>
                    <a:noFill/>
                    <a:ln w="19046">
                      <a:solidFill>
                        <a:srgbClr val="000000"/>
                      </a:solidFill>
                      <a:prstDash val="solid"/>
                    </a:ln>
                  </pic:spPr>
                </pic:pic>
              </a:graphicData>
            </a:graphic>
          </wp:inline>
        </w:drawing>
      </w:r>
    </w:p>
    <w:p w14:paraId="4422F3C9" w14:textId="77777777" w:rsidR="0084018F" w:rsidRPr="0084018F" w:rsidRDefault="0084018F" w:rsidP="0084018F">
      <w:pPr>
        <w:keepNext/>
        <w:suppressAutoHyphens/>
        <w:autoSpaceDN w:val="0"/>
        <w:spacing w:before="240" w:after="60" w:line="240" w:lineRule="auto"/>
        <w:jc w:val="center"/>
        <w:textAlignment w:val="baseline"/>
        <w:outlineLvl w:val="0"/>
        <w:rPr>
          <w:rFonts w:ascii="Arial" w:eastAsia="SimSun" w:hAnsi="Arial" w:cs="Arial"/>
          <w:b/>
          <w:bCs/>
          <w:kern w:val="3"/>
          <w:sz w:val="32"/>
          <w:szCs w:val="32"/>
          <w:lang w:val="cy-GB" w:eastAsia="zh-CN"/>
        </w:rPr>
      </w:pPr>
      <w:r w:rsidRPr="0084018F">
        <w:rPr>
          <w:rFonts w:ascii="Arial" w:eastAsia="SimSun" w:hAnsi="Arial" w:cs="Arial"/>
          <w:b/>
          <w:bCs/>
          <w:kern w:val="3"/>
          <w:sz w:val="32"/>
          <w:szCs w:val="32"/>
          <w:lang w:val="cy-GB" w:eastAsia="zh-CN"/>
        </w:rPr>
        <w:t>Undergraduate assignment feedback form</w:t>
      </w:r>
    </w:p>
    <w:p w14:paraId="0BEF4BED" w14:textId="77777777" w:rsidR="0084018F" w:rsidRPr="0084018F" w:rsidRDefault="0084018F" w:rsidP="0084018F">
      <w:pPr>
        <w:suppressAutoHyphens/>
        <w:autoSpaceDN w:val="0"/>
        <w:spacing w:after="0" w:line="240" w:lineRule="auto"/>
        <w:jc w:val="center"/>
        <w:textAlignment w:val="baseline"/>
        <w:rPr>
          <w:rFonts w:ascii="Arial" w:eastAsia="SimSun" w:hAnsi="Arial" w:cs="Arial"/>
          <w:b/>
          <w:sz w:val="24"/>
          <w:szCs w:val="24"/>
          <w:lang w:val="cy-GB" w:eastAsia="zh-CN"/>
        </w:rPr>
      </w:pPr>
      <w:r w:rsidRPr="0084018F">
        <w:rPr>
          <w:rFonts w:ascii="Arial" w:eastAsia="SimSun" w:hAnsi="Arial" w:cs="Arial"/>
          <w:b/>
          <w:sz w:val="24"/>
          <w:szCs w:val="24"/>
          <w:lang w:val="cy-GB" w:eastAsia="zh-CN"/>
        </w:rPr>
        <w:t>(to be completed by marker)</w:t>
      </w:r>
    </w:p>
    <w:p w14:paraId="764077C5" w14:textId="77777777" w:rsidR="0084018F" w:rsidRPr="0084018F" w:rsidRDefault="0084018F" w:rsidP="0084018F">
      <w:pPr>
        <w:suppressAutoHyphens/>
        <w:autoSpaceDN w:val="0"/>
        <w:spacing w:after="0" w:line="240" w:lineRule="auto"/>
        <w:jc w:val="center"/>
        <w:textAlignment w:val="baseline"/>
        <w:rPr>
          <w:rFonts w:ascii="Arial" w:eastAsia="SimSun" w:hAnsi="Arial" w:cs="Arial"/>
          <w:b/>
          <w:sz w:val="24"/>
          <w:szCs w:val="24"/>
          <w:lang w:val="cy-GB" w:eastAsia="zh-CN"/>
        </w:rPr>
      </w:pPr>
    </w:p>
    <w:p w14:paraId="223FB502" w14:textId="77777777" w:rsidR="0084018F" w:rsidRPr="0084018F" w:rsidRDefault="0084018F" w:rsidP="0084018F">
      <w:pPr>
        <w:keepNext/>
        <w:suppressAutoHyphens/>
        <w:autoSpaceDN w:val="0"/>
        <w:spacing w:after="0" w:line="240" w:lineRule="auto"/>
        <w:ind w:left="720"/>
        <w:jc w:val="both"/>
        <w:textAlignment w:val="baseline"/>
        <w:outlineLvl w:val="2"/>
        <w:rPr>
          <w:rFonts w:ascii="Trebuchet MS" w:eastAsia="SimSun" w:hAnsi="Trebuchet MS" w:cs="Tahoma"/>
          <w:b/>
          <w:bCs/>
          <w:sz w:val="20"/>
          <w:szCs w:val="20"/>
          <w:lang w:eastAsia="zh-CN"/>
        </w:rPr>
      </w:pPr>
    </w:p>
    <w:tbl>
      <w:tblPr>
        <w:tblW w:w="8755" w:type="dxa"/>
        <w:tblCellMar>
          <w:left w:w="10" w:type="dxa"/>
          <w:right w:w="10" w:type="dxa"/>
        </w:tblCellMar>
        <w:tblLook w:val="0000" w:firstRow="0" w:lastRow="0" w:firstColumn="0" w:lastColumn="0" w:noHBand="0" w:noVBand="0"/>
      </w:tblPr>
      <w:tblGrid>
        <w:gridCol w:w="4788"/>
        <w:gridCol w:w="1980"/>
        <w:gridCol w:w="1987"/>
      </w:tblGrid>
      <w:tr w:rsidR="0084018F" w:rsidRPr="0084018F" w14:paraId="45248B65" w14:textId="77777777" w:rsidTr="004E709D">
        <w:trPr>
          <w:trHeight w:val="718"/>
        </w:trPr>
        <w:tc>
          <w:tcPr>
            <w:tcW w:w="875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10FCBB2" w14:textId="77777777" w:rsidR="0084018F" w:rsidRPr="0084018F" w:rsidRDefault="0084018F" w:rsidP="0084018F">
            <w:pPr>
              <w:suppressAutoHyphens/>
              <w:autoSpaceDN w:val="0"/>
              <w:spacing w:after="0" w:line="240" w:lineRule="auto"/>
              <w:ind w:right="34"/>
              <w:textAlignment w:val="baseline"/>
              <w:rPr>
                <w:rFonts w:ascii="Calibri" w:eastAsia="SimSun" w:hAnsi="Calibri" w:cs="Tahoma"/>
                <w:i/>
                <w:color w:val="000000"/>
                <w:sz w:val="24"/>
                <w:szCs w:val="24"/>
                <w:lang w:eastAsia="zh-CN"/>
              </w:rPr>
            </w:pPr>
            <w:r w:rsidRPr="0084018F">
              <w:rPr>
                <w:rFonts w:ascii="Calibri" w:eastAsia="SimSun" w:hAnsi="Calibri" w:cs="Tahoma"/>
                <w:i/>
                <w:color w:val="000000"/>
                <w:sz w:val="24"/>
                <w:szCs w:val="24"/>
                <w:lang w:eastAsia="zh-CN"/>
              </w:rPr>
              <w:t>Student Name: Henry Gillson - Gant</w:t>
            </w:r>
          </w:p>
          <w:p w14:paraId="56062775" w14:textId="77777777" w:rsidR="0084018F" w:rsidRPr="0084018F" w:rsidRDefault="0084018F" w:rsidP="0084018F">
            <w:pPr>
              <w:suppressAutoHyphens/>
              <w:autoSpaceDN w:val="0"/>
              <w:spacing w:after="0" w:line="240" w:lineRule="auto"/>
              <w:ind w:right="34"/>
              <w:textAlignment w:val="baseline"/>
              <w:rPr>
                <w:rFonts w:ascii="Calibri" w:eastAsia="SimSun" w:hAnsi="Calibri" w:cs="Tahoma"/>
                <w:i/>
                <w:color w:val="000000"/>
                <w:sz w:val="24"/>
                <w:szCs w:val="24"/>
                <w:lang w:eastAsia="zh-CN"/>
              </w:rPr>
            </w:pPr>
          </w:p>
        </w:tc>
      </w:tr>
      <w:tr w:rsidR="0084018F" w:rsidRPr="0084018F" w14:paraId="72FC8E3F" w14:textId="77777777" w:rsidTr="004E709D">
        <w:trPr>
          <w:trHeight w:val="849"/>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6048978" w14:textId="79EAE919" w:rsidR="0084018F" w:rsidRPr="0084018F" w:rsidRDefault="0084018F" w:rsidP="0084018F">
            <w:pPr>
              <w:suppressAutoHyphens/>
              <w:autoSpaceDN w:val="0"/>
              <w:spacing w:after="0" w:line="240" w:lineRule="auto"/>
              <w:ind w:right="34"/>
              <w:textAlignment w:val="baseline"/>
              <w:rPr>
                <w:rFonts w:ascii="Calibri" w:eastAsia="SimSun" w:hAnsi="Calibri" w:cs="Tahoma"/>
                <w:i/>
                <w:color w:val="000000"/>
                <w:sz w:val="24"/>
                <w:szCs w:val="24"/>
                <w:lang w:eastAsia="zh-CN"/>
              </w:rPr>
            </w:pPr>
            <w:r w:rsidRPr="0084018F">
              <w:rPr>
                <w:rFonts w:ascii="Calibri" w:eastAsia="SimSun" w:hAnsi="Calibri" w:cs="Tahoma"/>
                <w:i/>
                <w:color w:val="000000"/>
                <w:sz w:val="24"/>
                <w:szCs w:val="24"/>
                <w:lang w:eastAsia="zh-CN"/>
              </w:rPr>
              <w:t xml:space="preserve">Module Code: </w:t>
            </w:r>
            <w:r w:rsidR="00F40635" w:rsidRPr="00F40635">
              <w:rPr>
                <w:rFonts w:ascii="Calibri" w:eastAsia="SimSun" w:hAnsi="Calibri" w:cs="Tahoma"/>
                <w:i/>
                <w:color w:val="000000"/>
                <w:sz w:val="24"/>
                <w:szCs w:val="24"/>
                <w:lang w:eastAsia="zh-CN"/>
              </w:rPr>
              <w:t>(HPAH5029/6029)</w:t>
            </w:r>
          </w:p>
          <w:p w14:paraId="171A8A07" w14:textId="77777777" w:rsidR="0084018F" w:rsidRPr="0084018F" w:rsidRDefault="0084018F" w:rsidP="0084018F">
            <w:pPr>
              <w:suppressAutoHyphens/>
              <w:autoSpaceDN w:val="0"/>
              <w:spacing w:after="0" w:line="240" w:lineRule="auto"/>
              <w:ind w:right="34"/>
              <w:textAlignment w:val="baseline"/>
              <w:rPr>
                <w:rFonts w:ascii="Calibri" w:eastAsia="SimSun" w:hAnsi="Calibri" w:cs="Tahoma"/>
                <w:i/>
                <w:color w:val="000000"/>
                <w:sz w:val="24"/>
                <w:szCs w:val="24"/>
                <w:lang w:eastAsia="zh-CN"/>
              </w:rPr>
            </w:pPr>
          </w:p>
          <w:p w14:paraId="72727E5C" w14:textId="77777777" w:rsidR="00F40635" w:rsidRDefault="00F40635" w:rsidP="00F40635">
            <w:pPr>
              <w:suppressAutoHyphens/>
              <w:autoSpaceDN w:val="0"/>
              <w:spacing w:after="0" w:line="240" w:lineRule="auto"/>
              <w:ind w:right="34"/>
              <w:textAlignment w:val="baseline"/>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Game of Diadems</w:t>
            </w:r>
          </w:p>
          <w:p w14:paraId="2B502AF9" w14:textId="5B47F442" w:rsidR="00F40635" w:rsidRPr="0084018F" w:rsidRDefault="00F40635" w:rsidP="00F40635">
            <w:pPr>
              <w:suppressAutoHyphens/>
              <w:autoSpaceDN w:val="0"/>
              <w:spacing w:after="0" w:line="240" w:lineRule="auto"/>
              <w:ind w:right="34"/>
              <w:textAlignment w:val="baseline"/>
              <w:rPr>
                <w:rFonts w:ascii="Calibri" w:eastAsia="SimSun" w:hAnsi="Calibri" w:cs="Tahoma"/>
                <w:i/>
                <w:color w:val="000000"/>
                <w:sz w:val="24"/>
                <w:szCs w:val="24"/>
                <w:lang w:eastAsia="zh-CN"/>
              </w:rPr>
            </w:pPr>
          </w:p>
        </w:tc>
        <w:tc>
          <w:tcPr>
            <w:tcW w:w="396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8D5B83" w14:textId="77777777" w:rsidR="0084018F" w:rsidRPr="0084018F" w:rsidRDefault="0084018F" w:rsidP="0084018F">
            <w:pPr>
              <w:suppressAutoHyphens/>
              <w:autoSpaceDN w:val="0"/>
              <w:spacing w:after="0" w:line="240" w:lineRule="auto"/>
              <w:ind w:right="34"/>
              <w:textAlignment w:val="baseline"/>
              <w:rPr>
                <w:rFonts w:ascii="Calibri" w:eastAsia="SimSun" w:hAnsi="Calibri" w:cs="Tahoma"/>
                <w:i/>
                <w:color w:val="000000"/>
                <w:sz w:val="24"/>
                <w:szCs w:val="24"/>
                <w:lang w:eastAsia="zh-CN"/>
              </w:rPr>
            </w:pPr>
            <w:r w:rsidRPr="0084018F">
              <w:rPr>
                <w:rFonts w:ascii="Calibri" w:eastAsia="SimSun" w:hAnsi="Calibri" w:cs="Tahoma"/>
                <w:i/>
                <w:color w:val="000000"/>
                <w:sz w:val="24"/>
                <w:szCs w:val="24"/>
                <w:lang w:eastAsia="zh-CN"/>
              </w:rPr>
              <w:t>Student number: 1600129</w:t>
            </w:r>
          </w:p>
        </w:tc>
      </w:tr>
      <w:tr w:rsidR="0084018F" w:rsidRPr="0084018F" w14:paraId="521D652D" w14:textId="77777777" w:rsidTr="004E709D">
        <w:trPr>
          <w:trHeight w:val="3972"/>
        </w:trPr>
        <w:tc>
          <w:tcPr>
            <w:tcW w:w="875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EA0909" w14:textId="77777777" w:rsidR="0084018F" w:rsidRPr="0084018F" w:rsidRDefault="0084018F" w:rsidP="0084018F">
            <w:pPr>
              <w:suppressAutoHyphens/>
              <w:autoSpaceDN w:val="0"/>
              <w:spacing w:after="0" w:line="240" w:lineRule="auto"/>
              <w:textAlignment w:val="baseline"/>
              <w:rPr>
                <w:rFonts w:ascii="Calibri" w:eastAsia="SimSun" w:hAnsi="Calibri" w:cs="Tahoma"/>
                <w:i/>
                <w:color w:val="000000"/>
                <w:sz w:val="24"/>
                <w:szCs w:val="24"/>
                <w:lang w:eastAsia="zh-CN"/>
              </w:rPr>
            </w:pPr>
            <w:r w:rsidRPr="0084018F">
              <w:rPr>
                <w:rFonts w:ascii="Calibri" w:eastAsia="SimSun" w:hAnsi="Calibri" w:cs="Tahoma"/>
                <w:i/>
                <w:color w:val="000000"/>
                <w:sz w:val="24"/>
                <w:szCs w:val="24"/>
                <w:lang w:eastAsia="zh-CN"/>
              </w:rPr>
              <w:t>For completion by marker:</w:t>
            </w:r>
          </w:p>
          <w:p w14:paraId="76698BBD"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r w:rsidRPr="0084018F">
              <w:rPr>
                <w:rFonts w:ascii="Calibri" w:eastAsia="SimSun" w:hAnsi="Calibri" w:cs="Tahoma"/>
                <w:i/>
                <w:color w:val="000000"/>
                <w:sz w:val="24"/>
                <w:szCs w:val="24"/>
                <w:lang w:eastAsia="zh-CN"/>
              </w:rPr>
              <w:t>Comments:</w:t>
            </w:r>
          </w:p>
          <w:p w14:paraId="4A22B9F6" w14:textId="5A9037DF"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r w:rsidRPr="0084018F">
              <w:rPr>
                <w:rFonts w:ascii="Calibri" w:eastAsia="SimSun" w:hAnsi="Calibri" w:cs="Tahoma"/>
                <w:i/>
                <w:color w:val="000000"/>
                <w:sz w:val="24"/>
                <w:szCs w:val="24"/>
                <w:lang w:eastAsia="zh-CN"/>
              </w:rPr>
              <w:t>Word count: 2</w:t>
            </w:r>
            <w:r w:rsidR="00F40635">
              <w:rPr>
                <w:rFonts w:ascii="Calibri" w:eastAsia="SimSun" w:hAnsi="Calibri" w:cs="Tahoma"/>
                <w:i/>
                <w:color w:val="000000"/>
                <w:sz w:val="24"/>
                <w:szCs w:val="24"/>
                <w:lang w:eastAsia="zh-CN"/>
              </w:rPr>
              <w:t>150</w:t>
            </w:r>
          </w:p>
          <w:p w14:paraId="3144E637"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3B408946"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35DF0C3C"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48E5306A"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1B7F2B73"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78B2A58D"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78861D10"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4C15DEFB"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7E1819DF"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7DA58648" w14:textId="77777777" w:rsidR="0084018F" w:rsidRPr="0084018F" w:rsidRDefault="0084018F" w:rsidP="0084018F">
            <w:pPr>
              <w:suppressAutoHyphens/>
              <w:autoSpaceDN w:val="0"/>
              <w:spacing w:before="100" w:after="100" w:line="240" w:lineRule="auto"/>
              <w:textAlignment w:val="baseline"/>
              <w:rPr>
                <w:rFonts w:ascii="Calibri" w:eastAsia="SimSun" w:hAnsi="Calibri" w:cs="Tahoma"/>
                <w:i/>
                <w:color w:val="000000"/>
                <w:sz w:val="24"/>
                <w:szCs w:val="24"/>
                <w:lang w:eastAsia="zh-CN"/>
              </w:rPr>
            </w:pPr>
          </w:p>
        </w:tc>
      </w:tr>
      <w:tr w:rsidR="0084018F" w:rsidRPr="0084018F" w14:paraId="1C92AB62" w14:textId="77777777" w:rsidTr="004E709D">
        <w:trPr>
          <w:trHeight w:val="492"/>
        </w:trPr>
        <w:tc>
          <w:tcPr>
            <w:tcW w:w="676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CBF5447" w14:textId="77777777" w:rsidR="0084018F" w:rsidRPr="0084018F" w:rsidRDefault="0084018F" w:rsidP="0084018F">
            <w:pPr>
              <w:suppressAutoHyphens/>
              <w:autoSpaceDN w:val="0"/>
              <w:spacing w:before="100" w:after="100" w:line="240" w:lineRule="auto"/>
              <w:ind w:left="142" w:right="34"/>
              <w:textAlignment w:val="baseline"/>
              <w:rPr>
                <w:rFonts w:ascii="Calibri" w:eastAsia="SimSun" w:hAnsi="Calibri" w:cs="Tahoma"/>
                <w:i/>
                <w:color w:val="000000"/>
                <w:sz w:val="24"/>
                <w:szCs w:val="24"/>
                <w:lang w:eastAsia="zh-CN"/>
              </w:rPr>
            </w:pPr>
            <w:r w:rsidRPr="0084018F">
              <w:rPr>
                <w:rFonts w:ascii="Calibri" w:eastAsia="SimSun" w:hAnsi="Calibri" w:cs="Tahoma"/>
                <w:i/>
                <w:color w:val="000000"/>
                <w:sz w:val="24"/>
                <w:szCs w:val="24"/>
                <w:lang w:eastAsia="zh-CN"/>
              </w:rPr>
              <w:t>Marker’s signature:</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310F4F8" w14:textId="77777777" w:rsidR="0084018F" w:rsidRPr="0084018F" w:rsidRDefault="0084018F" w:rsidP="0084018F">
            <w:pPr>
              <w:suppressAutoHyphens/>
              <w:autoSpaceDN w:val="0"/>
              <w:spacing w:before="100" w:after="0" w:line="240" w:lineRule="auto"/>
              <w:ind w:left="142" w:right="34"/>
              <w:textAlignment w:val="baseline"/>
              <w:rPr>
                <w:rFonts w:ascii="Calibri" w:eastAsia="SimSun" w:hAnsi="Calibri" w:cs="Tahoma"/>
                <w:i/>
                <w:color w:val="000000"/>
                <w:sz w:val="24"/>
                <w:szCs w:val="24"/>
                <w:lang w:eastAsia="zh-CN"/>
              </w:rPr>
            </w:pPr>
            <w:r w:rsidRPr="0084018F">
              <w:rPr>
                <w:rFonts w:ascii="Calibri" w:eastAsia="SimSun" w:hAnsi="Calibri" w:cs="Tahoma"/>
                <w:i/>
                <w:color w:val="000000"/>
                <w:sz w:val="24"/>
                <w:szCs w:val="24"/>
                <w:lang w:eastAsia="zh-CN"/>
              </w:rPr>
              <w:t>Date:</w:t>
            </w:r>
          </w:p>
        </w:tc>
      </w:tr>
      <w:tr w:rsidR="0084018F" w:rsidRPr="0084018F" w14:paraId="2DF0A499" w14:textId="77777777" w:rsidTr="004E709D">
        <w:tc>
          <w:tcPr>
            <w:tcW w:w="875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1C5878C" w14:textId="77777777" w:rsidR="0084018F" w:rsidRPr="0084018F" w:rsidRDefault="0084018F" w:rsidP="0084018F">
            <w:pPr>
              <w:suppressAutoHyphens/>
              <w:autoSpaceDN w:val="0"/>
              <w:spacing w:after="0" w:line="240" w:lineRule="auto"/>
              <w:ind w:left="142" w:right="34"/>
              <w:textAlignment w:val="baseline"/>
              <w:rPr>
                <w:rFonts w:ascii="Calibri" w:eastAsia="SimSun" w:hAnsi="Calibri" w:cs="Tahoma"/>
                <w:i/>
                <w:color w:val="000000"/>
                <w:sz w:val="24"/>
                <w:szCs w:val="24"/>
                <w:lang w:eastAsia="zh-CN"/>
              </w:rPr>
            </w:pPr>
            <w:r w:rsidRPr="0084018F">
              <w:rPr>
                <w:rFonts w:ascii="Calibri" w:eastAsia="SimSun" w:hAnsi="Calibri" w:cs="Tahoma"/>
                <w:i/>
                <w:color w:val="000000"/>
                <w:sz w:val="24"/>
                <w:szCs w:val="24"/>
                <w:lang w:eastAsia="zh-CN"/>
              </w:rPr>
              <w:t xml:space="preserve">Provisional mark: </w:t>
            </w:r>
          </w:p>
          <w:p w14:paraId="51EDE17F" w14:textId="77777777" w:rsidR="0084018F" w:rsidRPr="0084018F" w:rsidRDefault="0084018F" w:rsidP="0084018F">
            <w:pPr>
              <w:suppressAutoHyphens/>
              <w:autoSpaceDN w:val="0"/>
              <w:spacing w:after="0" w:line="240" w:lineRule="auto"/>
              <w:ind w:left="142" w:right="34"/>
              <w:textAlignment w:val="baseline"/>
              <w:rPr>
                <w:rFonts w:ascii="Calibri" w:eastAsia="Calibri" w:hAnsi="Calibri" w:cs="Arial"/>
              </w:rPr>
            </w:pPr>
            <w:r w:rsidRPr="0084018F">
              <w:rPr>
                <w:rFonts w:ascii="Calibri" w:eastAsia="SimSun" w:hAnsi="Calibri" w:cs="Tahoma"/>
                <w:b/>
                <w:i/>
                <w:color w:val="000000"/>
                <w:sz w:val="24"/>
                <w:szCs w:val="24"/>
                <w:lang w:eastAsia="zh-CN"/>
              </w:rPr>
              <w:t>NB.</w:t>
            </w:r>
            <w:r w:rsidRPr="0084018F">
              <w:rPr>
                <w:rFonts w:ascii="Calibri" w:eastAsia="SimSun" w:hAnsi="Calibri" w:cs="Tahoma"/>
                <w:i/>
                <w:color w:val="000000"/>
                <w:sz w:val="24"/>
                <w:szCs w:val="24"/>
                <w:lang w:eastAsia="zh-CN"/>
              </w:rPr>
              <w:t xml:space="preserve">  All marks are provisional until confirmed by the final examination board. </w:t>
            </w:r>
          </w:p>
        </w:tc>
      </w:tr>
    </w:tbl>
    <w:p w14:paraId="03E744CC" w14:textId="77777777" w:rsidR="0084018F" w:rsidRPr="0084018F" w:rsidRDefault="0084018F" w:rsidP="0084018F">
      <w:pPr>
        <w:suppressAutoHyphens/>
        <w:autoSpaceDN w:val="0"/>
        <w:spacing w:before="960" w:line="256" w:lineRule="auto"/>
        <w:textAlignment w:val="baseline"/>
        <w:rPr>
          <w:rFonts w:ascii="Aparajita" w:eastAsia="Calibri" w:hAnsi="Aparajita" w:cs="Aparajita"/>
          <w:u w:val="single"/>
        </w:rPr>
      </w:pPr>
    </w:p>
    <w:p w14:paraId="00E62AAB" w14:textId="77777777" w:rsidR="0084018F" w:rsidRDefault="0084018F">
      <w:pPr>
        <w:rPr>
          <w:b/>
          <w:u w:val="single"/>
        </w:rPr>
      </w:pPr>
    </w:p>
    <w:p w14:paraId="1FA225B0" w14:textId="77777777" w:rsidR="0084018F" w:rsidRDefault="0084018F">
      <w:pPr>
        <w:rPr>
          <w:b/>
          <w:u w:val="single"/>
        </w:rPr>
      </w:pPr>
    </w:p>
    <w:p w14:paraId="6CC50F10" w14:textId="14930887" w:rsidR="00EB74E5" w:rsidRDefault="00EB74E5">
      <w:pPr>
        <w:rPr>
          <w:b/>
          <w:u w:val="single"/>
        </w:rPr>
      </w:pPr>
      <w:r w:rsidRPr="00EB74E5">
        <w:rPr>
          <w:b/>
          <w:u w:val="single"/>
        </w:rPr>
        <w:t xml:space="preserve">Lysimachus Journal </w:t>
      </w:r>
    </w:p>
    <w:p w14:paraId="62DA1EF7" w14:textId="5208558D" w:rsidR="00EB74E5" w:rsidRPr="00C75448" w:rsidRDefault="00C75448">
      <w:pPr>
        <w:rPr>
          <w:b/>
        </w:rPr>
      </w:pPr>
      <w:r w:rsidRPr="00C75448">
        <w:rPr>
          <w:b/>
        </w:rPr>
        <w:t>Entry 1</w:t>
      </w:r>
      <w:r>
        <w:rPr>
          <w:b/>
        </w:rPr>
        <w:t xml:space="preserve">:  </w:t>
      </w:r>
      <w:bookmarkStart w:id="0" w:name="_GoBack"/>
      <w:bookmarkEnd w:id="0"/>
    </w:p>
    <w:p w14:paraId="54B52947" w14:textId="55D099D9" w:rsidR="00EB74E5" w:rsidRDefault="00EB74E5">
      <w:r>
        <w:t xml:space="preserve">The first act of Lysimachus is to hold a small gathering or </w:t>
      </w:r>
      <w:r>
        <w:rPr>
          <w:i/>
        </w:rPr>
        <w:t xml:space="preserve">Symposia </w:t>
      </w:r>
      <w:r>
        <w:t xml:space="preserve">of Peithon and </w:t>
      </w:r>
      <w:r w:rsidRPr="008F296C">
        <w:rPr>
          <w:noProof/>
        </w:rPr>
        <w:t>M</w:t>
      </w:r>
      <w:r w:rsidR="008F296C">
        <w:rPr>
          <w:noProof/>
        </w:rPr>
        <w:t>a</w:t>
      </w:r>
      <w:r w:rsidRPr="008F296C">
        <w:rPr>
          <w:noProof/>
        </w:rPr>
        <w:t>landros</w:t>
      </w:r>
      <w:r>
        <w:t xml:space="preserve"> alongside Eumenes to discuss the political climate with the onset of the death</w:t>
      </w:r>
      <w:r w:rsidR="005B6BE0">
        <w:t xml:space="preserve"> of Alexander</w:t>
      </w:r>
      <w:r>
        <w:t xml:space="preserve"> and the succession. Macedonian politics was done over cups of wine in gathering</w:t>
      </w:r>
      <w:r w:rsidR="005B6BE0">
        <w:t>s</w:t>
      </w:r>
      <w:r>
        <w:t xml:space="preserve"> of the King and his council who has a duty to advise the king</w:t>
      </w:r>
      <w:r w:rsidR="005B6BE0">
        <w:rPr>
          <w:rStyle w:val="FootnoteReference"/>
        </w:rPr>
        <w:footnoteReference w:id="1"/>
      </w:r>
      <w:r>
        <w:t>. It is only fitting such a gathering takes place to discuss the succession. My offer is this, between the four of us we install Arhhidaios as sole King of Macedon in the event of the death of Alexander</w:t>
      </w:r>
      <w:r w:rsidR="00861562">
        <w:t xml:space="preserve"> instead of the eventual dual monarchy with Alexander IV</w:t>
      </w:r>
      <w:r w:rsidR="00861562">
        <w:rPr>
          <w:rStyle w:val="FootnoteReference"/>
        </w:rPr>
        <w:footnoteReference w:id="2"/>
      </w:r>
      <w:r>
        <w:t xml:space="preserve">. As commander of the </w:t>
      </w:r>
      <w:r w:rsidRPr="008F296C">
        <w:rPr>
          <w:noProof/>
        </w:rPr>
        <w:t>army</w:t>
      </w:r>
      <w:r w:rsidR="008F296C">
        <w:rPr>
          <w:noProof/>
        </w:rPr>
        <w:t>,</w:t>
      </w:r>
      <w:r>
        <w:t xml:space="preserve"> </w:t>
      </w:r>
      <w:r w:rsidRPr="008F296C">
        <w:rPr>
          <w:noProof/>
        </w:rPr>
        <w:t>M</w:t>
      </w:r>
      <w:r w:rsidR="008F296C">
        <w:rPr>
          <w:noProof/>
        </w:rPr>
        <w:t>a</w:t>
      </w:r>
      <w:r w:rsidRPr="008F296C">
        <w:rPr>
          <w:noProof/>
        </w:rPr>
        <w:t>landros</w:t>
      </w:r>
      <w:r>
        <w:t xml:space="preserve"> has the power to make a king as it was military might of armies that justified a king’s right to rule in Hellenistic monarchies</w:t>
      </w:r>
      <w:r w:rsidR="005B6BE0">
        <w:rPr>
          <w:rStyle w:val="FootnoteReference"/>
        </w:rPr>
        <w:footnoteReference w:id="3"/>
      </w:r>
      <w:r>
        <w:t>. It is known he was the one who promoted Arhhidaios in the first place with the support of the army</w:t>
      </w:r>
      <w:r w:rsidR="005B6BE0">
        <w:rPr>
          <w:rStyle w:val="FootnoteReference"/>
        </w:rPr>
        <w:footnoteReference w:id="4"/>
      </w:r>
      <w:r>
        <w:t xml:space="preserve">. </w:t>
      </w:r>
      <w:r w:rsidR="0040259A">
        <w:t xml:space="preserve">If need </w:t>
      </w:r>
      <w:r w:rsidR="0040259A" w:rsidRPr="008F296C">
        <w:rPr>
          <w:noProof/>
        </w:rPr>
        <w:t>be bribe</w:t>
      </w:r>
      <w:r w:rsidR="008F296C" w:rsidRPr="008F296C">
        <w:rPr>
          <w:noProof/>
        </w:rPr>
        <w:t>d</w:t>
      </w:r>
      <w:r w:rsidR="0040259A">
        <w:t xml:space="preserve"> them from the treasury. </w:t>
      </w:r>
    </w:p>
    <w:p w14:paraId="0963F0F4" w14:textId="6DD5A041" w:rsidR="005B6BE0" w:rsidRDefault="00EB74E5">
      <w:r>
        <w:t xml:space="preserve">Both men under my offer are to be appointed </w:t>
      </w:r>
      <w:r w:rsidR="005B6BE0">
        <w:t>Strategos or military governors and control military affairs of the province</w:t>
      </w:r>
      <w:r w:rsidR="0040259A">
        <w:t>s</w:t>
      </w:r>
      <w:r w:rsidR="0040259A">
        <w:rPr>
          <w:rStyle w:val="FootnoteReference"/>
        </w:rPr>
        <w:footnoteReference w:id="5"/>
      </w:r>
      <w:r w:rsidR="005B6BE0">
        <w:t xml:space="preserve">. Peithon to receive Persia and Media as it was under the original settlement of Babylon, </w:t>
      </w:r>
      <w:r w:rsidR="005B6BE0" w:rsidRPr="008F296C">
        <w:rPr>
          <w:noProof/>
        </w:rPr>
        <w:t>M</w:t>
      </w:r>
      <w:r w:rsidR="008F296C">
        <w:rPr>
          <w:noProof/>
        </w:rPr>
        <w:t>a</w:t>
      </w:r>
      <w:r w:rsidR="005B6BE0" w:rsidRPr="008F296C">
        <w:rPr>
          <w:noProof/>
        </w:rPr>
        <w:t>landros</w:t>
      </w:r>
      <w:r w:rsidR="005B6BE0">
        <w:t xml:space="preserve"> the regency of the empire and Strategos of Mesopotamia</w:t>
      </w:r>
      <w:r w:rsidR="0040259A">
        <w:rPr>
          <w:rStyle w:val="FootnoteReference"/>
        </w:rPr>
        <w:footnoteReference w:id="6"/>
      </w:r>
      <w:r w:rsidR="005B6BE0">
        <w:t>. I will ask for the satrapy of Bactria and the control over Taxila and the overseeing of Porus in the Indian satrapies</w:t>
      </w:r>
      <w:r w:rsidR="0040259A">
        <w:t xml:space="preserve"> which </w:t>
      </w:r>
      <w:r w:rsidR="0040259A" w:rsidRPr="008F296C">
        <w:rPr>
          <w:noProof/>
        </w:rPr>
        <w:t>w</w:t>
      </w:r>
      <w:r w:rsidR="008F296C">
        <w:rPr>
          <w:noProof/>
        </w:rPr>
        <w:t>ere</w:t>
      </w:r>
      <w:r w:rsidR="0040259A">
        <w:t xml:space="preserve"> originally divided between several generals</w:t>
      </w:r>
      <w:r w:rsidR="0040259A">
        <w:rPr>
          <w:rStyle w:val="FootnoteReference"/>
        </w:rPr>
        <w:footnoteReference w:id="7"/>
      </w:r>
      <w:r w:rsidR="005B6BE0">
        <w:t xml:space="preserve">. </w:t>
      </w:r>
      <w:r w:rsidR="005B6BE0" w:rsidRPr="008F296C">
        <w:rPr>
          <w:noProof/>
        </w:rPr>
        <w:t>M</w:t>
      </w:r>
      <w:r w:rsidR="008F296C">
        <w:rPr>
          <w:noProof/>
        </w:rPr>
        <w:t>a</w:t>
      </w:r>
      <w:r w:rsidR="005B6BE0" w:rsidRPr="008F296C">
        <w:rPr>
          <w:noProof/>
        </w:rPr>
        <w:t>landros</w:t>
      </w:r>
      <w:r w:rsidR="005B6BE0">
        <w:t xml:space="preserve"> to also be appointed guardian of the King as </w:t>
      </w:r>
      <w:r w:rsidR="00C945D6">
        <w:t>the king</w:t>
      </w:r>
      <w:r w:rsidR="005B6BE0">
        <w:t xml:space="preserve"> is mentally deficient</w:t>
      </w:r>
      <w:r w:rsidR="0040259A">
        <w:rPr>
          <w:rStyle w:val="FootnoteReference"/>
        </w:rPr>
        <w:footnoteReference w:id="8"/>
      </w:r>
      <w:r w:rsidR="005B6BE0">
        <w:t xml:space="preserve">.  Within this effective </w:t>
      </w:r>
      <w:r w:rsidR="005B6BE0" w:rsidRPr="008F296C">
        <w:rPr>
          <w:noProof/>
        </w:rPr>
        <w:t>Triumvirate</w:t>
      </w:r>
      <w:r w:rsidR="008F296C">
        <w:rPr>
          <w:noProof/>
        </w:rPr>
        <w:t>,</w:t>
      </w:r>
      <w:r w:rsidR="005B6BE0">
        <w:t xml:space="preserve"> Lysimachus will assume the position of </w:t>
      </w:r>
      <w:r w:rsidR="0040259A" w:rsidRPr="0040259A">
        <w:rPr>
          <w:i/>
        </w:rPr>
        <w:t>Κα</w:t>
      </w:r>
      <w:proofErr w:type="spellStart"/>
      <w:r w:rsidR="0040259A" w:rsidRPr="0040259A">
        <w:rPr>
          <w:i/>
        </w:rPr>
        <w:t>γκελάριος</w:t>
      </w:r>
      <w:proofErr w:type="spellEnd"/>
      <w:r w:rsidR="0040259A">
        <w:t xml:space="preserve"> (Chancellor) </w:t>
      </w:r>
      <w:r w:rsidR="005B6BE0">
        <w:t>and be the administrative head of the east</w:t>
      </w:r>
      <w:r w:rsidR="0040259A">
        <w:t xml:space="preserve"> so that power is not concentrated in the hands of one person to avoid any problems that </w:t>
      </w:r>
      <w:r w:rsidR="0040259A" w:rsidRPr="008F296C">
        <w:rPr>
          <w:noProof/>
        </w:rPr>
        <w:t>come</w:t>
      </w:r>
      <w:r w:rsidR="0040259A">
        <w:t xml:space="preserve"> with too much centralisation</w:t>
      </w:r>
      <w:r w:rsidR="0040259A">
        <w:rPr>
          <w:rStyle w:val="FootnoteReference"/>
        </w:rPr>
        <w:footnoteReference w:id="9"/>
      </w:r>
      <w:r w:rsidR="0040259A">
        <w:t xml:space="preserve">. </w:t>
      </w:r>
      <w:r w:rsidR="00426AE9">
        <w:t xml:space="preserve"> If this doesn’t work march and seize it</w:t>
      </w:r>
      <w:r w:rsidR="006D01D4">
        <w:t xml:space="preserve"> for us</w:t>
      </w:r>
      <w:r w:rsidR="00426AE9">
        <w:t xml:space="preserve">. </w:t>
      </w:r>
    </w:p>
    <w:p w14:paraId="204B6694" w14:textId="3105F4FD" w:rsidR="006D01D4" w:rsidRPr="00C75448" w:rsidRDefault="00C75448">
      <w:pPr>
        <w:rPr>
          <w:b/>
        </w:rPr>
      </w:pPr>
      <w:r>
        <w:rPr>
          <w:b/>
        </w:rPr>
        <w:t xml:space="preserve">Entry 2: </w:t>
      </w:r>
    </w:p>
    <w:p w14:paraId="593622A2" w14:textId="728CB11F" w:rsidR="006D01D4" w:rsidRPr="006D01D4" w:rsidRDefault="006D01D4" w:rsidP="006D01D4">
      <w:r>
        <w:t xml:space="preserve">Lysimachus has been appointed the Chancellor of the Empire by </w:t>
      </w:r>
      <w:r w:rsidRPr="008F296C">
        <w:rPr>
          <w:noProof/>
        </w:rPr>
        <w:t>M</w:t>
      </w:r>
      <w:r w:rsidR="008F296C">
        <w:rPr>
          <w:noProof/>
        </w:rPr>
        <w:t>a</w:t>
      </w:r>
      <w:r w:rsidRPr="008F296C">
        <w:rPr>
          <w:noProof/>
        </w:rPr>
        <w:t>landros</w:t>
      </w:r>
      <w:r>
        <w:t xml:space="preserve"> as regent to establish a new economic policy. As I leave Ecbatana I shall send directives to all officers to send 40% of their treasuries from their satrapies to Ecbatana to establish a unified treasury</w:t>
      </w:r>
      <w:r w:rsidR="007C5CD6">
        <w:t xml:space="preserve"> as a flat tax rate</w:t>
      </w:r>
      <w:r w:rsidR="007F30AF">
        <w:rPr>
          <w:rStyle w:val="FootnoteReference"/>
        </w:rPr>
        <w:footnoteReference w:id="10"/>
      </w:r>
      <w:r>
        <w:t>. The debt of the empire is to then be paid out of this new treasury to avoid bankruptcy in the provinces. The directive will also include instructions for them to meet in Ecbatana for a meeting of the Royal Council. To abolish the satrapies in favour of military districts</w:t>
      </w:r>
      <w:r w:rsidR="007F30AF">
        <w:t>, t</w:t>
      </w:r>
      <w:r>
        <w:t>hree officers to be appointed Strategos of these districts</w:t>
      </w:r>
      <w:r w:rsidR="007F30AF">
        <w:rPr>
          <w:rStyle w:val="FootnoteReference"/>
        </w:rPr>
        <w:footnoteReference w:id="11"/>
      </w:r>
      <w:r>
        <w:t xml:space="preserve">. </w:t>
      </w:r>
      <w:proofErr w:type="spellStart"/>
      <w:r>
        <w:t>P</w:t>
      </w:r>
      <w:r w:rsidR="00ED343B">
        <w:t>e</w:t>
      </w:r>
      <w:r>
        <w:t>ucestas</w:t>
      </w:r>
      <w:proofErr w:type="spellEnd"/>
      <w:r>
        <w:t xml:space="preserve"> to have Persis, Bactria and half of Parthia. Cassander to have his satrapy and the other half of Parthia. Peithon to be Strategos of Persia and Media.</w:t>
      </w:r>
      <w:r w:rsidR="007F30AF">
        <w:t xml:space="preserve"> Strategos will use funds left in their treasury to fund </w:t>
      </w:r>
      <w:r w:rsidR="008F296C">
        <w:t xml:space="preserve">the </w:t>
      </w:r>
      <w:r w:rsidR="007F30AF" w:rsidRPr="008F296C">
        <w:rPr>
          <w:noProof/>
        </w:rPr>
        <w:t>upkeep</w:t>
      </w:r>
      <w:r w:rsidR="007F30AF">
        <w:t xml:space="preserve"> of defences and maintain local forces for security</w:t>
      </w:r>
      <w:r w:rsidR="007F30AF">
        <w:rPr>
          <w:rStyle w:val="FootnoteReference"/>
        </w:rPr>
        <w:footnoteReference w:id="12"/>
      </w:r>
      <w:r w:rsidR="007F30AF">
        <w:t>.</w:t>
      </w:r>
      <w:r>
        <w:t xml:space="preserve"> A</w:t>
      </w:r>
      <w:r w:rsidR="007C5CD6">
        <w:t>n</w:t>
      </w:r>
      <w:r>
        <w:t xml:space="preserve"> </w:t>
      </w:r>
      <w:r w:rsidR="007C5CD6">
        <w:t>e</w:t>
      </w:r>
      <w:r>
        <w:t xml:space="preserve">nvoy to be sent on the departure of Ecbatana to the wedding of </w:t>
      </w:r>
      <w:r w:rsidRPr="008F296C">
        <w:rPr>
          <w:noProof/>
        </w:rPr>
        <w:t>M</w:t>
      </w:r>
      <w:r w:rsidR="008F296C">
        <w:rPr>
          <w:noProof/>
        </w:rPr>
        <w:t>a</w:t>
      </w:r>
      <w:r w:rsidRPr="008F296C">
        <w:rPr>
          <w:noProof/>
        </w:rPr>
        <w:t>landros</w:t>
      </w:r>
      <w:r>
        <w:t xml:space="preserve"> </w:t>
      </w:r>
      <w:r w:rsidR="007C5CD6">
        <w:t>to give</w:t>
      </w:r>
      <w:r>
        <w:t xml:space="preserve"> </w:t>
      </w:r>
      <w:r>
        <w:lastRenderedPageBreak/>
        <w:t>him 5000 bushels of Bactrian grain</w:t>
      </w:r>
      <w:r w:rsidR="007F30AF">
        <w:rPr>
          <w:rStyle w:val="FootnoteReference"/>
        </w:rPr>
        <w:footnoteReference w:id="13"/>
      </w:r>
      <w:r>
        <w:t>.</w:t>
      </w:r>
      <w:r w:rsidR="007F30AF">
        <w:t xml:space="preserve"> It was normal to give gifts at weddings to show loyalty</w:t>
      </w:r>
      <w:r w:rsidR="007F30AF">
        <w:rPr>
          <w:rStyle w:val="FootnoteReference"/>
        </w:rPr>
        <w:footnoteReference w:id="14"/>
      </w:r>
      <w:r w:rsidR="007F30AF">
        <w:t>.</w:t>
      </w:r>
      <w:r>
        <w:t xml:space="preserve"> The executive shall be a royal council of the three Strategos, the chancellor and the regent. The council advises, the regent makes the decision</w:t>
      </w:r>
      <w:r w:rsidR="007F30AF">
        <w:rPr>
          <w:rStyle w:val="FootnoteReference"/>
        </w:rPr>
        <w:footnoteReference w:id="15"/>
      </w:r>
      <w:r>
        <w:t xml:space="preserve">. If the regent is not present, then Lysimachus as chancellor shall chair the meeting but final decision deferred to the regent. </w:t>
      </w:r>
      <w:r w:rsidR="007C5CD6">
        <w:t>Also,</w:t>
      </w:r>
      <w:r>
        <w:t xml:space="preserve"> preliminary discussions shall be held on developing the economy. </w:t>
      </w:r>
      <w:r w:rsidR="007C5CD6">
        <w:t xml:space="preserve">The first council to be held in the </w:t>
      </w:r>
      <w:r w:rsidR="007C5CD6" w:rsidRPr="008F296C">
        <w:rPr>
          <w:noProof/>
        </w:rPr>
        <w:t>fi</w:t>
      </w:r>
      <w:r w:rsidR="008F296C">
        <w:rPr>
          <w:noProof/>
        </w:rPr>
        <w:t>r</w:t>
      </w:r>
      <w:r w:rsidR="007C5CD6" w:rsidRPr="008F296C">
        <w:rPr>
          <w:noProof/>
        </w:rPr>
        <w:t>st</w:t>
      </w:r>
      <w:r w:rsidR="007C5CD6">
        <w:t xml:space="preserve"> six months. </w:t>
      </w:r>
    </w:p>
    <w:p w14:paraId="6C4A54E6" w14:textId="2D159BC7" w:rsidR="00C75448" w:rsidRPr="00C75448" w:rsidRDefault="00C75448">
      <w:pPr>
        <w:rPr>
          <w:b/>
        </w:rPr>
      </w:pPr>
      <w:r>
        <w:rPr>
          <w:b/>
        </w:rPr>
        <w:t>Entry 3:</w:t>
      </w:r>
    </w:p>
    <w:p w14:paraId="2CA3B5CA" w14:textId="15E77A45" w:rsidR="00C069C5" w:rsidRDefault="003C2840">
      <w:r>
        <w:t>Lysimachus is to resign as chancellor as with the central treasury abolished the chancellor has no power</w:t>
      </w:r>
      <w:r w:rsidR="004B016F">
        <w:t xml:space="preserve"> as he cannot control national expenditure</w:t>
      </w:r>
      <w:r w:rsidR="00A60AA2">
        <w:rPr>
          <w:rStyle w:val="FootnoteReference"/>
        </w:rPr>
        <w:footnoteReference w:id="16"/>
      </w:r>
      <w:r w:rsidR="004B016F">
        <w:t xml:space="preserve">. </w:t>
      </w:r>
      <w:r>
        <w:t>The aim is to get the satrapy of India, which contains three other domains including the Kingdom of Porus and another province in the south</w:t>
      </w:r>
      <w:r w:rsidR="00A60AA2">
        <w:rPr>
          <w:rStyle w:val="FootnoteReference"/>
        </w:rPr>
        <w:footnoteReference w:id="17"/>
      </w:r>
      <w:r>
        <w:t>. Porus will pay tribute to Lysimachus to keep his autonomy and govern his own kingdom</w:t>
      </w:r>
      <w:r w:rsidR="00A60AA2">
        <w:t xml:space="preserve"> </w:t>
      </w:r>
      <w:r w:rsidR="00066572">
        <w:t>as it</w:t>
      </w:r>
      <w:r w:rsidR="00A60AA2">
        <w:t xml:space="preserve"> was under Alexander</w:t>
      </w:r>
      <w:r w:rsidR="00A60AA2">
        <w:rPr>
          <w:rStyle w:val="FootnoteReference"/>
        </w:rPr>
        <w:footnoteReference w:id="18"/>
      </w:r>
      <w:r>
        <w:t xml:space="preserve">. The southern region occupied by Phillip is to </w:t>
      </w:r>
      <w:r w:rsidRPr="008F296C">
        <w:rPr>
          <w:noProof/>
        </w:rPr>
        <w:t>be give</w:t>
      </w:r>
      <w:r w:rsidR="008F296C">
        <w:rPr>
          <w:noProof/>
        </w:rPr>
        <w:t>n</w:t>
      </w:r>
      <w:r>
        <w:t xml:space="preserve"> to another local ruler and again charged tribute</w:t>
      </w:r>
      <w:r w:rsidR="00066572">
        <w:rPr>
          <w:rStyle w:val="FootnoteReference"/>
        </w:rPr>
        <w:footnoteReference w:id="19"/>
      </w:r>
      <w:r>
        <w:t>. The Indian custom houses are to be restored with a 5% tax on Grain and Iron</w:t>
      </w:r>
      <w:r w:rsidR="00066572">
        <w:rPr>
          <w:rStyle w:val="FootnoteReference"/>
        </w:rPr>
        <w:footnoteReference w:id="20"/>
      </w:r>
      <w:r>
        <w:t xml:space="preserve">. Due to the practice of bidding to decide prices, they will be </w:t>
      </w:r>
      <w:r w:rsidR="00BC042B">
        <w:t>self-regulating</w:t>
      </w:r>
      <w:r w:rsidR="00066572">
        <w:rPr>
          <w:rStyle w:val="FootnoteReference"/>
        </w:rPr>
        <w:footnoteReference w:id="21"/>
      </w:r>
      <w:r>
        <w:t xml:space="preserve">. </w:t>
      </w:r>
      <w:r w:rsidR="00BC042B">
        <w:t>This will be applied to all goods travelling by land</w:t>
      </w:r>
      <w:r w:rsidR="006A262C">
        <w:rPr>
          <w:rStyle w:val="FootnoteReference"/>
        </w:rPr>
        <w:footnoteReference w:id="22"/>
      </w:r>
      <w:r w:rsidR="00BC042B">
        <w:t>. Trade deals with the rest of the empire is a priority with connecting the southern ports to Egypt near Arabia</w:t>
      </w:r>
      <w:r w:rsidR="006A262C">
        <w:rPr>
          <w:rStyle w:val="FootnoteReference"/>
        </w:rPr>
        <w:footnoteReference w:id="23"/>
      </w:r>
      <w:r w:rsidR="00BC042B">
        <w:t xml:space="preserve">. That will have to be dealt with by the regent perhaps? As it will take </w:t>
      </w:r>
      <w:r w:rsidR="006A262C">
        <w:t>9</w:t>
      </w:r>
      <w:r w:rsidR="00BC042B">
        <w:t xml:space="preserve"> months to travel this is all that will be done.  </w:t>
      </w:r>
      <w:r>
        <w:t xml:space="preserve"> </w:t>
      </w:r>
    </w:p>
    <w:p w14:paraId="0E986A49" w14:textId="405655E6" w:rsidR="0069673B" w:rsidRPr="00C75448" w:rsidRDefault="00C75448">
      <w:pPr>
        <w:rPr>
          <w:b/>
        </w:rPr>
      </w:pPr>
      <w:r>
        <w:rPr>
          <w:b/>
        </w:rPr>
        <w:t xml:space="preserve">Entry 4: </w:t>
      </w:r>
    </w:p>
    <w:p w14:paraId="7AF72C25" w14:textId="764E11B6" w:rsidR="0069673B" w:rsidRDefault="0069673B">
      <w:r>
        <w:t>Lysimachus commits suicide for fear of assassination</w:t>
      </w:r>
      <w:r>
        <w:rPr>
          <w:rStyle w:val="FootnoteReference"/>
        </w:rPr>
        <w:footnoteReference w:id="24"/>
      </w:r>
      <w:r>
        <w:t xml:space="preserve">. </w:t>
      </w:r>
      <w:r w:rsidR="00E43A9D">
        <w:t xml:space="preserve">As Grainger states many ancient figures committed by suicide to protect reputations than </w:t>
      </w:r>
      <w:r w:rsidR="00E43A9D" w:rsidRPr="008F296C">
        <w:rPr>
          <w:noProof/>
        </w:rPr>
        <w:t>be</w:t>
      </w:r>
      <w:r w:rsidR="008F296C">
        <w:rPr>
          <w:noProof/>
        </w:rPr>
        <w:t>ing</w:t>
      </w:r>
      <w:r w:rsidR="00E43A9D">
        <w:t xml:space="preserve"> maligned by the state</w:t>
      </w:r>
      <w:r w:rsidR="00D21073">
        <w:rPr>
          <w:rStyle w:val="FootnoteReference"/>
        </w:rPr>
        <w:footnoteReference w:id="25"/>
      </w:r>
      <w:r w:rsidR="00E43A9D">
        <w:t xml:space="preserve">. </w:t>
      </w:r>
      <w:r w:rsidR="00126E33">
        <w:t xml:space="preserve">Lysimachus </w:t>
      </w:r>
      <w:r w:rsidR="00ED343B">
        <w:t xml:space="preserve">is </w:t>
      </w:r>
      <w:r w:rsidR="00126E33">
        <w:t xml:space="preserve">dead having committed suicide by poison to avoid arrest for </w:t>
      </w:r>
      <w:r w:rsidR="00126E33" w:rsidRPr="008F296C">
        <w:rPr>
          <w:noProof/>
        </w:rPr>
        <w:t>trumped</w:t>
      </w:r>
      <w:r w:rsidR="008F296C">
        <w:rPr>
          <w:noProof/>
        </w:rPr>
        <w:t>-</w:t>
      </w:r>
      <w:r w:rsidR="00126E33" w:rsidRPr="008F296C">
        <w:rPr>
          <w:noProof/>
        </w:rPr>
        <w:t>up</w:t>
      </w:r>
      <w:r w:rsidR="00126E33">
        <w:t xml:space="preserve"> charges of rebellion. </w:t>
      </w:r>
    </w:p>
    <w:p w14:paraId="44E2DC20" w14:textId="77777777" w:rsidR="00C75448" w:rsidRDefault="00C75448"/>
    <w:p w14:paraId="0C1CC102" w14:textId="776A33E8" w:rsidR="008B3A5D" w:rsidRPr="00C75448" w:rsidRDefault="00C75448">
      <w:pPr>
        <w:rPr>
          <w:b/>
        </w:rPr>
      </w:pPr>
      <w:r w:rsidRPr="00C75448">
        <w:rPr>
          <w:b/>
        </w:rPr>
        <w:t>Entry 5</w:t>
      </w:r>
      <w:r>
        <w:rPr>
          <w:b/>
        </w:rPr>
        <w:t>:</w:t>
      </w:r>
    </w:p>
    <w:p w14:paraId="337DF039" w14:textId="70A14FB1" w:rsidR="008B3A5D" w:rsidRDefault="008B3A5D">
      <w:r>
        <w:t>My new character is that of the High Priest of Egypt who is responsible for all religious affairs in the Kingdom under the auspices of the king</w:t>
      </w:r>
      <w:r w:rsidR="00D52EAB">
        <w:rPr>
          <w:rStyle w:val="FootnoteReference"/>
        </w:rPr>
        <w:footnoteReference w:id="26"/>
      </w:r>
      <w:r>
        <w:t>. The first act is to put on a festival of victory in honour of the king for the armies’ victory at Cappadocia</w:t>
      </w:r>
      <w:r w:rsidR="00885C00">
        <w:rPr>
          <w:rStyle w:val="FootnoteReference"/>
        </w:rPr>
        <w:footnoteReference w:id="27"/>
      </w:r>
      <w:r>
        <w:t>. There are also to be prayers made to the dead in to order to see their lives carried on in the afterlife</w:t>
      </w:r>
      <w:r w:rsidR="00885C00">
        <w:rPr>
          <w:rStyle w:val="FootnoteReference"/>
        </w:rPr>
        <w:footnoteReference w:id="28"/>
      </w:r>
      <w:r>
        <w:t xml:space="preserve">. For saving the nation King Ptolemy is to invest with the title of Soter, </w:t>
      </w:r>
      <w:r w:rsidR="008F296C">
        <w:t xml:space="preserve">a </w:t>
      </w:r>
      <w:r w:rsidRPr="008F296C">
        <w:rPr>
          <w:noProof/>
        </w:rPr>
        <w:t>saviour</w:t>
      </w:r>
      <w:r>
        <w:t xml:space="preserve"> to honour his selfless rule to the people of Egypt</w:t>
      </w:r>
      <w:r w:rsidR="00885C00">
        <w:rPr>
          <w:rStyle w:val="FootnoteReference"/>
        </w:rPr>
        <w:footnoteReference w:id="29"/>
      </w:r>
      <w:r>
        <w:t xml:space="preserve">.  A religious decree is to be made by the cults based in Memphis requesting the people to give tithes of </w:t>
      </w:r>
      <w:r w:rsidRPr="008F296C">
        <w:rPr>
          <w:noProof/>
        </w:rPr>
        <w:t>one</w:t>
      </w:r>
      <w:r w:rsidR="008F296C">
        <w:rPr>
          <w:noProof/>
        </w:rPr>
        <w:t>-</w:t>
      </w:r>
      <w:r w:rsidRPr="008F296C">
        <w:rPr>
          <w:noProof/>
        </w:rPr>
        <w:lastRenderedPageBreak/>
        <w:t>quarter</w:t>
      </w:r>
      <w:r>
        <w:t xml:space="preserve"> of all taxes to the cults of the gods meaning the cults will receive funds</w:t>
      </w:r>
      <w:r w:rsidR="00885C00">
        <w:rPr>
          <w:rStyle w:val="FootnoteReference"/>
        </w:rPr>
        <w:footnoteReference w:id="30"/>
      </w:r>
      <w:r>
        <w:t>. The king is to also to be pressed for the building of more temples to the other cults</w:t>
      </w:r>
      <w:r w:rsidR="00885C00">
        <w:rPr>
          <w:rStyle w:val="FootnoteReference"/>
        </w:rPr>
        <w:footnoteReference w:id="31"/>
      </w:r>
      <w:r>
        <w:t xml:space="preserve">. On the diplomatic </w:t>
      </w:r>
      <w:r w:rsidRPr="008F296C">
        <w:rPr>
          <w:noProof/>
        </w:rPr>
        <w:t>front</w:t>
      </w:r>
      <w:r w:rsidR="008F296C">
        <w:rPr>
          <w:noProof/>
        </w:rPr>
        <w:t>,</w:t>
      </w:r>
      <w:r>
        <w:t xml:space="preserve"> we are to seek religious protection for those of our people in Syria and free passage to Egyptian dead from Cappadocia through Syrian areas under the control of the eastern empire</w:t>
      </w:r>
      <w:r w:rsidR="00885C00">
        <w:rPr>
          <w:rStyle w:val="FootnoteReference"/>
        </w:rPr>
        <w:footnoteReference w:id="32"/>
      </w:r>
      <w:r>
        <w:t xml:space="preserve">. </w:t>
      </w:r>
      <w:r w:rsidR="00885C00">
        <w:t>Also,</w:t>
      </w:r>
      <w:r>
        <w:t xml:space="preserve"> aggressively seek more con</w:t>
      </w:r>
      <w:r w:rsidR="00885C00">
        <w:t>ver</w:t>
      </w:r>
      <w:r>
        <w:t>ts to the religion, and the support of the gods through prayer and devotion to the pantheon, god willing luck is on our side</w:t>
      </w:r>
      <w:r w:rsidR="00885C00">
        <w:rPr>
          <w:rStyle w:val="FootnoteReference"/>
        </w:rPr>
        <w:footnoteReference w:id="33"/>
      </w:r>
      <w:r>
        <w:t xml:space="preserve">. </w:t>
      </w:r>
    </w:p>
    <w:p w14:paraId="4155A551" w14:textId="77777777" w:rsidR="00C75448" w:rsidRDefault="00A33FA3">
      <w:r>
        <w:t>On the espionage front, the plan is to contact Olympias and arrange the kidnap of Alexander IV, the true successor to Alexander</w:t>
      </w:r>
      <w:r w:rsidR="000D3603">
        <w:rPr>
          <w:rStyle w:val="FootnoteReference"/>
        </w:rPr>
        <w:footnoteReference w:id="34"/>
      </w:r>
      <w:r>
        <w:t xml:space="preserve">. Once he is in our hands, we then move to India to the court of Chandragupta. Either get an army </w:t>
      </w:r>
      <w:r w:rsidR="008F296C">
        <w:t xml:space="preserve">to </w:t>
      </w:r>
      <w:r w:rsidRPr="008F296C">
        <w:rPr>
          <w:noProof/>
        </w:rPr>
        <w:t>form</w:t>
      </w:r>
      <w:r>
        <w:t xml:space="preserve"> him to reconquer his </w:t>
      </w:r>
      <w:r w:rsidR="0010685B">
        <w:t>empire or</w:t>
      </w:r>
      <w:r>
        <w:t xml:space="preserve"> get money in order to fund the endeavour</w:t>
      </w:r>
      <w:r w:rsidR="000D3603">
        <w:rPr>
          <w:rStyle w:val="FootnoteReference"/>
        </w:rPr>
        <w:footnoteReference w:id="35"/>
      </w:r>
      <w:r>
        <w:t>.</w:t>
      </w:r>
    </w:p>
    <w:p w14:paraId="38FDF60B" w14:textId="61D0182E" w:rsidR="001D3C3C" w:rsidRDefault="00C75448">
      <w:r>
        <w:rPr>
          <w:b/>
        </w:rPr>
        <w:t>Entry 6:</w:t>
      </w:r>
      <w:r w:rsidR="00A33FA3">
        <w:t xml:space="preserve"> </w:t>
      </w:r>
    </w:p>
    <w:p w14:paraId="79C015EF" w14:textId="616DD44D" w:rsidR="00D50AD6" w:rsidRDefault="00D50AD6">
      <w:r>
        <w:t xml:space="preserve">The first action in India is to persuade Chandragupta to allow us to set </w:t>
      </w:r>
      <w:proofErr w:type="spellStart"/>
      <w:r>
        <w:t>of</w:t>
      </w:r>
      <w:proofErr w:type="spellEnd"/>
      <w:r>
        <w:t xml:space="preserve"> </w:t>
      </w:r>
      <w:r w:rsidR="008F296C">
        <w:t xml:space="preserve">the </w:t>
      </w:r>
      <w:r w:rsidRPr="008F296C">
        <w:rPr>
          <w:noProof/>
        </w:rPr>
        <w:t>court</w:t>
      </w:r>
      <w:r>
        <w:t xml:space="preserve"> in the city of Mathura which lies on a major trade route linking the west to the east</w:t>
      </w:r>
      <w:r w:rsidR="009F2D64">
        <w:rPr>
          <w:rStyle w:val="FootnoteReference"/>
        </w:rPr>
        <w:footnoteReference w:id="36"/>
      </w:r>
      <w:r>
        <w:t xml:space="preserve">. Once </w:t>
      </w:r>
      <w:r w:rsidR="008F296C">
        <w:t xml:space="preserve">the </w:t>
      </w:r>
      <w:r w:rsidRPr="008F296C">
        <w:rPr>
          <w:noProof/>
        </w:rPr>
        <w:t>court</w:t>
      </w:r>
      <w:r>
        <w:t xml:space="preserve"> is set up Olympias is to be given custody of Alexander and start his tutoring for kingship</w:t>
      </w:r>
      <w:r w:rsidR="003D6E8E">
        <w:rPr>
          <w:rStyle w:val="FootnoteReference"/>
        </w:rPr>
        <w:footnoteReference w:id="37"/>
      </w:r>
      <w:r>
        <w:t>.  I will seek out allies in the eastern empire who are sympathetic. Pucestas has indicated his will to rebel in support of the infant king, the promise of government office should suffice</w:t>
      </w:r>
      <w:r w:rsidR="00E8496E">
        <w:t xml:space="preserve"> and confirmation in his satrapies</w:t>
      </w:r>
      <w:r w:rsidR="003D6E8E">
        <w:rPr>
          <w:rStyle w:val="FootnoteReference"/>
        </w:rPr>
        <w:footnoteReference w:id="38"/>
      </w:r>
      <w:r>
        <w:t xml:space="preserve">. This will be done via a formal invitation to meet at the border. </w:t>
      </w:r>
      <w:r w:rsidRPr="008F296C">
        <w:rPr>
          <w:noProof/>
        </w:rPr>
        <w:t>The</w:t>
      </w:r>
      <w:r w:rsidR="008F296C">
        <w:rPr>
          <w:noProof/>
        </w:rPr>
        <w:t>n</w:t>
      </w:r>
      <w:r>
        <w:t xml:space="preserve"> I will approach the satrap of Mesopotamia with the offer to remain as satrap under Alexander IV</w:t>
      </w:r>
      <w:r w:rsidR="003D6E8E">
        <w:rPr>
          <w:rStyle w:val="FootnoteReference"/>
        </w:rPr>
        <w:footnoteReference w:id="39"/>
      </w:r>
      <w:r>
        <w:t>. Peithon in Persia stands on the fence so may need some convincing, perhaps a sizeable bribe of negotiation on offices like with Pucestas</w:t>
      </w:r>
      <w:r w:rsidR="003D6E8E">
        <w:rPr>
          <w:rStyle w:val="FootnoteReference"/>
        </w:rPr>
        <w:footnoteReference w:id="40"/>
      </w:r>
      <w:r>
        <w:t xml:space="preserve">. What we demand is simple, Alexander IV to be king as decided under the treaty of Issus, or at the very least the eastern satrapies.  </w:t>
      </w:r>
    </w:p>
    <w:p w14:paraId="100A3AC7" w14:textId="176FFE60" w:rsidR="000D3603" w:rsidRDefault="00231308">
      <w:r>
        <w:t xml:space="preserve">Chandragupta has given me 35000 men and 3000 war elephants. I march from </w:t>
      </w:r>
      <w:proofErr w:type="spellStart"/>
      <w:r>
        <w:t>Gerousis</w:t>
      </w:r>
      <w:proofErr w:type="spellEnd"/>
      <w:r>
        <w:t xml:space="preserve"> to Bactria and it will take me one month</w:t>
      </w:r>
      <w:r w:rsidR="000D3603">
        <w:rPr>
          <w:rStyle w:val="FootnoteReference"/>
        </w:rPr>
        <w:footnoteReference w:id="41"/>
      </w:r>
      <w:r>
        <w:t xml:space="preserve">. From </w:t>
      </w:r>
      <w:r w:rsidRPr="008F296C">
        <w:rPr>
          <w:noProof/>
        </w:rPr>
        <w:t>the</w:t>
      </w:r>
      <w:r w:rsidR="008F296C">
        <w:rPr>
          <w:noProof/>
        </w:rPr>
        <w:t>re</w:t>
      </w:r>
      <w:r>
        <w:t xml:space="preserve"> I will </w:t>
      </w:r>
      <w:r w:rsidR="000D3603">
        <w:t>meet</w:t>
      </w:r>
      <w:r>
        <w:t xml:space="preserve"> up with </w:t>
      </w:r>
      <w:proofErr w:type="spellStart"/>
      <w:r>
        <w:t>Pukestas</w:t>
      </w:r>
      <w:proofErr w:type="spellEnd"/>
      <w:r>
        <w:t xml:space="preserve"> and stay in Bactria to hold it, why the s</w:t>
      </w:r>
      <w:r w:rsidR="000D3603">
        <w:t>a</w:t>
      </w:r>
      <w:r>
        <w:t>trap raises men for the further conquest</w:t>
      </w:r>
      <w:r w:rsidR="000D3603">
        <w:rPr>
          <w:rStyle w:val="FootnoteReference"/>
        </w:rPr>
        <w:footnoteReference w:id="42"/>
      </w:r>
      <w:r>
        <w:t xml:space="preserve">. </w:t>
      </w:r>
    </w:p>
    <w:p w14:paraId="76D4AC77" w14:textId="578E28EC" w:rsidR="00231308" w:rsidRDefault="00231308">
      <w:r>
        <w:t xml:space="preserve">However, things have changed as Chandragupta has ordered a new general to assume command, so the army has been halted in Bactria until peace negotiations with the Eastern Empire are completed. At the very least </w:t>
      </w:r>
      <w:r w:rsidR="00392837">
        <w:t xml:space="preserve">Bactria is independent as a client Kingdom. </w:t>
      </w:r>
    </w:p>
    <w:p w14:paraId="03C4D16A" w14:textId="4DF6B50A" w:rsidR="00C75448" w:rsidRPr="00C75448" w:rsidRDefault="00C75448">
      <w:pPr>
        <w:rPr>
          <w:b/>
        </w:rPr>
      </w:pPr>
      <w:r w:rsidRPr="00C75448">
        <w:rPr>
          <w:b/>
        </w:rPr>
        <w:t>Entry 7</w:t>
      </w:r>
      <w:r>
        <w:rPr>
          <w:b/>
        </w:rPr>
        <w:t>:</w:t>
      </w:r>
    </w:p>
    <w:p w14:paraId="20E0B208" w14:textId="3A67A905" w:rsidR="003B6160" w:rsidRDefault="000D3603">
      <w:r w:rsidRPr="008F296C">
        <w:rPr>
          <w:noProof/>
        </w:rPr>
        <w:t>M</w:t>
      </w:r>
      <w:r w:rsidR="008F296C">
        <w:rPr>
          <w:noProof/>
        </w:rPr>
        <w:t>a</w:t>
      </w:r>
      <w:r w:rsidRPr="008F296C">
        <w:rPr>
          <w:noProof/>
        </w:rPr>
        <w:t>landros</w:t>
      </w:r>
      <w:r>
        <w:t xml:space="preserve"> has been assassinated and the peace talks have collapsed. With half of the </w:t>
      </w:r>
      <w:r w:rsidRPr="008F296C">
        <w:rPr>
          <w:noProof/>
        </w:rPr>
        <w:t>army</w:t>
      </w:r>
      <w:r w:rsidR="008F296C">
        <w:rPr>
          <w:noProof/>
        </w:rPr>
        <w:t>,</w:t>
      </w:r>
      <w:r>
        <w:t xml:space="preserve"> Chandragupta has ordered me to continue the invasion. The army marches onto Nicias with 15,000 </w:t>
      </w:r>
      <w:r>
        <w:lastRenderedPageBreak/>
        <w:t>men to lay siege to the city</w:t>
      </w:r>
      <w:r w:rsidR="003B6160">
        <w:t xml:space="preserve">. This also includes 1500 </w:t>
      </w:r>
      <w:r w:rsidR="00C11F79">
        <w:t>Elephants;</w:t>
      </w:r>
      <w:r w:rsidR="003B6160">
        <w:t xml:space="preserve"> the rest of the army returns to India to tend to the summer farming season</w:t>
      </w:r>
      <w:r w:rsidR="00EF53A9">
        <w:rPr>
          <w:rStyle w:val="FootnoteReference"/>
        </w:rPr>
        <w:footnoteReference w:id="43"/>
      </w:r>
      <w:r w:rsidR="003B6160">
        <w:t xml:space="preserve">. </w:t>
      </w:r>
    </w:p>
    <w:p w14:paraId="717A7196" w14:textId="6C827562" w:rsidR="000D3603" w:rsidRDefault="003B6160">
      <w:r>
        <w:t xml:space="preserve">Nicas has been taken after surrendering to the </w:t>
      </w:r>
      <w:r w:rsidR="00D23792">
        <w:t>Indian army after the use of a Force Major, forcing the city to surrender through a projection of force</w:t>
      </w:r>
      <w:r w:rsidR="0010685B">
        <w:rPr>
          <w:rStyle w:val="FootnoteReference"/>
        </w:rPr>
        <w:footnoteReference w:id="44"/>
      </w:r>
      <w:r w:rsidR="00D23792">
        <w:t xml:space="preserve">. The army is now on the march again toward the city of </w:t>
      </w:r>
      <w:proofErr w:type="spellStart"/>
      <w:r w:rsidR="00D23792">
        <w:t>Gorgos</w:t>
      </w:r>
      <w:proofErr w:type="spellEnd"/>
      <w:r w:rsidR="00D23792">
        <w:t xml:space="preserve"> yet reports </w:t>
      </w:r>
      <w:r w:rsidR="00D23792" w:rsidRPr="008F296C">
        <w:rPr>
          <w:noProof/>
        </w:rPr>
        <w:t>suggest</w:t>
      </w:r>
      <w:r w:rsidR="008F296C">
        <w:rPr>
          <w:noProof/>
        </w:rPr>
        <w:t>ing</w:t>
      </w:r>
      <w:r w:rsidR="00D23792">
        <w:t xml:space="preserve"> Peithon’s are mustering not too far away</w:t>
      </w:r>
      <w:r w:rsidR="0010685B">
        <w:t xml:space="preserve"> received form my spy network paid for with 11 talents</w:t>
      </w:r>
      <w:r w:rsidR="0010685B">
        <w:rPr>
          <w:rStyle w:val="FootnoteReference"/>
        </w:rPr>
        <w:footnoteReference w:id="45"/>
      </w:r>
      <w:r w:rsidR="00D23792">
        <w:t xml:space="preserve">. </w:t>
      </w:r>
    </w:p>
    <w:p w14:paraId="20DACA9C" w14:textId="5F1F3F93" w:rsidR="00D23792" w:rsidRDefault="00D23792">
      <w:r>
        <w:t xml:space="preserve">A 3000 strong force of Hindustani Cavalry have just arrived but may not be needed. I have opened negotiations with Peithon to end the war now before it has begun. The treaty will be a simple ceding of territory with the </w:t>
      </w:r>
      <w:r w:rsidRPr="008F296C">
        <w:rPr>
          <w:noProof/>
        </w:rPr>
        <w:t>new</w:t>
      </w:r>
      <w:r w:rsidR="008F296C">
        <w:rPr>
          <w:noProof/>
        </w:rPr>
        <w:t>ly</w:t>
      </w:r>
      <w:r>
        <w:t xml:space="preserve"> proposed border ending where the army stands now at </w:t>
      </w:r>
      <w:proofErr w:type="spellStart"/>
      <w:r>
        <w:t>Gorgos</w:t>
      </w:r>
      <w:proofErr w:type="spellEnd"/>
      <w:r>
        <w:t xml:space="preserve"> and will move </w:t>
      </w:r>
      <w:r w:rsidRPr="008F296C">
        <w:rPr>
          <w:noProof/>
        </w:rPr>
        <w:t>south</w:t>
      </w:r>
      <w:r w:rsidR="008F296C">
        <w:rPr>
          <w:noProof/>
        </w:rPr>
        <w:t>-</w:t>
      </w:r>
      <w:r w:rsidRPr="008F296C">
        <w:rPr>
          <w:noProof/>
        </w:rPr>
        <w:t>east</w:t>
      </w:r>
      <w:r>
        <w:t xml:space="preserve"> until it connects with the region of Aria</w:t>
      </w:r>
      <w:r w:rsidR="0010685B">
        <w:rPr>
          <w:rStyle w:val="FootnoteReference"/>
        </w:rPr>
        <w:footnoteReference w:id="46"/>
      </w:r>
      <w:r>
        <w:t xml:space="preserve">. </w:t>
      </w:r>
      <w:r w:rsidR="00FA4271">
        <w:t>I must wait and send word to the king to confirm the terms have been accepted</w:t>
      </w:r>
      <w:r w:rsidR="0010685B">
        <w:t>, u</w:t>
      </w:r>
      <w:r w:rsidR="00FA4271">
        <w:t xml:space="preserve">ntil then I and Peithon have </w:t>
      </w:r>
      <w:r w:rsidR="00FA4271" w:rsidRPr="008F296C">
        <w:rPr>
          <w:noProof/>
        </w:rPr>
        <w:t>agreed</w:t>
      </w:r>
      <w:r w:rsidR="008F296C">
        <w:rPr>
          <w:noProof/>
        </w:rPr>
        <w:t xml:space="preserve"> on</w:t>
      </w:r>
      <w:r w:rsidR="00FA4271">
        <w:t xml:space="preserve"> a </w:t>
      </w:r>
      <w:r w:rsidR="00FA4271" w:rsidRPr="008F296C">
        <w:rPr>
          <w:noProof/>
        </w:rPr>
        <w:t>cease</w:t>
      </w:r>
      <w:r w:rsidR="008F296C">
        <w:rPr>
          <w:noProof/>
        </w:rPr>
        <w:t>-</w:t>
      </w:r>
      <w:r w:rsidR="00FA4271" w:rsidRPr="008F296C">
        <w:rPr>
          <w:noProof/>
        </w:rPr>
        <w:t>fire</w:t>
      </w:r>
      <w:r w:rsidR="00FA4271">
        <w:t xml:space="preserve"> until the treaty has been agreed</w:t>
      </w:r>
      <w:r w:rsidR="0010685B">
        <w:rPr>
          <w:rStyle w:val="FootnoteReference"/>
        </w:rPr>
        <w:footnoteReference w:id="47"/>
      </w:r>
      <w:r w:rsidR="00FA4271">
        <w:t xml:space="preserve">. </w:t>
      </w:r>
      <w:r w:rsidR="0010685B">
        <w:t>Only the King can make these decisions</w:t>
      </w:r>
      <w:r w:rsidR="0010685B">
        <w:rPr>
          <w:rStyle w:val="FootnoteReference"/>
        </w:rPr>
        <w:footnoteReference w:id="48"/>
      </w:r>
      <w:r w:rsidR="0010685B">
        <w:t xml:space="preserve">. </w:t>
      </w:r>
    </w:p>
    <w:p w14:paraId="70C037AF" w14:textId="6D19C49E" w:rsidR="006758EC" w:rsidRDefault="006758EC">
      <w:r>
        <w:t xml:space="preserve">The treaty has been agreed and signed at </w:t>
      </w:r>
      <w:r w:rsidRPr="008F296C">
        <w:rPr>
          <w:noProof/>
        </w:rPr>
        <w:t>Gorg</w:t>
      </w:r>
      <w:r w:rsidR="008F296C">
        <w:rPr>
          <w:noProof/>
        </w:rPr>
        <w:t>e</w:t>
      </w:r>
      <w:r w:rsidRPr="008F296C">
        <w:rPr>
          <w:noProof/>
        </w:rPr>
        <w:t>s</w:t>
      </w:r>
      <w:r>
        <w:t>, the city now residing in Mauryan territory under His Majesties control. I return to Paliputra, the royal capital to make my report and to counsel the king on the situation in Bactria to settle its status as a Client Kingdom</w:t>
      </w:r>
      <w:r w:rsidR="0010685B">
        <w:rPr>
          <w:rStyle w:val="FootnoteReference"/>
        </w:rPr>
        <w:footnoteReference w:id="49"/>
      </w:r>
      <w:r>
        <w:t xml:space="preserve">.  </w:t>
      </w:r>
    </w:p>
    <w:p w14:paraId="076FF201" w14:textId="2F746213" w:rsidR="00785A6B" w:rsidRDefault="00785A6B">
      <w:r>
        <w:t xml:space="preserve">Considering the assassination of Pucestas, Polyperchon has been appointed acting Satrap of Bactria and the other new territories so there is a government. She has also appointed a second in command to aid him. The appointment may be confirmed after my meeting with the King.   </w:t>
      </w:r>
    </w:p>
    <w:p w14:paraId="1EE32CC0" w14:textId="03546408" w:rsidR="00216ACD" w:rsidRPr="00C75448" w:rsidRDefault="00C75448">
      <w:pPr>
        <w:rPr>
          <w:b/>
        </w:rPr>
      </w:pPr>
      <w:r>
        <w:rPr>
          <w:b/>
        </w:rPr>
        <w:t>Entry 8:</w:t>
      </w:r>
    </w:p>
    <w:p w14:paraId="44F5694C" w14:textId="16878915" w:rsidR="00216ACD" w:rsidRDefault="00216ACD">
      <w:r>
        <w:t>Chandragupta has seen fit to grant me extensive estates in Orissa province. The land belongs to the king, but I may use it as I see fit for an income at long last</w:t>
      </w:r>
      <w:r w:rsidR="00403D0C">
        <w:rPr>
          <w:rStyle w:val="FootnoteReference"/>
        </w:rPr>
        <w:footnoteReference w:id="50"/>
      </w:r>
      <w:r>
        <w:t>. With the grant has come an entourage of 300 servants as well as a payment of 500 talents</w:t>
      </w:r>
      <w:r w:rsidR="00357BB1">
        <w:rPr>
          <w:rStyle w:val="FootnoteReference"/>
        </w:rPr>
        <w:footnoteReference w:id="51"/>
      </w:r>
      <w:r>
        <w:t xml:space="preserve">.   </w:t>
      </w:r>
    </w:p>
    <w:p w14:paraId="2BC45B5E" w14:textId="426780BE" w:rsidR="00216ACD" w:rsidRDefault="00216ACD">
      <w:r>
        <w:t xml:space="preserve">I was sent back to Bactria with the new of the creation of the Client Kingdom, and Polyperchon to receive the throne. Yet when I returned, I found that Peithon sought to negotiate an everlasting peace between Mauryan and his empire. So, we met at the border with terms unchanged </w:t>
      </w:r>
      <w:r w:rsidRPr="008F296C">
        <w:rPr>
          <w:noProof/>
        </w:rPr>
        <w:t>f</w:t>
      </w:r>
      <w:r w:rsidR="008F296C">
        <w:rPr>
          <w:noProof/>
        </w:rPr>
        <w:t>ro</w:t>
      </w:r>
      <w:r w:rsidRPr="008F296C">
        <w:rPr>
          <w:noProof/>
        </w:rPr>
        <w:t>m</w:t>
      </w:r>
      <w:r>
        <w:t xml:space="preserve"> our last treaty in which he ceded half of Parthia to the Empire</w:t>
      </w:r>
      <w:r w:rsidR="00357BB1">
        <w:rPr>
          <w:rStyle w:val="FootnoteReference"/>
        </w:rPr>
        <w:footnoteReference w:id="52"/>
      </w:r>
      <w:r>
        <w:t xml:space="preserve">. The agreement struck included a political marriage with an Indian princess to secure peace through </w:t>
      </w:r>
      <w:r w:rsidR="008F296C">
        <w:t xml:space="preserve">the </w:t>
      </w:r>
      <w:r w:rsidRPr="008F296C">
        <w:rPr>
          <w:noProof/>
        </w:rPr>
        <w:t>alliance</w:t>
      </w:r>
      <w:r w:rsidR="00357BB1">
        <w:rPr>
          <w:rStyle w:val="FootnoteReference"/>
        </w:rPr>
        <w:footnoteReference w:id="53"/>
      </w:r>
      <w:r>
        <w:t>. The marriage to be held within six months in a city of Peithon’s choice. Within a month</w:t>
      </w:r>
      <w:r w:rsidR="008F296C">
        <w:t>, however,</w:t>
      </w:r>
      <w:r>
        <w:t xml:space="preserve"> I received news that Chandra had dispatched an army of 50,000 men to escort his daughter to the wedding with a new general to give an ultimatum</w:t>
      </w:r>
      <w:r w:rsidR="00357BB1">
        <w:rPr>
          <w:rStyle w:val="FootnoteReference"/>
        </w:rPr>
        <w:footnoteReference w:id="54"/>
      </w:r>
      <w:r>
        <w:t xml:space="preserve">. Peithon chose not to accept, fought a battle and lost. </w:t>
      </w:r>
      <w:r w:rsidR="00FF1A20">
        <w:t xml:space="preserve">He is now under siege by an army of 140,000 men. Some commanded by a traitor, others commanded by our Bactrian allies. </w:t>
      </w:r>
      <w:r w:rsidR="00FF1A20" w:rsidRPr="008F296C">
        <w:rPr>
          <w:noProof/>
        </w:rPr>
        <w:t>Hopefully</w:t>
      </w:r>
      <w:r w:rsidR="008F296C">
        <w:rPr>
          <w:noProof/>
        </w:rPr>
        <w:t>,</w:t>
      </w:r>
      <w:r w:rsidR="00FF1A20">
        <w:t xml:space="preserve"> we will have peace at last.   </w:t>
      </w:r>
    </w:p>
    <w:p w14:paraId="3E8B02DC" w14:textId="1388F056" w:rsidR="002D1076" w:rsidRDefault="002D1076">
      <w:pPr>
        <w:rPr>
          <w:b/>
          <w:u w:val="single"/>
        </w:rPr>
      </w:pPr>
      <w:r w:rsidRPr="002D1076">
        <w:rPr>
          <w:b/>
          <w:u w:val="single"/>
        </w:rPr>
        <w:lastRenderedPageBreak/>
        <w:t xml:space="preserve">Bibliography </w:t>
      </w:r>
    </w:p>
    <w:p w14:paraId="0778DBC7" w14:textId="6CE29F13" w:rsidR="002D1076" w:rsidRDefault="002D1076">
      <w:r>
        <w:t xml:space="preserve">Primary Sources: </w:t>
      </w:r>
    </w:p>
    <w:p w14:paraId="4CFD97FC" w14:textId="44A016AD" w:rsidR="002D1076" w:rsidRDefault="002D1076">
      <w:r>
        <w:t xml:space="preserve">Diodorus Siculus, </w:t>
      </w:r>
      <w:r>
        <w:rPr>
          <w:i/>
        </w:rPr>
        <w:t xml:space="preserve">His Library, </w:t>
      </w:r>
      <w:r>
        <w:t>Giles Laurent (trans). 2014. Paris: Sophron Editeur</w:t>
      </w:r>
      <w:r>
        <w:t xml:space="preserve"> </w:t>
      </w:r>
    </w:p>
    <w:p w14:paraId="4C92B1E1" w14:textId="045A2955" w:rsidR="002D1076" w:rsidRDefault="002D1076" w:rsidP="002D1076">
      <w:proofErr w:type="spellStart"/>
      <w:r>
        <w:t>Kautilya</w:t>
      </w:r>
      <w:proofErr w:type="spellEnd"/>
      <w:r>
        <w:t>,</w:t>
      </w:r>
      <w:r>
        <w:t xml:space="preserve"> </w:t>
      </w:r>
      <w:r w:rsidRPr="002D1076">
        <w:rPr>
          <w:i/>
        </w:rPr>
        <w:t>The ARTHASHASTRA</w:t>
      </w:r>
      <w:r>
        <w:t xml:space="preserve">, L.N </w:t>
      </w:r>
      <w:r w:rsidRPr="008F296C">
        <w:rPr>
          <w:noProof/>
        </w:rPr>
        <w:t>Ranjaran</w:t>
      </w:r>
      <w:r w:rsidR="00334631">
        <w:t xml:space="preserve"> (trans). 2017</w:t>
      </w:r>
      <w:r>
        <w:t>. Penguin Books Ltd</w:t>
      </w:r>
      <w:r w:rsidR="00334631">
        <w:t xml:space="preserve"> </w:t>
      </w:r>
    </w:p>
    <w:p w14:paraId="11F0550F" w14:textId="4BFBD63F" w:rsidR="00334631" w:rsidRDefault="00334631" w:rsidP="002D1076"/>
    <w:p w14:paraId="7E605E1C" w14:textId="5F7382E2" w:rsidR="00334631" w:rsidRDefault="00334631" w:rsidP="002D1076">
      <w:r>
        <w:t xml:space="preserve">Secondary Sources: </w:t>
      </w:r>
    </w:p>
    <w:p w14:paraId="1DC47BB0" w14:textId="15CE8E1B" w:rsidR="007375DD" w:rsidRPr="007375DD" w:rsidRDefault="007375DD" w:rsidP="007375DD">
      <w:pPr>
        <w:rPr>
          <w:rStyle w:val="Hyperlink"/>
          <w:color w:val="auto"/>
          <w:u w:val="none"/>
        </w:rPr>
      </w:pPr>
      <w:r>
        <w:t xml:space="preserve">Boot, M. (2014). </w:t>
      </w:r>
      <w:r w:rsidRPr="007375DD">
        <w:rPr>
          <w:i/>
        </w:rPr>
        <w:fldChar w:fldCharType="begin"/>
      </w:r>
      <w:r w:rsidRPr="007375DD">
        <w:rPr>
          <w:i/>
        </w:rPr>
        <w:instrText xml:space="preserve"> HYPERLINK "https://www.amazon.co.uk/Invisible-Armies-History-Guerrilla-Warfare/dp/0871406888/ref=sr_1_6?ie=UTF8&amp;qid=1542041033&amp;sr=8-6&amp;keywords=ancient+warfare" \o "Invisible Armies: An Epic History of Guerrilla Warfare from Ancient Times to the Present" </w:instrText>
      </w:r>
      <w:r w:rsidRPr="007375DD">
        <w:rPr>
          <w:i/>
        </w:rPr>
        <w:fldChar w:fldCharType="separate"/>
      </w:r>
      <w:r w:rsidRPr="007375DD">
        <w:rPr>
          <w:rStyle w:val="Hyperlink"/>
          <w:i/>
          <w:color w:val="auto"/>
          <w:u w:val="none"/>
        </w:rPr>
        <w:t>Invisible</w:t>
      </w:r>
      <w:r w:rsidRPr="007375DD">
        <w:rPr>
          <w:rStyle w:val="Hyperlink"/>
          <w:color w:val="auto"/>
          <w:u w:val="none"/>
        </w:rPr>
        <w:t xml:space="preserve"> Armies:</w:t>
      </w:r>
      <w:r w:rsidRPr="007375DD">
        <w:rPr>
          <w:rStyle w:val="Hyperlink"/>
          <w:i/>
          <w:color w:val="auto"/>
          <w:u w:val="none"/>
        </w:rPr>
        <w:t xml:space="preserve"> An Epic History of Guerrilla Warfare from Ancient Times to the Present</w:t>
      </w:r>
      <w:r>
        <w:rPr>
          <w:rStyle w:val="Hyperlink"/>
          <w:i/>
          <w:color w:val="auto"/>
          <w:u w:val="none"/>
        </w:rPr>
        <w:t xml:space="preserve">. </w:t>
      </w:r>
      <w:r>
        <w:rPr>
          <w:rStyle w:val="Hyperlink"/>
          <w:color w:val="auto"/>
          <w:u w:val="none"/>
        </w:rPr>
        <w:t xml:space="preserve">United States: </w:t>
      </w:r>
      <w:r w:rsidRPr="008F296C">
        <w:rPr>
          <w:rStyle w:val="Hyperlink"/>
          <w:noProof/>
          <w:color w:val="auto"/>
          <w:u w:val="none"/>
        </w:rPr>
        <w:t>Liverite</w:t>
      </w:r>
      <w:r>
        <w:rPr>
          <w:rStyle w:val="Hyperlink"/>
          <w:color w:val="auto"/>
          <w:u w:val="none"/>
        </w:rPr>
        <w:t xml:space="preserve"> Publishing. </w:t>
      </w:r>
    </w:p>
    <w:p w14:paraId="63B95A91" w14:textId="09EFAFFF" w:rsidR="00CD4AA0" w:rsidRPr="007375DD" w:rsidRDefault="007375DD" w:rsidP="002D1076">
      <w:r w:rsidRPr="007375DD">
        <w:fldChar w:fldCharType="end"/>
      </w:r>
      <w:r w:rsidR="00CD4AA0">
        <w:rPr>
          <w:rFonts w:ascii="Arial" w:hAnsi="Arial" w:cs="Arial"/>
          <w:color w:val="000000"/>
          <w:sz w:val="21"/>
          <w:szCs w:val="21"/>
        </w:rPr>
        <w:t xml:space="preserve">Hanson, V. </w:t>
      </w:r>
      <w:r w:rsidR="00CD4AA0">
        <w:rPr>
          <w:rFonts w:ascii="Arial" w:hAnsi="Arial" w:cs="Arial"/>
          <w:color w:val="000000"/>
          <w:sz w:val="21"/>
          <w:szCs w:val="21"/>
        </w:rPr>
        <w:t>(</w:t>
      </w:r>
      <w:r w:rsidR="00CD4AA0">
        <w:rPr>
          <w:rFonts w:ascii="Arial" w:hAnsi="Arial" w:cs="Arial"/>
          <w:color w:val="000000"/>
          <w:sz w:val="21"/>
          <w:szCs w:val="21"/>
        </w:rPr>
        <w:t>2006</w:t>
      </w:r>
      <w:r w:rsidR="00CD4AA0">
        <w:rPr>
          <w:rFonts w:ascii="Arial" w:hAnsi="Arial" w:cs="Arial"/>
          <w:color w:val="000000"/>
          <w:sz w:val="21"/>
          <w:szCs w:val="21"/>
        </w:rPr>
        <w:t>)</w:t>
      </w:r>
      <w:r w:rsidR="00CD4AA0">
        <w:rPr>
          <w:rFonts w:ascii="Arial" w:hAnsi="Arial" w:cs="Arial"/>
          <w:color w:val="000000"/>
          <w:sz w:val="21"/>
          <w:szCs w:val="21"/>
        </w:rPr>
        <w:t xml:space="preserve">. </w:t>
      </w:r>
      <w:r w:rsidR="00CD4AA0">
        <w:rPr>
          <w:rStyle w:val="Emphasis"/>
          <w:rFonts w:ascii="&amp;quot" w:hAnsi="&amp;quot"/>
          <w:color w:val="000000"/>
          <w:sz w:val="21"/>
          <w:szCs w:val="21"/>
        </w:rPr>
        <w:t>A War Like No Other</w:t>
      </w:r>
      <w:r w:rsidR="00CD4AA0">
        <w:rPr>
          <w:rFonts w:ascii="Arial" w:hAnsi="Arial" w:cs="Arial"/>
          <w:color w:val="000000"/>
          <w:sz w:val="21"/>
          <w:szCs w:val="21"/>
        </w:rPr>
        <w:t xml:space="preserve">. </w:t>
      </w:r>
      <w:r w:rsidR="00CD4AA0">
        <w:rPr>
          <w:rFonts w:ascii="Arial" w:hAnsi="Arial" w:cs="Arial"/>
          <w:color w:val="000000"/>
          <w:sz w:val="21"/>
          <w:szCs w:val="21"/>
        </w:rPr>
        <w:t>New York</w:t>
      </w:r>
      <w:r w:rsidR="00CD4AA0">
        <w:rPr>
          <w:rFonts w:ascii="Arial" w:hAnsi="Arial" w:cs="Arial"/>
          <w:color w:val="000000"/>
          <w:sz w:val="21"/>
          <w:szCs w:val="21"/>
        </w:rPr>
        <w:t xml:space="preserve">: Random House Inc. </w:t>
      </w:r>
    </w:p>
    <w:p w14:paraId="62F4D7C9" w14:textId="452F7FFD" w:rsidR="00BA6D5C" w:rsidRPr="00BA6D5C" w:rsidRDefault="009A5A23" w:rsidP="00BA6D5C">
      <w:pPr>
        <w:rPr>
          <w:rFonts w:ascii="Arial" w:hAnsi="Arial" w:cs="Arial"/>
          <w:bCs/>
          <w:color w:val="000000"/>
          <w:sz w:val="21"/>
          <w:szCs w:val="21"/>
        </w:rPr>
      </w:pPr>
      <w:proofErr w:type="spellStart"/>
      <w:r>
        <w:rPr>
          <w:rFonts w:ascii="Arial" w:hAnsi="Arial" w:cs="Arial"/>
          <w:color w:val="000000"/>
          <w:sz w:val="21"/>
          <w:szCs w:val="21"/>
        </w:rPr>
        <w:t>Harril</w:t>
      </w:r>
      <w:r w:rsidR="00BA6D5C">
        <w:rPr>
          <w:rFonts w:ascii="Arial" w:hAnsi="Arial" w:cs="Arial"/>
          <w:color w:val="000000"/>
          <w:sz w:val="21"/>
          <w:szCs w:val="21"/>
        </w:rPr>
        <w:t>l</w:t>
      </w:r>
      <w:proofErr w:type="spellEnd"/>
      <w:r>
        <w:rPr>
          <w:rFonts w:ascii="Arial" w:hAnsi="Arial" w:cs="Arial"/>
          <w:color w:val="000000"/>
          <w:sz w:val="21"/>
          <w:szCs w:val="21"/>
        </w:rPr>
        <w:t xml:space="preserve">, J. </w:t>
      </w:r>
      <w:r w:rsidR="00BA6D5C">
        <w:rPr>
          <w:rFonts w:ascii="Arial" w:hAnsi="Arial" w:cs="Arial"/>
          <w:color w:val="000000"/>
          <w:sz w:val="21"/>
          <w:szCs w:val="21"/>
        </w:rPr>
        <w:t>‘</w:t>
      </w:r>
      <w:r w:rsidR="00BA6D5C" w:rsidRPr="00BA6D5C">
        <w:rPr>
          <w:rFonts w:ascii="Arial" w:hAnsi="Arial" w:cs="Arial"/>
          <w:bCs/>
          <w:color w:val="000000"/>
          <w:sz w:val="21"/>
          <w:szCs w:val="21"/>
        </w:rPr>
        <w:t xml:space="preserve">The Vice of Slave Dealers in Greco-Roman Society: The Use of a </w:t>
      </w:r>
      <w:proofErr w:type="spellStart"/>
      <w:r w:rsidR="00BA6D5C" w:rsidRPr="00BA6D5C">
        <w:rPr>
          <w:rFonts w:ascii="Arial" w:hAnsi="Arial" w:cs="Arial"/>
          <w:bCs/>
          <w:color w:val="000000"/>
          <w:sz w:val="21"/>
          <w:szCs w:val="21"/>
        </w:rPr>
        <w:t>Topos</w:t>
      </w:r>
      <w:proofErr w:type="spellEnd"/>
      <w:r w:rsidR="00BA6D5C" w:rsidRPr="00BA6D5C">
        <w:rPr>
          <w:rFonts w:ascii="Arial" w:hAnsi="Arial" w:cs="Arial"/>
          <w:bCs/>
          <w:color w:val="000000"/>
          <w:sz w:val="21"/>
          <w:szCs w:val="21"/>
        </w:rPr>
        <w:t xml:space="preserve"> in 1 Timothy 1:10</w:t>
      </w:r>
      <w:r w:rsidR="00BA6D5C">
        <w:rPr>
          <w:rFonts w:ascii="Arial" w:hAnsi="Arial" w:cs="Arial"/>
          <w:bCs/>
          <w:color w:val="000000"/>
          <w:sz w:val="21"/>
          <w:szCs w:val="21"/>
        </w:rPr>
        <w:t xml:space="preserve">’ </w:t>
      </w:r>
      <w:r w:rsidR="00BA6D5C" w:rsidRPr="00BA6D5C">
        <w:rPr>
          <w:rFonts w:ascii="Arial" w:hAnsi="Arial" w:cs="Arial"/>
          <w:bCs/>
          <w:i/>
          <w:iCs/>
          <w:color w:val="000000"/>
          <w:sz w:val="21"/>
          <w:szCs w:val="21"/>
        </w:rPr>
        <w:t>Journal of Biblical Literature</w:t>
      </w:r>
      <w:r w:rsidR="00BA6D5C">
        <w:rPr>
          <w:rFonts w:ascii="Arial" w:hAnsi="Arial" w:cs="Arial"/>
          <w:bCs/>
          <w:i/>
          <w:iCs/>
          <w:color w:val="000000"/>
          <w:sz w:val="21"/>
          <w:szCs w:val="21"/>
        </w:rPr>
        <w:t xml:space="preserve">, </w:t>
      </w:r>
      <w:r w:rsidR="00BA6D5C" w:rsidRPr="00BA6D5C">
        <w:rPr>
          <w:rFonts w:ascii="Arial" w:hAnsi="Arial" w:cs="Arial"/>
          <w:bCs/>
          <w:i/>
          <w:color w:val="000000"/>
          <w:sz w:val="21"/>
          <w:szCs w:val="21"/>
        </w:rPr>
        <w:t>Vol. 118, No. 1 (Spring, 1999), pp. 97-122</w:t>
      </w:r>
      <w:r w:rsidR="00BA6D5C">
        <w:rPr>
          <w:rFonts w:ascii="Arial" w:hAnsi="Arial" w:cs="Arial"/>
          <w:bCs/>
          <w:i/>
          <w:color w:val="000000"/>
          <w:sz w:val="21"/>
          <w:szCs w:val="21"/>
        </w:rPr>
        <w:t xml:space="preserve">. </w:t>
      </w:r>
    </w:p>
    <w:p w14:paraId="76DEA53E" w14:textId="32452CCB" w:rsidR="00CD4AA0" w:rsidRDefault="00CD4AA0" w:rsidP="002D1076">
      <w:proofErr w:type="spellStart"/>
      <w:r>
        <w:t>Hormung</w:t>
      </w:r>
      <w:proofErr w:type="spellEnd"/>
      <w:r>
        <w:t xml:space="preserve">, E. and Baines, J. (1996). </w:t>
      </w:r>
      <w:r>
        <w:rPr>
          <w:i/>
        </w:rPr>
        <w:t xml:space="preserve"> Conceptions of Gods in Ancient </w:t>
      </w:r>
      <w:r w:rsidRPr="00CD4AA0">
        <w:t>Egypt</w:t>
      </w:r>
      <w:r>
        <w:t xml:space="preserve">. </w:t>
      </w:r>
      <w:r w:rsidRPr="00CD4AA0">
        <w:t>United</w:t>
      </w:r>
      <w:r>
        <w:t xml:space="preserve"> States: Cornell University Press. </w:t>
      </w:r>
    </w:p>
    <w:p w14:paraId="2E2E3C5D" w14:textId="3C9B7DC3" w:rsidR="00334631" w:rsidRDefault="00334631" w:rsidP="00334631">
      <w:r w:rsidRPr="00334631">
        <w:t xml:space="preserve">Grainger, J.  (2017). </w:t>
      </w:r>
      <w:r w:rsidRPr="00334631">
        <w:rPr>
          <w:i/>
        </w:rPr>
        <w:t>Kings and Kingship in the Hellenistic World</w:t>
      </w:r>
      <w:r w:rsidRPr="00334631">
        <w:t xml:space="preserve">. </w:t>
      </w:r>
      <w:bookmarkStart w:id="24" w:name="_Hlk528872075"/>
      <w:r w:rsidRPr="00334631">
        <w:t xml:space="preserve"> </w:t>
      </w:r>
      <w:bookmarkEnd w:id="24"/>
      <w:r w:rsidRPr="00334631">
        <w:t xml:space="preserve">Barnsley: Pen and Sword. </w:t>
      </w:r>
    </w:p>
    <w:p w14:paraId="34348858" w14:textId="5D0A19F4" w:rsidR="006B1BC7" w:rsidRPr="006B1BC7" w:rsidRDefault="006B1BC7" w:rsidP="00334631">
      <w:r>
        <w:t xml:space="preserve">Keay, J. (2010). </w:t>
      </w:r>
      <w:r>
        <w:rPr>
          <w:i/>
        </w:rPr>
        <w:t>India: A History</w:t>
      </w:r>
      <w:r>
        <w:t xml:space="preserve">. India: Harper and Collins Publishers. </w:t>
      </w:r>
    </w:p>
    <w:p w14:paraId="07D6EF0F" w14:textId="3835329B" w:rsidR="00334631" w:rsidRDefault="00334631" w:rsidP="00334631">
      <w:pPr>
        <w:suppressAutoHyphens/>
        <w:autoSpaceDN w:val="0"/>
        <w:spacing w:before="240" w:line="256" w:lineRule="auto"/>
        <w:textAlignment w:val="baseline"/>
        <w:rPr>
          <w:rFonts w:eastAsia="Calibri" w:cstheme="minorHAnsi"/>
        </w:rPr>
      </w:pPr>
      <w:r>
        <w:rPr>
          <w:rFonts w:eastAsia="Calibri" w:cstheme="minorHAnsi"/>
        </w:rPr>
        <w:t>Keegan, J</w:t>
      </w:r>
      <w:r w:rsidRPr="00334631">
        <w:rPr>
          <w:rFonts w:eastAsia="Calibri" w:cstheme="minorHAnsi"/>
        </w:rPr>
        <w:t>.</w:t>
      </w:r>
      <w:r>
        <w:rPr>
          <w:rFonts w:eastAsia="Calibri" w:cstheme="minorHAnsi"/>
        </w:rPr>
        <w:t xml:space="preserve"> (2004)</w:t>
      </w:r>
      <w:r w:rsidRPr="00334631">
        <w:rPr>
          <w:rFonts w:eastAsia="Calibri" w:cstheme="minorHAnsi"/>
        </w:rPr>
        <w:t xml:space="preserve"> </w:t>
      </w:r>
      <w:r w:rsidRPr="00334631">
        <w:rPr>
          <w:rFonts w:eastAsia="Calibri" w:cstheme="minorHAnsi"/>
          <w:i/>
        </w:rPr>
        <w:t>A History of Warfare</w:t>
      </w:r>
      <w:r>
        <w:rPr>
          <w:rFonts w:eastAsia="Calibri" w:cstheme="minorHAnsi"/>
        </w:rPr>
        <w:t xml:space="preserve">. </w:t>
      </w:r>
      <w:r w:rsidRPr="00334631">
        <w:rPr>
          <w:rFonts w:eastAsia="Calibri" w:cstheme="minorHAnsi"/>
        </w:rPr>
        <w:t>London: Pimlico</w:t>
      </w:r>
      <w:r>
        <w:rPr>
          <w:rFonts w:eastAsia="Calibri" w:cstheme="minorHAnsi"/>
        </w:rPr>
        <w:t xml:space="preserve">. </w:t>
      </w:r>
    </w:p>
    <w:p w14:paraId="6BE338D3" w14:textId="5DF1EBB1" w:rsidR="004F4880" w:rsidRDefault="004F4880" w:rsidP="00334631">
      <w:pPr>
        <w:suppressAutoHyphens/>
        <w:autoSpaceDN w:val="0"/>
        <w:spacing w:before="240" w:line="256" w:lineRule="auto"/>
        <w:textAlignment w:val="baseline"/>
        <w:rPr>
          <w:rFonts w:eastAsia="Calibri" w:cstheme="minorHAnsi"/>
        </w:rPr>
      </w:pPr>
      <w:r>
        <w:rPr>
          <w:rFonts w:eastAsia="Calibri" w:cstheme="minorHAnsi"/>
        </w:rPr>
        <w:t xml:space="preserve">Mclaughlin, R. (2013). </w:t>
      </w:r>
      <w:r>
        <w:rPr>
          <w:rFonts w:eastAsia="Calibri" w:cstheme="minorHAnsi"/>
          <w:i/>
        </w:rPr>
        <w:t>The Roman Empire and the Indian Ocean</w:t>
      </w:r>
      <w:r>
        <w:rPr>
          <w:rFonts w:eastAsia="Calibri" w:cstheme="minorHAnsi"/>
        </w:rPr>
        <w:t xml:space="preserve">. Barnsley: Pen and Sword. </w:t>
      </w:r>
    </w:p>
    <w:p w14:paraId="24EBC523" w14:textId="32F13A38" w:rsidR="00CD4AA0" w:rsidRPr="00CD4AA0" w:rsidRDefault="00CD4AA0" w:rsidP="00334631">
      <w:pPr>
        <w:suppressAutoHyphens/>
        <w:autoSpaceDN w:val="0"/>
        <w:spacing w:before="240" w:line="256" w:lineRule="auto"/>
        <w:textAlignment w:val="baseline"/>
        <w:rPr>
          <w:rFonts w:eastAsia="Calibri" w:cstheme="minorHAnsi"/>
        </w:rPr>
      </w:pPr>
      <w:r>
        <w:rPr>
          <w:rFonts w:eastAsia="Calibri" w:cstheme="minorHAnsi"/>
        </w:rPr>
        <w:t xml:space="preserve">Quirk, S. (2014). </w:t>
      </w:r>
      <w:r>
        <w:rPr>
          <w:rFonts w:eastAsia="Calibri" w:cstheme="minorHAnsi"/>
          <w:i/>
        </w:rPr>
        <w:t>Exploring Religion in Ancient Egypt</w:t>
      </w:r>
      <w:r>
        <w:rPr>
          <w:rFonts w:eastAsia="Calibri" w:cstheme="minorHAnsi"/>
        </w:rPr>
        <w:t xml:space="preserve">. Chichester: John Wiley and Sons. </w:t>
      </w:r>
    </w:p>
    <w:p w14:paraId="6079156E" w14:textId="05CF8937" w:rsidR="00334631" w:rsidRDefault="00334631" w:rsidP="00334631">
      <w:pPr>
        <w:suppressAutoHyphens/>
        <w:autoSpaceDN w:val="0"/>
        <w:spacing w:before="240" w:line="256" w:lineRule="auto"/>
        <w:textAlignment w:val="baseline"/>
        <w:rPr>
          <w:rFonts w:eastAsia="Calibri" w:cstheme="minorHAnsi"/>
        </w:rPr>
      </w:pPr>
      <w:r>
        <w:rPr>
          <w:rFonts w:eastAsia="Calibri" w:cstheme="minorHAnsi"/>
        </w:rPr>
        <w:t>Rusch, S. (</w:t>
      </w:r>
      <w:r w:rsidR="004F4880">
        <w:rPr>
          <w:rFonts w:eastAsia="Calibri" w:cstheme="minorHAnsi"/>
        </w:rPr>
        <w:t xml:space="preserve">2013). </w:t>
      </w:r>
      <w:r w:rsidR="004F4880">
        <w:rPr>
          <w:rFonts w:eastAsia="Calibri" w:cstheme="minorHAnsi"/>
          <w:i/>
        </w:rPr>
        <w:t>Sparta at War</w:t>
      </w:r>
      <w:r w:rsidR="004F4880">
        <w:rPr>
          <w:rFonts w:eastAsia="Calibri" w:cstheme="minorHAnsi"/>
        </w:rPr>
        <w:t xml:space="preserve">. Barnsley: Pen and Sword. </w:t>
      </w:r>
      <w:r w:rsidR="00CD4AA0">
        <w:rPr>
          <w:rFonts w:eastAsia="Calibri" w:cstheme="minorHAnsi"/>
        </w:rPr>
        <w:t xml:space="preserve">       </w:t>
      </w:r>
    </w:p>
    <w:p w14:paraId="05CFC7D8" w14:textId="06FD4061" w:rsidR="007A0413" w:rsidRPr="007A0413" w:rsidRDefault="007A0413" w:rsidP="00334631">
      <w:pPr>
        <w:suppressAutoHyphens/>
        <w:autoSpaceDN w:val="0"/>
        <w:spacing w:before="240" w:line="256" w:lineRule="auto"/>
        <w:textAlignment w:val="baseline"/>
        <w:rPr>
          <w:rFonts w:eastAsia="Calibri" w:cstheme="minorHAnsi"/>
        </w:rPr>
      </w:pPr>
      <w:r>
        <w:rPr>
          <w:rFonts w:eastAsia="Calibri" w:cstheme="minorHAnsi"/>
        </w:rPr>
        <w:t xml:space="preserve">Waterfeild, R. (2012). </w:t>
      </w:r>
      <w:r>
        <w:rPr>
          <w:rFonts w:eastAsia="Calibri" w:cstheme="minorHAnsi"/>
          <w:i/>
        </w:rPr>
        <w:t>Dividing the Spoils</w:t>
      </w:r>
      <w:r>
        <w:rPr>
          <w:rFonts w:eastAsia="Calibri" w:cstheme="minorHAnsi"/>
        </w:rPr>
        <w:t xml:space="preserve">. </w:t>
      </w:r>
      <w:r w:rsidR="006B1BC7">
        <w:rPr>
          <w:rFonts w:eastAsia="Calibri" w:cstheme="minorHAnsi"/>
        </w:rPr>
        <w:t xml:space="preserve">Oxford: Oxford University Press.  </w:t>
      </w:r>
    </w:p>
    <w:p w14:paraId="04BBEB0E" w14:textId="77777777" w:rsidR="004F4880" w:rsidRPr="00334631" w:rsidRDefault="004F4880" w:rsidP="00334631">
      <w:pPr>
        <w:suppressAutoHyphens/>
        <w:autoSpaceDN w:val="0"/>
        <w:spacing w:before="240" w:line="256" w:lineRule="auto"/>
        <w:textAlignment w:val="baseline"/>
        <w:rPr>
          <w:rFonts w:eastAsia="Calibri" w:cstheme="minorHAnsi"/>
        </w:rPr>
      </w:pPr>
    </w:p>
    <w:p w14:paraId="143D8C0E" w14:textId="77777777" w:rsidR="00334631" w:rsidRPr="00334631" w:rsidRDefault="00334631" w:rsidP="00334631"/>
    <w:p w14:paraId="6A8C0B6A" w14:textId="6C5078B1" w:rsidR="00334631" w:rsidRPr="002D1076" w:rsidRDefault="00334631" w:rsidP="002D1076"/>
    <w:p w14:paraId="2A60D97C" w14:textId="77777777" w:rsidR="00FA4271" w:rsidRPr="000D3603" w:rsidRDefault="00FA4271"/>
    <w:p w14:paraId="774CF647" w14:textId="10A62C78" w:rsidR="00D63BD9" w:rsidRPr="00D63BD9" w:rsidRDefault="00D63BD9"/>
    <w:sectPr w:rsidR="00D63BD9" w:rsidRPr="00D63B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3C004D" w14:textId="77777777" w:rsidR="00966934" w:rsidRDefault="00966934" w:rsidP="005B6BE0">
      <w:pPr>
        <w:spacing w:after="0" w:line="240" w:lineRule="auto"/>
      </w:pPr>
      <w:r>
        <w:separator/>
      </w:r>
    </w:p>
  </w:endnote>
  <w:endnote w:type="continuationSeparator" w:id="0">
    <w:p w14:paraId="22C489A7" w14:textId="77777777" w:rsidR="00966934" w:rsidRDefault="00966934" w:rsidP="005B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arajita">
    <w:altName w:val="Aparajita"/>
    <w:charset w:val="00"/>
    <w:family w:val="roman"/>
    <w:pitch w:val="variable"/>
    <w:sig w:usb0="00008003" w:usb1="00000000" w:usb2="00000000" w:usb3="00000000" w:csb0="00000001"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F25417" w14:textId="77777777" w:rsidR="00966934" w:rsidRDefault="00966934" w:rsidP="005B6BE0">
      <w:pPr>
        <w:spacing w:after="0" w:line="240" w:lineRule="auto"/>
      </w:pPr>
      <w:r>
        <w:separator/>
      </w:r>
    </w:p>
  </w:footnote>
  <w:footnote w:type="continuationSeparator" w:id="0">
    <w:p w14:paraId="6BC39D81" w14:textId="77777777" w:rsidR="00966934" w:rsidRDefault="00966934" w:rsidP="005B6BE0">
      <w:pPr>
        <w:spacing w:after="0" w:line="240" w:lineRule="auto"/>
      </w:pPr>
      <w:r>
        <w:continuationSeparator/>
      </w:r>
    </w:p>
  </w:footnote>
  <w:footnote w:id="1">
    <w:p w14:paraId="653B06C5" w14:textId="71E5CED4" w:rsidR="005B6BE0" w:rsidRDefault="005B6BE0">
      <w:pPr>
        <w:pStyle w:val="FootnoteText"/>
      </w:pPr>
      <w:r>
        <w:rPr>
          <w:rStyle w:val="FootnoteReference"/>
        </w:rPr>
        <w:footnoteRef/>
      </w:r>
      <w:r>
        <w:t xml:space="preserve"> </w:t>
      </w:r>
      <w:bookmarkStart w:id="1" w:name="_Hlk529200793"/>
      <w:bookmarkStart w:id="2" w:name="_Hlk528913851"/>
      <w:r w:rsidRPr="005B6BE0">
        <w:t>(Grainger, 2017, p.5</w:t>
      </w:r>
      <w:bookmarkEnd w:id="1"/>
      <w:r w:rsidRPr="005B6BE0">
        <w:t>)</w:t>
      </w:r>
      <w:bookmarkEnd w:id="2"/>
    </w:p>
  </w:footnote>
  <w:footnote w:id="2">
    <w:p w14:paraId="2E45C3CF" w14:textId="3664768E" w:rsidR="00861562" w:rsidRDefault="00861562">
      <w:pPr>
        <w:pStyle w:val="FootnoteText"/>
      </w:pPr>
      <w:r>
        <w:rPr>
          <w:rStyle w:val="FootnoteReference"/>
        </w:rPr>
        <w:footnoteRef/>
      </w:r>
      <w:r>
        <w:t xml:space="preserve"> </w:t>
      </w:r>
      <w:bookmarkStart w:id="3" w:name="_Hlk529542554"/>
      <w:r>
        <w:t xml:space="preserve">(Rusch, 2011, p.45.) </w:t>
      </w:r>
      <w:bookmarkEnd w:id="3"/>
    </w:p>
  </w:footnote>
  <w:footnote w:id="3">
    <w:p w14:paraId="17F30103" w14:textId="6CBC9E1A" w:rsidR="005B6BE0" w:rsidRDefault="005B6BE0">
      <w:pPr>
        <w:pStyle w:val="FootnoteText"/>
      </w:pPr>
      <w:r>
        <w:rPr>
          <w:rStyle w:val="FootnoteReference"/>
        </w:rPr>
        <w:footnoteRef/>
      </w:r>
      <w:r>
        <w:t xml:space="preserve"> </w:t>
      </w:r>
      <w:bookmarkStart w:id="4" w:name="_Hlk528596975"/>
      <w:r w:rsidRPr="005B6BE0">
        <w:t xml:space="preserve">(Keegan, 2002, p. 18)   </w:t>
      </w:r>
      <w:bookmarkEnd w:id="4"/>
    </w:p>
  </w:footnote>
  <w:footnote w:id="4">
    <w:p w14:paraId="597C2B18" w14:textId="5E634C0E" w:rsidR="005B6BE0" w:rsidRDefault="005B6BE0">
      <w:pPr>
        <w:pStyle w:val="FootnoteText"/>
      </w:pPr>
      <w:r>
        <w:rPr>
          <w:rStyle w:val="FootnoteReference"/>
        </w:rPr>
        <w:footnoteRef/>
      </w:r>
      <w:r>
        <w:t xml:space="preserve"> </w:t>
      </w:r>
      <w:r w:rsidRPr="005B6BE0">
        <w:t>(Dio.18.2.)</w:t>
      </w:r>
    </w:p>
  </w:footnote>
  <w:footnote w:id="5">
    <w:p w14:paraId="481DA466" w14:textId="62711B32" w:rsidR="0040259A" w:rsidRDefault="0040259A">
      <w:pPr>
        <w:pStyle w:val="FootnoteText"/>
      </w:pPr>
      <w:r>
        <w:rPr>
          <w:rStyle w:val="FootnoteReference"/>
        </w:rPr>
        <w:footnoteRef/>
      </w:r>
      <w:r>
        <w:t xml:space="preserve"> </w:t>
      </w:r>
      <w:bookmarkStart w:id="5" w:name="_Hlk528597281"/>
      <w:r w:rsidRPr="0040259A">
        <w:t>(Keegan, 1992, p.23)</w:t>
      </w:r>
      <w:r>
        <w:t xml:space="preserve"> </w:t>
      </w:r>
      <w:bookmarkEnd w:id="5"/>
    </w:p>
  </w:footnote>
  <w:footnote w:id="6">
    <w:p w14:paraId="662D468F" w14:textId="2891B1A0" w:rsidR="0040259A" w:rsidRDefault="0040259A">
      <w:pPr>
        <w:pStyle w:val="FootnoteText"/>
      </w:pPr>
      <w:r>
        <w:rPr>
          <w:rStyle w:val="FootnoteReference"/>
        </w:rPr>
        <w:footnoteRef/>
      </w:r>
      <w:r>
        <w:t xml:space="preserve"> </w:t>
      </w:r>
      <w:r w:rsidRPr="0040259A">
        <w:t>(Dio.18.</w:t>
      </w:r>
      <w:r>
        <w:t>3</w:t>
      </w:r>
      <w:r w:rsidRPr="0040259A">
        <w:t>.)</w:t>
      </w:r>
      <w:r>
        <w:t xml:space="preserve"> </w:t>
      </w:r>
    </w:p>
  </w:footnote>
  <w:footnote w:id="7">
    <w:p w14:paraId="62E7EF99" w14:textId="63B15E59" w:rsidR="0040259A" w:rsidRDefault="0040259A">
      <w:pPr>
        <w:pStyle w:val="FootnoteText"/>
      </w:pPr>
      <w:r>
        <w:rPr>
          <w:rStyle w:val="FootnoteReference"/>
        </w:rPr>
        <w:footnoteRef/>
      </w:r>
      <w:r>
        <w:t xml:space="preserve"> (Grainger, 2017, p.13) </w:t>
      </w:r>
    </w:p>
  </w:footnote>
  <w:footnote w:id="8">
    <w:p w14:paraId="31DE21F8" w14:textId="10B6E113" w:rsidR="0040259A" w:rsidRDefault="0040259A">
      <w:pPr>
        <w:pStyle w:val="FootnoteText"/>
      </w:pPr>
      <w:r>
        <w:rPr>
          <w:rStyle w:val="FootnoteReference"/>
        </w:rPr>
        <w:footnoteRef/>
      </w:r>
      <w:r>
        <w:t xml:space="preserve"> </w:t>
      </w:r>
      <w:r w:rsidRPr="0040259A">
        <w:t xml:space="preserve">(Keegan, 2002, p. </w:t>
      </w:r>
      <w:r>
        <w:t>21</w:t>
      </w:r>
      <w:r w:rsidRPr="0040259A">
        <w:t xml:space="preserve">)   </w:t>
      </w:r>
    </w:p>
  </w:footnote>
  <w:footnote w:id="9">
    <w:p w14:paraId="6BD77E10" w14:textId="60449A36" w:rsidR="0040259A" w:rsidRDefault="0040259A">
      <w:pPr>
        <w:pStyle w:val="FootnoteText"/>
      </w:pPr>
      <w:r>
        <w:rPr>
          <w:rStyle w:val="FootnoteReference"/>
        </w:rPr>
        <w:footnoteRef/>
      </w:r>
      <w:r>
        <w:t xml:space="preserve"> </w:t>
      </w:r>
      <w:r w:rsidRPr="0040259A">
        <w:t xml:space="preserve">(Keegan, 2002, p. </w:t>
      </w:r>
      <w:r>
        <w:t>22</w:t>
      </w:r>
      <w:r w:rsidRPr="0040259A">
        <w:t xml:space="preserve">)   </w:t>
      </w:r>
    </w:p>
  </w:footnote>
  <w:footnote w:id="10">
    <w:p w14:paraId="41DA83CE" w14:textId="034108FD" w:rsidR="007F30AF" w:rsidRDefault="007F30AF">
      <w:pPr>
        <w:pStyle w:val="FootnoteText"/>
      </w:pPr>
      <w:r>
        <w:rPr>
          <w:rStyle w:val="FootnoteReference"/>
        </w:rPr>
        <w:footnoteRef/>
      </w:r>
      <w:r>
        <w:t xml:space="preserve"> (Grainger,2002, p. 42) </w:t>
      </w:r>
    </w:p>
  </w:footnote>
  <w:footnote w:id="11">
    <w:p w14:paraId="7D5965F4" w14:textId="407F6B27" w:rsidR="007F30AF" w:rsidRDefault="007F30AF">
      <w:pPr>
        <w:pStyle w:val="FootnoteText"/>
      </w:pPr>
      <w:r>
        <w:rPr>
          <w:rStyle w:val="FootnoteReference"/>
        </w:rPr>
        <w:footnoteRef/>
      </w:r>
      <w:r>
        <w:t xml:space="preserve"> </w:t>
      </w:r>
      <w:bookmarkStart w:id="6" w:name="_Hlk528597078"/>
      <w:r w:rsidRPr="007F30AF">
        <w:t xml:space="preserve">(Keegan, 2002, p. </w:t>
      </w:r>
      <w:r>
        <w:t xml:space="preserve">45)  </w:t>
      </w:r>
      <w:bookmarkEnd w:id="6"/>
    </w:p>
  </w:footnote>
  <w:footnote w:id="12">
    <w:p w14:paraId="6FB8BB48" w14:textId="4217E544" w:rsidR="007F30AF" w:rsidRDefault="007F30AF">
      <w:pPr>
        <w:pStyle w:val="FootnoteText"/>
      </w:pPr>
      <w:r>
        <w:rPr>
          <w:rStyle w:val="FootnoteReference"/>
        </w:rPr>
        <w:footnoteRef/>
      </w:r>
      <w:r>
        <w:t xml:space="preserve"> </w:t>
      </w:r>
      <w:r w:rsidRPr="007F30AF">
        <w:t xml:space="preserve">(Keegan, 2002, p. 45)  </w:t>
      </w:r>
    </w:p>
  </w:footnote>
  <w:footnote w:id="13">
    <w:p w14:paraId="40EFDF41" w14:textId="23EE0448" w:rsidR="007F30AF" w:rsidRDefault="007F30AF">
      <w:pPr>
        <w:pStyle w:val="FootnoteText"/>
      </w:pPr>
      <w:r>
        <w:rPr>
          <w:rStyle w:val="FootnoteReference"/>
        </w:rPr>
        <w:footnoteRef/>
      </w:r>
      <w:r>
        <w:t xml:space="preserve"> </w:t>
      </w:r>
      <w:bookmarkStart w:id="7" w:name="_Hlk528597237"/>
      <w:r>
        <w:t>(</w:t>
      </w:r>
      <w:r w:rsidR="002D1076">
        <w:t>Grainger</w:t>
      </w:r>
      <w:r>
        <w:t>, 2017, p.166)</w:t>
      </w:r>
      <w:bookmarkEnd w:id="7"/>
    </w:p>
  </w:footnote>
  <w:footnote w:id="14">
    <w:p w14:paraId="4BCFC9C0" w14:textId="7D63C8C8" w:rsidR="007F30AF" w:rsidRDefault="007F30AF">
      <w:pPr>
        <w:pStyle w:val="FootnoteText"/>
      </w:pPr>
      <w:r>
        <w:rPr>
          <w:rStyle w:val="FootnoteReference"/>
        </w:rPr>
        <w:footnoteRef/>
      </w:r>
      <w:r>
        <w:t xml:space="preserve"> </w:t>
      </w:r>
      <w:bookmarkStart w:id="8" w:name="_Hlk529175459"/>
      <w:r w:rsidRPr="007F30AF">
        <w:t>(</w:t>
      </w:r>
      <w:r w:rsidR="002D1076">
        <w:t>Grainger</w:t>
      </w:r>
      <w:r w:rsidRPr="007F30AF">
        <w:t>, 2017, p.166)</w:t>
      </w:r>
      <w:bookmarkEnd w:id="8"/>
    </w:p>
  </w:footnote>
  <w:footnote w:id="15">
    <w:p w14:paraId="5E7E5931" w14:textId="291FBEF2" w:rsidR="007F30AF" w:rsidRDefault="007F30AF">
      <w:pPr>
        <w:pStyle w:val="FootnoteText"/>
      </w:pPr>
      <w:r>
        <w:rPr>
          <w:rStyle w:val="FootnoteReference"/>
        </w:rPr>
        <w:footnoteRef/>
      </w:r>
      <w:r>
        <w:t xml:space="preserve"> </w:t>
      </w:r>
      <w:r w:rsidR="002C4392" w:rsidRPr="002C4392">
        <w:t>(Keegan, 1992, p.23)</w:t>
      </w:r>
    </w:p>
  </w:footnote>
  <w:footnote w:id="16">
    <w:p w14:paraId="69E85A44" w14:textId="385FA442" w:rsidR="00A60AA2" w:rsidRDefault="00A60AA2">
      <w:pPr>
        <w:pStyle w:val="FootnoteText"/>
      </w:pPr>
      <w:r>
        <w:rPr>
          <w:rStyle w:val="FootnoteReference"/>
        </w:rPr>
        <w:footnoteRef/>
      </w:r>
      <w:r>
        <w:t xml:space="preserve"> </w:t>
      </w:r>
      <w:bookmarkStart w:id="9" w:name="_Hlk528686159"/>
      <w:r>
        <w:t xml:space="preserve">(Mclaughlin, 2014, p.75) </w:t>
      </w:r>
      <w:bookmarkEnd w:id="9"/>
    </w:p>
  </w:footnote>
  <w:footnote w:id="17">
    <w:p w14:paraId="4F1FA0A0" w14:textId="2F95E4E0" w:rsidR="00A60AA2" w:rsidRDefault="00A60AA2">
      <w:pPr>
        <w:pStyle w:val="FootnoteText"/>
      </w:pPr>
      <w:r>
        <w:rPr>
          <w:rStyle w:val="FootnoteReference"/>
        </w:rPr>
        <w:footnoteRef/>
      </w:r>
      <w:r>
        <w:t xml:space="preserve"> </w:t>
      </w:r>
      <w:bookmarkStart w:id="10" w:name="_Hlk528686290"/>
      <w:r w:rsidRPr="00A60AA2">
        <w:t>(Mclaughlin, 2014, p.7</w:t>
      </w:r>
      <w:r>
        <w:t>6</w:t>
      </w:r>
      <w:r w:rsidRPr="00A60AA2">
        <w:t>)</w:t>
      </w:r>
      <w:r>
        <w:t xml:space="preserve"> </w:t>
      </w:r>
      <w:bookmarkEnd w:id="10"/>
    </w:p>
  </w:footnote>
  <w:footnote w:id="18">
    <w:p w14:paraId="2E67895A" w14:textId="1233974D" w:rsidR="00A60AA2" w:rsidRDefault="00A60AA2">
      <w:pPr>
        <w:pStyle w:val="FootnoteText"/>
      </w:pPr>
      <w:r>
        <w:rPr>
          <w:rStyle w:val="FootnoteReference"/>
        </w:rPr>
        <w:footnoteRef/>
      </w:r>
      <w:r>
        <w:t xml:space="preserve"> </w:t>
      </w:r>
      <w:r w:rsidR="00066572" w:rsidRPr="00066572">
        <w:t>(Mclaughlin, 2014, p.76)</w:t>
      </w:r>
    </w:p>
  </w:footnote>
  <w:footnote w:id="19">
    <w:p w14:paraId="19E7B80F" w14:textId="4EC7F355" w:rsidR="00066572" w:rsidRDefault="00066572">
      <w:pPr>
        <w:pStyle w:val="FootnoteText"/>
      </w:pPr>
      <w:r>
        <w:rPr>
          <w:rStyle w:val="FootnoteReference"/>
        </w:rPr>
        <w:footnoteRef/>
      </w:r>
      <w:r>
        <w:t xml:space="preserve"> </w:t>
      </w:r>
      <w:bookmarkStart w:id="11" w:name="_Hlk528686980"/>
      <w:r w:rsidRPr="00066572">
        <w:t>(Mclaughlin, 2014, p.76)</w:t>
      </w:r>
    </w:p>
    <w:bookmarkEnd w:id="11"/>
  </w:footnote>
  <w:footnote w:id="20">
    <w:p w14:paraId="077E3D9D" w14:textId="2D1BAF4F" w:rsidR="00066572" w:rsidRDefault="00066572" w:rsidP="00066572">
      <w:pPr>
        <w:pStyle w:val="FootnoteText"/>
      </w:pPr>
      <w:r>
        <w:rPr>
          <w:rStyle w:val="FootnoteReference"/>
        </w:rPr>
        <w:footnoteRef/>
      </w:r>
      <w:r>
        <w:t xml:space="preserve"> </w:t>
      </w:r>
      <w:bookmarkStart w:id="12" w:name="_Hlk528686860"/>
      <w:r>
        <w:t>(</w:t>
      </w:r>
      <w:proofErr w:type="spellStart"/>
      <w:r>
        <w:t>Arthasastra</w:t>
      </w:r>
      <w:proofErr w:type="spellEnd"/>
      <w:r>
        <w:t>. 2.22)</w:t>
      </w:r>
    </w:p>
    <w:bookmarkEnd w:id="12"/>
  </w:footnote>
  <w:footnote w:id="21">
    <w:p w14:paraId="08DE1A2C" w14:textId="4B6CEDCB" w:rsidR="00066572" w:rsidRDefault="00066572">
      <w:pPr>
        <w:pStyle w:val="FootnoteText"/>
      </w:pPr>
      <w:r>
        <w:rPr>
          <w:rStyle w:val="FootnoteReference"/>
        </w:rPr>
        <w:footnoteRef/>
      </w:r>
      <w:r>
        <w:t xml:space="preserve"> </w:t>
      </w:r>
      <w:bookmarkStart w:id="13" w:name="_Hlk528686954"/>
      <w:r w:rsidRPr="00066572">
        <w:t>(</w:t>
      </w:r>
      <w:proofErr w:type="spellStart"/>
      <w:r w:rsidRPr="00066572">
        <w:t>Arthasastra</w:t>
      </w:r>
      <w:proofErr w:type="spellEnd"/>
      <w:r w:rsidRPr="00066572">
        <w:t>. 2.22)</w:t>
      </w:r>
      <w:r>
        <w:t xml:space="preserve"> </w:t>
      </w:r>
      <w:bookmarkEnd w:id="13"/>
    </w:p>
  </w:footnote>
  <w:footnote w:id="22">
    <w:p w14:paraId="3A942FA2" w14:textId="3878BC71" w:rsidR="006A262C" w:rsidRDefault="006A262C">
      <w:pPr>
        <w:pStyle w:val="FootnoteText"/>
      </w:pPr>
      <w:r>
        <w:rPr>
          <w:rStyle w:val="FootnoteReference"/>
        </w:rPr>
        <w:footnoteRef/>
      </w:r>
      <w:r>
        <w:t xml:space="preserve"> </w:t>
      </w:r>
      <w:r w:rsidRPr="006A262C">
        <w:t>(</w:t>
      </w:r>
      <w:proofErr w:type="spellStart"/>
      <w:r w:rsidRPr="006A262C">
        <w:t>Arthasastra</w:t>
      </w:r>
      <w:proofErr w:type="spellEnd"/>
      <w:r w:rsidRPr="006A262C">
        <w:t>. 2.22)</w:t>
      </w:r>
    </w:p>
  </w:footnote>
  <w:footnote w:id="23">
    <w:p w14:paraId="1B544284" w14:textId="373A55CB" w:rsidR="006A262C" w:rsidRDefault="006A262C">
      <w:pPr>
        <w:pStyle w:val="FootnoteText"/>
      </w:pPr>
      <w:r>
        <w:rPr>
          <w:rStyle w:val="FootnoteReference"/>
        </w:rPr>
        <w:footnoteRef/>
      </w:r>
      <w:r>
        <w:t xml:space="preserve"> </w:t>
      </w:r>
      <w:bookmarkStart w:id="14" w:name="_Hlk529303929"/>
      <w:r w:rsidRPr="006A262C">
        <w:t>(Mclaughlin, 2014, p.76)</w:t>
      </w:r>
      <w:bookmarkEnd w:id="14"/>
    </w:p>
  </w:footnote>
  <w:footnote w:id="24">
    <w:p w14:paraId="23E6ED72" w14:textId="3439ACB3" w:rsidR="0069673B" w:rsidRDefault="0069673B">
      <w:pPr>
        <w:pStyle w:val="FootnoteText"/>
      </w:pPr>
      <w:r>
        <w:rPr>
          <w:rStyle w:val="FootnoteReference"/>
        </w:rPr>
        <w:footnoteRef/>
      </w:r>
      <w:r>
        <w:t xml:space="preserve"> (</w:t>
      </w:r>
      <w:r w:rsidR="004F4880">
        <w:t>Hanson</w:t>
      </w:r>
      <w:r>
        <w:t xml:space="preserve">, 1926, p.45) </w:t>
      </w:r>
    </w:p>
  </w:footnote>
  <w:footnote w:id="25">
    <w:p w14:paraId="398F5D86" w14:textId="7907D6E0" w:rsidR="00D21073" w:rsidRDefault="00D21073">
      <w:pPr>
        <w:pStyle w:val="FootnoteText"/>
      </w:pPr>
      <w:r>
        <w:rPr>
          <w:rStyle w:val="FootnoteReference"/>
        </w:rPr>
        <w:footnoteRef/>
      </w:r>
      <w:r>
        <w:t xml:space="preserve"> </w:t>
      </w:r>
      <w:r w:rsidRPr="00D21073">
        <w:t>(Grainger, 2017, p.5)</w:t>
      </w:r>
    </w:p>
  </w:footnote>
  <w:footnote w:id="26">
    <w:p w14:paraId="6D885D6D" w14:textId="73097A91" w:rsidR="00D52EAB" w:rsidRDefault="00D52EAB">
      <w:pPr>
        <w:pStyle w:val="FootnoteText"/>
      </w:pPr>
      <w:r>
        <w:rPr>
          <w:rStyle w:val="FootnoteReference"/>
        </w:rPr>
        <w:footnoteRef/>
      </w:r>
      <w:r>
        <w:t xml:space="preserve"> </w:t>
      </w:r>
      <w:r w:rsidR="00885C00">
        <w:t xml:space="preserve">(Quirke, 2014, p. 45) </w:t>
      </w:r>
    </w:p>
  </w:footnote>
  <w:footnote w:id="27">
    <w:p w14:paraId="71FFB2B1" w14:textId="453944D5" w:rsidR="00885C00" w:rsidRDefault="00885C00">
      <w:pPr>
        <w:pStyle w:val="FootnoteText"/>
      </w:pPr>
      <w:r>
        <w:rPr>
          <w:rStyle w:val="FootnoteReference"/>
        </w:rPr>
        <w:footnoteRef/>
      </w:r>
      <w:r>
        <w:t xml:space="preserve"> </w:t>
      </w:r>
      <w:bookmarkStart w:id="15" w:name="_Hlk529801749"/>
      <w:r w:rsidRPr="00885C00">
        <w:t>(Grainger, 2017, p.</w:t>
      </w:r>
      <w:r>
        <w:t>17)</w:t>
      </w:r>
      <w:bookmarkEnd w:id="15"/>
    </w:p>
  </w:footnote>
  <w:footnote w:id="28">
    <w:p w14:paraId="7AD880FF" w14:textId="6ABB14A8" w:rsidR="00885C00" w:rsidRDefault="00885C00">
      <w:pPr>
        <w:pStyle w:val="FootnoteText"/>
      </w:pPr>
      <w:r>
        <w:rPr>
          <w:rStyle w:val="FootnoteReference"/>
        </w:rPr>
        <w:footnoteRef/>
      </w:r>
      <w:r>
        <w:t xml:space="preserve"> </w:t>
      </w:r>
      <w:bookmarkStart w:id="16" w:name="_Hlk529262890"/>
      <w:r w:rsidRPr="00885C00">
        <w:t>(Quirke, 2014, p. 45)</w:t>
      </w:r>
      <w:bookmarkEnd w:id="16"/>
    </w:p>
  </w:footnote>
  <w:footnote w:id="29">
    <w:p w14:paraId="41C69C5C" w14:textId="79B1C582" w:rsidR="00885C00" w:rsidRDefault="00885C00">
      <w:pPr>
        <w:pStyle w:val="FootnoteText"/>
      </w:pPr>
      <w:r>
        <w:rPr>
          <w:rStyle w:val="FootnoteReference"/>
        </w:rPr>
        <w:footnoteRef/>
      </w:r>
      <w:r>
        <w:t xml:space="preserve"> </w:t>
      </w:r>
      <w:r w:rsidRPr="00885C00">
        <w:t>(</w:t>
      </w:r>
      <w:proofErr w:type="spellStart"/>
      <w:r w:rsidRPr="00885C00">
        <w:t>Hormung</w:t>
      </w:r>
      <w:proofErr w:type="spellEnd"/>
      <w:r w:rsidR="00CD4AA0">
        <w:t xml:space="preserve"> and Baines</w:t>
      </w:r>
      <w:r w:rsidRPr="00885C00">
        <w:t>, 1996, p. 23)</w:t>
      </w:r>
      <w:r>
        <w:t xml:space="preserve">  </w:t>
      </w:r>
    </w:p>
  </w:footnote>
  <w:footnote w:id="30">
    <w:p w14:paraId="7AC4FA83" w14:textId="470920A5" w:rsidR="00885C00" w:rsidRDefault="00885C00">
      <w:pPr>
        <w:pStyle w:val="FootnoteText"/>
      </w:pPr>
      <w:r>
        <w:rPr>
          <w:rStyle w:val="FootnoteReference"/>
        </w:rPr>
        <w:footnoteRef/>
      </w:r>
      <w:r>
        <w:t xml:space="preserve"> </w:t>
      </w:r>
      <w:r w:rsidRPr="00885C00">
        <w:t>(</w:t>
      </w:r>
      <w:proofErr w:type="spellStart"/>
      <w:r w:rsidRPr="00885C00">
        <w:t>Hormung</w:t>
      </w:r>
      <w:proofErr w:type="spellEnd"/>
      <w:r w:rsidR="00CD4AA0">
        <w:t xml:space="preserve"> and Baines</w:t>
      </w:r>
      <w:r w:rsidRPr="00885C00">
        <w:t>, 1996, p. 23)</w:t>
      </w:r>
    </w:p>
  </w:footnote>
  <w:footnote w:id="31">
    <w:p w14:paraId="698EBDC1" w14:textId="1DBBB316" w:rsidR="00885C00" w:rsidRDefault="00885C00">
      <w:pPr>
        <w:pStyle w:val="FootnoteText"/>
      </w:pPr>
      <w:r>
        <w:rPr>
          <w:rStyle w:val="FootnoteReference"/>
        </w:rPr>
        <w:footnoteRef/>
      </w:r>
      <w:r>
        <w:t xml:space="preserve"> </w:t>
      </w:r>
      <w:r w:rsidRPr="00885C00">
        <w:t>(</w:t>
      </w:r>
      <w:proofErr w:type="spellStart"/>
      <w:r w:rsidRPr="00885C00">
        <w:t>Hormung</w:t>
      </w:r>
      <w:proofErr w:type="spellEnd"/>
      <w:r w:rsidR="00CD4AA0">
        <w:t xml:space="preserve"> and Baines</w:t>
      </w:r>
      <w:r w:rsidRPr="00885C00">
        <w:t>, 1996, p. 2</w:t>
      </w:r>
      <w:r>
        <w:t>4</w:t>
      </w:r>
      <w:r w:rsidRPr="00885C00">
        <w:t>)</w:t>
      </w:r>
    </w:p>
  </w:footnote>
  <w:footnote w:id="32">
    <w:p w14:paraId="2EBC66CE" w14:textId="0FDE2621" w:rsidR="00885C00" w:rsidRDefault="00885C00">
      <w:pPr>
        <w:pStyle w:val="FootnoteText"/>
      </w:pPr>
      <w:r>
        <w:rPr>
          <w:rStyle w:val="FootnoteReference"/>
        </w:rPr>
        <w:footnoteRef/>
      </w:r>
      <w:r>
        <w:t xml:space="preserve"> </w:t>
      </w:r>
      <w:bookmarkStart w:id="17" w:name="_Hlk529201043"/>
      <w:r w:rsidRPr="00885C00">
        <w:t>(Quirke, 2014, p. 45)</w:t>
      </w:r>
      <w:r>
        <w:t xml:space="preserve"> </w:t>
      </w:r>
      <w:bookmarkEnd w:id="17"/>
    </w:p>
  </w:footnote>
  <w:footnote w:id="33">
    <w:p w14:paraId="62DB12BE" w14:textId="6984C5A4" w:rsidR="00885C00" w:rsidRDefault="00885C00">
      <w:pPr>
        <w:pStyle w:val="FootnoteText"/>
      </w:pPr>
      <w:r>
        <w:rPr>
          <w:rStyle w:val="FootnoteReference"/>
        </w:rPr>
        <w:footnoteRef/>
      </w:r>
      <w:r>
        <w:t xml:space="preserve"> </w:t>
      </w:r>
      <w:r w:rsidRPr="00885C00">
        <w:t>(Quirke, 2014, p. 45)</w:t>
      </w:r>
      <w:r>
        <w:t xml:space="preserve"> </w:t>
      </w:r>
    </w:p>
  </w:footnote>
  <w:footnote w:id="34">
    <w:p w14:paraId="747C5E9E" w14:textId="6713FCAC" w:rsidR="000D3603" w:rsidRDefault="000D3603">
      <w:pPr>
        <w:pStyle w:val="FootnoteText"/>
      </w:pPr>
      <w:r>
        <w:rPr>
          <w:rStyle w:val="FootnoteReference"/>
        </w:rPr>
        <w:footnoteRef/>
      </w:r>
      <w:r>
        <w:t xml:space="preserve"> (</w:t>
      </w:r>
      <w:proofErr w:type="spellStart"/>
      <w:r>
        <w:t>Harrill</w:t>
      </w:r>
      <w:proofErr w:type="spellEnd"/>
      <w:r>
        <w:t xml:space="preserve">, 1999, p. 100.) </w:t>
      </w:r>
    </w:p>
  </w:footnote>
  <w:footnote w:id="35">
    <w:p w14:paraId="004677FD" w14:textId="6B7B0ABE" w:rsidR="000D3603" w:rsidRDefault="000D3603">
      <w:pPr>
        <w:pStyle w:val="FootnoteText"/>
      </w:pPr>
      <w:r>
        <w:rPr>
          <w:rStyle w:val="FootnoteReference"/>
        </w:rPr>
        <w:footnoteRef/>
      </w:r>
      <w:r>
        <w:t xml:space="preserve"> (Rusch, 2011, p.72.)</w:t>
      </w:r>
    </w:p>
  </w:footnote>
  <w:footnote w:id="36">
    <w:p w14:paraId="59BFCC77" w14:textId="630748B1" w:rsidR="009F2D64" w:rsidRDefault="009F2D64">
      <w:pPr>
        <w:pStyle w:val="FootnoteText"/>
      </w:pPr>
      <w:r>
        <w:rPr>
          <w:rStyle w:val="FootnoteReference"/>
        </w:rPr>
        <w:footnoteRef/>
      </w:r>
      <w:r>
        <w:t xml:space="preserve"> </w:t>
      </w:r>
      <w:r w:rsidR="00E8496E" w:rsidRPr="00E8496E">
        <w:t>(Mclaughlin, 2014, p.7</w:t>
      </w:r>
      <w:r w:rsidR="00E8496E">
        <w:t>7</w:t>
      </w:r>
      <w:r w:rsidR="00E8496E" w:rsidRPr="00E8496E">
        <w:t>)</w:t>
      </w:r>
    </w:p>
  </w:footnote>
  <w:footnote w:id="37">
    <w:p w14:paraId="4EAB2B31" w14:textId="37C4DB10" w:rsidR="003D6E8E" w:rsidRDefault="003D6E8E">
      <w:pPr>
        <w:pStyle w:val="FootnoteText"/>
      </w:pPr>
      <w:r>
        <w:rPr>
          <w:rStyle w:val="FootnoteReference"/>
        </w:rPr>
        <w:footnoteRef/>
      </w:r>
      <w:r>
        <w:t xml:space="preserve"> </w:t>
      </w:r>
      <w:r w:rsidR="00E8496E" w:rsidRPr="00E8496E">
        <w:t>(Grainger, 2017, p.5)</w:t>
      </w:r>
    </w:p>
  </w:footnote>
  <w:footnote w:id="38">
    <w:p w14:paraId="785C7A31" w14:textId="35666B71" w:rsidR="003D6E8E" w:rsidRDefault="003D6E8E">
      <w:pPr>
        <w:pStyle w:val="FootnoteText"/>
      </w:pPr>
      <w:r>
        <w:rPr>
          <w:rStyle w:val="FootnoteReference"/>
        </w:rPr>
        <w:footnoteRef/>
      </w:r>
      <w:r>
        <w:t xml:space="preserve"> </w:t>
      </w:r>
      <w:bookmarkStart w:id="18" w:name="_Hlk529542332"/>
      <w:r w:rsidR="00E8496E" w:rsidRPr="00E8496E">
        <w:t>(Keegan, 1992, p.</w:t>
      </w:r>
      <w:r w:rsidR="00E8496E">
        <w:t>32</w:t>
      </w:r>
      <w:r w:rsidR="00E8496E" w:rsidRPr="00E8496E">
        <w:t>)</w:t>
      </w:r>
    </w:p>
    <w:bookmarkEnd w:id="18"/>
  </w:footnote>
  <w:footnote w:id="39">
    <w:p w14:paraId="6A38DE4B" w14:textId="7AC1F9EB" w:rsidR="003D6E8E" w:rsidRDefault="003D6E8E">
      <w:pPr>
        <w:pStyle w:val="FootnoteText"/>
      </w:pPr>
      <w:r>
        <w:rPr>
          <w:rStyle w:val="FootnoteReference"/>
        </w:rPr>
        <w:footnoteRef/>
      </w:r>
      <w:r>
        <w:t xml:space="preserve"> </w:t>
      </w:r>
      <w:r w:rsidR="00E8496E" w:rsidRPr="0040259A">
        <w:t>(Keegan, 1992, p.</w:t>
      </w:r>
      <w:r w:rsidR="00E8496E">
        <w:t>32</w:t>
      </w:r>
      <w:r w:rsidR="00E8496E" w:rsidRPr="0040259A">
        <w:t>)</w:t>
      </w:r>
    </w:p>
  </w:footnote>
  <w:footnote w:id="40">
    <w:p w14:paraId="5F13211A" w14:textId="0BADA481" w:rsidR="003D6E8E" w:rsidRDefault="003D6E8E">
      <w:pPr>
        <w:pStyle w:val="FootnoteText"/>
      </w:pPr>
      <w:r>
        <w:rPr>
          <w:rStyle w:val="FootnoteReference"/>
        </w:rPr>
        <w:footnoteRef/>
      </w:r>
      <w:r>
        <w:t xml:space="preserve"> </w:t>
      </w:r>
      <w:r w:rsidR="00E8496E" w:rsidRPr="006A262C">
        <w:t>(Mclaughlin, 2014, p.7</w:t>
      </w:r>
      <w:r w:rsidR="00E8496E">
        <w:t>1</w:t>
      </w:r>
      <w:r w:rsidR="00E8496E" w:rsidRPr="006A262C">
        <w:t>)</w:t>
      </w:r>
    </w:p>
  </w:footnote>
  <w:footnote w:id="41">
    <w:p w14:paraId="438E4E5F" w14:textId="53C1F8B0" w:rsidR="000D3603" w:rsidRDefault="000D3603">
      <w:pPr>
        <w:pStyle w:val="FootnoteText"/>
      </w:pPr>
      <w:r>
        <w:rPr>
          <w:rStyle w:val="FootnoteReference"/>
        </w:rPr>
        <w:footnoteRef/>
      </w:r>
      <w:r>
        <w:t xml:space="preserve"> </w:t>
      </w:r>
      <w:bookmarkStart w:id="19" w:name="_Hlk529542601"/>
      <w:r w:rsidRPr="00E8496E">
        <w:t>(Keegan, 1992, p.</w:t>
      </w:r>
      <w:r>
        <w:t>32</w:t>
      </w:r>
      <w:r w:rsidRPr="00E8496E">
        <w:t>)</w:t>
      </w:r>
      <w:bookmarkEnd w:id="19"/>
    </w:p>
  </w:footnote>
  <w:footnote w:id="42">
    <w:p w14:paraId="4F2D489F" w14:textId="6031060D" w:rsidR="000D3603" w:rsidRDefault="000D3603">
      <w:pPr>
        <w:pStyle w:val="FootnoteText"/>
      </w:pPr>
      <w:r>
        <w:rPr>
          <w:rStyle w:val="FootnoteReference"/>
        </w:rPr>
        <w:footnoteRef/>
      </w:r>
      <w:r>
        <w:t xml:space="preserve"> </w:t>
      </w:r>
      <w:r w:rsidRPr="00E8496E">
        <w:t>(Keegan, 1992, p.</w:t>
      </w:r>
      <w:r>
        <w:t>32</w:t>
      </w:r>
      <w:r w:rsidRPr="00E8496E">
        <w:t>)</w:t>
      </w:r>
    </w:p>
  </w:footnote>
  <w:footnote w:id="43">
    <w:p w14:paraId="1DD879A3" w14:textId="1B524199" w:rsidR="00EF53A9" w:rsidRDefault="00EF53A9">
      <w:pPr>
        <w:pStyle w:val="FootnoteText"/>
      </w:pPr>
      <w:r>
        <w:rPr>
          <w:rStyle w:val="FootnoteReference"/>
        </w:rPr>
        <w:footnoteRef/>
      </w:r>
      <w:r>
        <w:t xml:space="preserve"> </w:t>
      </w:r>
      <w:bookmarkStart w:id="20" w:name="_Hlk529548052"/>
      <w:r>
        <w:t xml:space="preserve">(Rusch, 2011, p.52.) </w:t>
      </w:r>
      <w:bookmarkEnd w:id="20"/>
    </w:p>
  </w:footnote>
  <w:footnote w:id="44">
    <w:p w14:paraId="763A65A6" w14:textId="4D01FC18" w:rsidR="0010685B" w:rsidRDefault="0010685B">
      <w:pPr>
        <w:pStyle w:val="FootnoteText"/>
      </w:pPr>
      <w:r>
        <w:rPr>
          <w:rStyle w:val="FootnoteReference"/>
        </w:rPr>
        <w:footnoteRef/>
      </w:r>
      <w:r>
        <w:t xml:space="preserve"> (Rusch, 2011, p.52.)</w:t>
      </w:r>
    </w:p>
  </w:footnote>
  <w:footnote w:id="45">
    <w:p w14:paraId="27D1A194" w14:textId="72A3CE9C" w:rsidR="0010685B" w:rsidRDefault="0010685B">
      <w:pPr>
        <w:pStyle w:val="FootnoteText"/>
      </w:pPr>
      <w:r>
        <w:rPr>
          <w:rStyle w:val="FootnoteReference"/>
        </w:rPr>
        <w:footnoteRef/>
      </w:r>
      <w:r>
        <w:t xml:space="preserve"> </w:t>
      </w:r>
      <w:bookmarkStart w:id="21" w:name="_Hlk529547969"/>
      <w:r>
        <w:t xml:space="preserve">(Boot, 2014, p.45.)   </w:t>
      </w:r>
      <w:bookmarkEnd w:id="21"/>
    </w:p>
  </w:footnote>
  <w:footnote w:id="46">
    <w:p w14:paraId="4BAE40AB" w14:textId="5954B518" w:rsidR="0010685B" w:rsidRDefault="0010685B">
      <w:pPr>
        <w:pStyle w:val="FootnoteText"/>
      </w:pPr>
      <w:r>
        <w:rPr>
          <w:rStyle w:val="FootnoteReference"/>
        </w:rPr>
        <w:footnoteRef/>
      </w:r>
      <w:r>
        <w:t xml:space="preserve"> </w:t>
      </w:r>
      <w:bookmarkStart w:id="22" w:name="_Hlk529547828"/>
      <w:r>
        <w:t xml:space="preserve">(Waterfeild, 2012, p.70) </w:t>
      </w:r>
      <w:bookmarkEnd w:id="22"/>
    </w:p>
  </w:footnote>
  <w:footnote w:id="47">
    <w:p w14:paraId="268D8F49" w14:textId="61B8545A" w:rsidR="0010685B" w:rsidRDefault="0010685B">
      <w:pPr>
        <w:pStyle w:val="FootnoteText"/>
      </w:pPr>
      <w:r>
        <w:rPr>
          <w:rStyle w:val="FootnoteReference"/>
        </w:rPr>
        <w:footnoteRef/>
      </w:r>
      <w:r>
        <w:t xml:space="preserve"> </w:t>
      </w:r>
      <w:r w:rsidRPr="0010685B">
        <w:t>(Boot, 2014, p.4</w:t>
      </w:r>
      <w:r>
        <w:t>7</w:t>
      </w:r>
      <w:r w:rsidRPr="0010685B">
        <w:t xml:space="preserve">.)   </w:t>
      </w:r>
    </w:p>
  </w:footnote>
  <w:footnote w:id="48">
    <w:p w14:paraId="1D282244" w14:textId="6E4D2560" w:rsidR="0010685B" w:rsidRDefault="0010685B">
      <w:pPr>
        <w:pStyle w:val="FootnoteText"/>
      </w:pPr>
      <w:r>
        <w:rPr>
          <w:rStyle w:val="FootnoteReference"/>
        </w:rPr>
        <w:footnoteRef/>
      </w:r>
      <w:r>
        <w:t xml:space="preserve"> </w:t>
      </w:r>
      <w:bookmarkStart w:id="23" w:name="_Hlk529801539"/>
      <w:r w:rsidRPr="0010685B">
        <w:t>(Waterfeild, 2012, p.70)</w:t>
      </w:r>
      <w:bookmarkEnd w:id="23"/>
      <w:r>
        <w:t xml:space="preserve">   </w:t>
      </w:r>
    </w:p>
  </w:footnote>
  <w:footnote w:id="49">
    <w:p w14:paraId="5D42113E" w14:textId="6838C937" w:rsidR="0010685B" w:rsidRDefault="0010685B">
      <w:pPr>
        <w:pStyle w:val="FootnoteText"/>
      </w:pPr>
      <w:r>
        <w:rPr>
          <w:rStyle w:val="FootnoteReference"/>
        </w:rPr>
        <w:footnoteRef/>
      </w:r>
      <w:r>
        <w:t xml:space="preserve"> </w:t>
      </w:r>
      <w:r w:rsidR="009E6B3B" w:rsidRPr="009E6B3B">
        <w:t>(Rusch, 2011, p.52.)</w:t>
      </w:r>
      <w:r w:rsidR="009E6B3B">
        <w:t xml:space="preserve">  </w:t>
      </w:r>
    </w:p>
  </w:footnote>
  <w:footnote w:id="50">
    <w:p w14:paraId="41D7D827" w14:textId="6E74CB81" w:rsidR="00403D0C" w:rsidRDefault="00403D0C">
      <w:pPr>
        <w:pStyle w:val="FootnoteText"/>
      </w:pPr>
      <w:r>
        <w:rPr>
          <w:rStyle w:val="FootnoteReference"/>
        </w:rPr>
        <w:footnoteRef/>
      </w:r>
      <w:r>
        <w:t xml:space="preserve"> </w:t>
      </w:r>
      <w:r w:rsidRPr="00403D0C">
        <w:t>(Waterfeild, 2012, p.7</w:t>
      </w:r>
      <w:r>
        <w:t>1</w:t>
      </w:r>
      <w:r w:rsidRPr="00403D0C">
        <w:t>)</w:t>
      </w:r>
    </w:p>
  </w:footnote>
  <w:footnote w:id="51">
    <w:p w14:paraId="68A2AEE3" w14:textId="2080FFF2" w:rsidR="00357BB1" w:rsidRDefault="00357BB1">
      <w:pPr>
        <w:pStyle w:val="FootnoteText"/>
      </w:pPr>
      <w:r>
        <w:rPr>
          <w:rStyle w:val="FootnoteReference"/>
        </w:rPr>
        <w:footnoteRef/>
      </w:r>
      <w:r>
        <w:t xml:space="preserve"> (Keay, 2010, p. 45.) </w:t>
      </w:r>
    </w:p>
  </w:footnote>
  <w:footnote w:id="52">
    <w:p w14:paraId="42C483E1" w14:textId="632E5944" w:rsidR="00357BB1" w:rsidRDefault="00357BB1">
      <w:pPr>
        <w:pStyle w:val="FootnoteText"/>
      </w:pPr>
      <w:r>
        <w:rPr>
          <w:rStyle w:val="FootnoteReference"/>
        </w:rPr>
        <w:footnoteRef/>
      </w:r>
      <w:r>
        <w:t xml:space="preserve"> </w:t>
      </w:r>
      <w:r>
        <w:t>(Waterfeild, 2012, p.70)</w:t>
      </w:r>
    </w:p>
  </w:footnote>
  <w:footnote w:id="53">
    <w:p w14:paraId="46D84F61" w14:textId="7F3624E5" w:rsidR="00357BB1" w:rsidRDefault="00357BB1">
      <w:pPr>
        <w:pStyle w:val="FootnoteText"/>
      </w:pPr>
      <w:r>
        <w:rPr>
          <w:rStyle w:val="FootnoteReference"/>
        </w:rPr>
        <w:footnoteRef/>
      </w:r>
      <w:r>
        <w:t xml:space="preserve"> </w:t>
      </w:r>
      <w:r w:rsidRPr="00885C00">
        <w:t>(Grainger, 2017, p.</w:t>
      </w:r>
      <w:r>
        <w:t>17)</w:t>
      </w:r>
    </w:p>
  </w:footnote>
  <w:footnote w:id="54">
    <w:p w14:paraId="35381E95" w14:textId="6ECBA0FD" w:rsidR="00357BB1" w:rsidRDefault="00357BB1">
      <w:pPr>
        <w:pStyle w:val="FootnoteText"/>
      </w:pPr>
      <w:r>
        <w:rPr>
          <w:rStyle w:val="FootnoteReference"/>
        </w:rPr>
        <w:footnoteRef/>
      </w:r>
      <w:r>
        <w:t xml:space="preserve"> </w:t>
      </w:r>
      <w:r>
        <w:t>(Rusch, 2011, p.52.)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UysjS2NDAxMbOwtDRS0lEKTi0uzszPAykwMqwFAF89NzYtAAAA"/>
  </w:docVars>
  <w:rsids>
    <w:rsidRoot w:val="00EB74E5"/>
    <w:rsid w:val="000008F2"/>
    <w:rsid w:val="00015126"/>
    <w:rsid w:val="00016EF5"/>
    <w:rsid w:val="00066572"/>
    <w:rsid w:val="00087C6B"/>
    <w:rsid w:val="000D3603"/>
    <w:rsid w:val="0010685B"/>
    <w:rsid w:val="00126E33"/>
    <w:rsid w:val="00167460"/>
    <w:rsid w:val="00186966"/>
    <w:rsid w:val="001A4EA6"/>
    <w:rsid w:val="001C7F7F"/>
    <w:rsid w:val="001D3C3C"/>
    <w:rsid w:val="00216ACD"/>
    <w:rsid w:val="00217D6B"/>
    <w:rsid w:val="00231308"/>
    <w:rsid w:val="002371C2"/>
    <w:rsid w:val="002B332E"/>
    <w:rsid w:val="002B3784"/>
    <w:rsid w:val="002C4392"/>
    <w:rsid w:val="002D1076"/>
    <w:rsid w:val="002D37C8"/>
    <w:rsid w:val="00334631"/>
    <w:rsid w:val="00357BB1"/>
    <w:rsid w:val="00392837"/>
    <w:rsid w:val="00395B3F"/>
    <w:rsid w:val="003B12A1"/>
    <w:rsid w:val="003B6160"/>
    <w:rsid w:val="003C2840"/>
    <w:rsid w:val="003D6E8E"/>
    <w:rsid w:val="00401BFD"/>
    <w:rsid w:val="0040259A"/>
    <w:rsid w:val="00403D0C"/>
    <w:rsid w:val="00415829"/>
    <w:rsid w:val="00416FC7"/>
    <w:rsid w:val="00420215"/>
    <w:rsid w:val="00426AE9"/>
    <w:rsid w:val="004B016F"/>
    <w:rsid w:val="004F4880"/>
    <w:rsid w:val="004F52B6"/>
    <w:rsid w:val="005427D2"/>
    <w:rsid w:val="00580870"/>
    <w:rsid w:val="005B6BE0"/>
    <w:rsid w:val="006758EC"/>
    <w:rsid w:val="006912D0"/>
    <w:rsid w:val="0069673B"/>
    <w:rsid w:val="006A262C"/>
    <w:rsid w:val="006B1BC7"/>
    <w:rsid w:val="006C7569"/>
    <w:rsid w:val="006D01D4"/>
    <w:rsid w:val="006D4178"/>
    <w:rsid w:val="00706FC6"/>
    <w:rsid w:val="007375DD"/>
    <w:rsid w:val="00785A6B"/>
    <w:rsid w:val="007A0413"/>
    <w:rsid w:val="007C5CD6"/>
    <w:rsid w:val="007E6401"/>
    <w:rsid w:val="007E79AB"/>
    <w:rsid w:val="007F30AF"/>
    <w:rsid w:val="0084018F"/>
    <w:rsid w:val="00861562"/>
    <w:rsid w:val="00884499"/>
    <w:rsid w:val="00885C00"/>
    <w:rsid w:val="008B3A5D"/>
    <w:rsid w:val="008F296C"/>
    <w:rsid w:val="00920F6C"/>
    <w:rsid w:val="00966934"/>
    <w:rsid w:val="00966A99"/>
    <w:rsid w:val="009A5A23"/>
    <w:rsid w:val="009C7238"/>
    <w:rsid w:val="009E3346"/>
    <w:rsid w:val="009E6B3B"/>
    <w:rsid w:val="009F2D64"/>
    <w:rsid w:val="009F4FB4"/>
    <w:rsid w:val="00A33FA3"/>
    <w:rsid w:val="00A60AA2"/>
    <w:rsid w:val="00AD42E7"/>
    <w:rsid w:val="00B44CD0"/>
    <w:rsid w:val="00BA6D5C"/>
    <w:rsid w:val="00BC042B"/>
    <w:rsid w:val="00BC2F82"/>
    <w:rsid w:val="00C069C5"/>
    <w:rsid w:val="00C11F79"/>
    <w:rsid w:val="00C75448"/>
    <w:rsid w:val="00C945D6"/>
    <w:rsid w:val="00CD4AA0"/>
    <w:rsid w:val="00D21073"/>
    <w:rsid w:val="00D23792"/>
    <w:rsid w:val="00D50AD6"/>
    <w:rsid w:val="00D52EAB"/>
    <w:rsid w:val="00D55E59"/>
    <w:rsid w:val="00D63BD9"/>
    <w:rsid w:val="00DF07AC"/>
    <w:rsid w:val="00E273B6"/>
    <w:rsid w:val="00E36099"/>
    <w:rsid w:val="00E43A9D"/>
    <w:rsid w:val="00E8496E"/>
    <w:rsid w:val="00EA1210"/>
    <w:rsid w:val="00EB0F39"/>
    <w:rsid w:val="00EB74E5"/>
    <w:rsid w:val="00ED343B"/>
    <w:rsid w:val="00EF53A9"/>
    <w:rsid w:val="00F07A5A"/>
    <w:rsid w:val="00F30D8F"/>
    <w:rsid w:val="00F40635"/>
    <w:rsid w:val="00F935AC"/>
    <w:rsid w:val="00FA40FE"/>
    <w:rsid w:val="00FA4271"/>
    <w:rsid w:val="00FC4E08"/>
    <w:rsid w:val="00FD3E68"/>
    <w:rsid w:val="00FD5D9B"/>
    <w:rsid w:val="00FE41E9"/>
    <w:rsid w:val="00FE4C0D"/>
    <w:rsid w:val="00FF1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F585B"/>
  <w15:chartTrackingRefBased/>
  <w15:docId w15:val="{05F48372-AE43-4FBE-9561-33026C7C3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B6B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6BE0"/>
    <w:rPr>
      <w:sz w:val="20"/>
      <w:szCs w:val="20"/>
    </w:rPr>
  </w:style>
  <w:style w:type="character" w:styleId="FootnoteReference">
    <w:name w:val="footnote reference"/>
    <w:basedOn w:val="DefaultParagraphFont"/>
    <w:uiPriority w:val="99"/>
    <w:semiHidden/>
    <w:unhideWhenUsed/>
    <w:rsid w:val="005B6BE0"/>
    <w:rPr>
      <w:vertAlign w:val="superscript"/>
    </w:rPr>
  </w:style>
  <w:style w:type="character" w:styleId="CommentReference">
    <w:name w:val="annotation reference"/>
    <w:basedOn w:val="DefaultParagraphFont"/>
    <w:uiPriority w:val="99"/>
    <w:semiHidden/>
    <w:unhideWhenUsed/>
    <w:rsid w:val="00216ACD"/>
    <w:rPr>
      <w:sz w:val="16"/>
      <w:szCs w:val="16"/>
    </w:rPr>
  </w:style>
  <w:style w:type="paragraph" w:styleId="CommentText">
    <w:name w:val="annotation text"/>
    <w:basedOn w:val="Normal"/>
    <w:link w:val="CommentTextChar"/>
    <w:uiPriority w:val="99"/>
    <w:semiHidden/>
    <w:unhideWhenUsed/>
    <w:rsid w:val="00216ACD"/>
    <w:pPr>
      <w:spacing w:line="240" w:lineRule="auto"/>
    </w:pPr>
    <w:rPr>
      <w:sz w:val="20"/>
      <w:szCs w:val="20"/>
    </w:rPr>
  </w:style>
  <w:style w:type="character" w:customStyle="1" w:styleId="CommentTextChar">
    <w:name w:val="Comment Text Char"/>
    <w:basedOn w:val="DefaultParagraphFont"/>
    <w:link w:val="CommentText"/>
    <w:uiPriority w:val="99"/>
    <w:semiHidden/>
    <w:rsid w:val="00216ACD"/>
    <w:rPr>
      <w:sz w:val="20"/>
      <w:szCs w:val="20"/>
    </w:rPr>
  </w:style>
  <w:style w:type="paragraph" w:styleId="CommentSubject">
    <w:name w:val="annotation subject"/>
    <w:basedOn w:val="CommentText"/>
    <w:next w:val="CommentText"/>
    <w:link w:val="CommentSubjectChar"/>
    <w:uiPriority w:val="99"/>
    <w:semiHidden/>
    <w:unhideWhenUsed/>
    <w:rsid w:val="00216ACD"/>
    <w:rPr>
      <w:b/>
      <w:bCs/>
    </w:rPr>
  </w:style>
  <w:style w:type="character" w:customStyle="1" w:styleId="CommentSubjectChar">
    <w:name w:val="Comment Subject Char"/>
    <w:basedOn w:val="CommentTextChar"/>
    <w:link w:val="CommentSubject"/>
    <w:uiPriority w:val="99"/>
    <w:semiHidden/>
    <w:rsid w:val="00216ACD"/>
    <w:rPr>
      <w:b/>
      <w:bCs/>
      <w:sz w:val="20"/>
      <w:szCs w:val="20"/>
    </w:rPr>
  </w:style>
  <w:style w:type="paragraph" w:styleId="BalloonText">
    <w:name w:val="Balloon Text"/>
    <w:basedOn w:val="Normal"/>
    <w:link w:val="BalloonTextChar"/>
    <w:uiPriority w:val="99"/>
    <w:semiHidden/>
    <w:unhideWhenUsed/>
    <w:rsid w:val="00216A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6ACD"/>
    <w:rPr>
      <w:rFonts w:ascii="Segoe UI" w:hAnsi="Segoe UI" w:cs="Segoe UI"/>
      <w:sz w:val="18"/>
      <w:szCs w:val="18"/>
    </w:rPr>
  </w:style>
  <w:style w:type="character" w:styleId="Emphasis">
    <w:name w:val="Emphasis"/>
    <w:basedOn w:val="DefaultParagraphFont"/>
    <w:uiPriority w:val="20"/>
    <w:qFormat/>
    <w:rsid w:val="00CD4AA0"/>
    <w:rPr>
      <w:i/>
      <w:iCs/>
    </w:rPr>
  </w:style>
  <w:style w:type="character" w:styleId="Hyperlink">
    <w:name w:val="Hyperlink"/>
    <w:basedOn w:val="DefaultParagraphFont"/>
    <w:uiPriority w:val="99"/>
    <w:unhideWhenUsed/>
    <w:rsid w:val="007375DD"/>
    <w:rPr>
      <w:color w:val="0563C1" w:themeColor="hyperlink"/>
      <w:u w:val="single"/>
    </w:rPr>
  </w:style>
  <w:style w:type="character" w:styleId="UnresolvedMention">
    <w:name w:val="Unresolved Mention"/>
    <w:basedOn w:val="DefaultParagraphFont"/>
    <w:uiPriority w:val="99"/>
    <w:semiHidden/>
    <w:unhideWhenUsed/>
    <w:rsid w:val="007375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4668339">
      <w:bodyDiv w:val="1"/>
      <w:marLeft w:val="0"/>
      <w:marRight w:val="0"/>
      <w:marTop w:val="0"/>
      <w:marBottom w:val="0"/>
      <w:divBdr>
        <w:top w:val="none" w:sz="0" w:space="0" w:color="auto"/>
        <w:left w:val="none" w:sz="0" w:space="0" w:color="auto"/>
        <w:bottom w:val="none" w:sz="0" w:space="0" w:color="auto"/>
        <w:right w:val="none" w:sz="0" w:space="0" w:color="auto"/>
      </w:divBdr>
      <w:divsChild>
        <w:div w:id="984629284">
          <w:marLeft w:val="0"/>
          <w:marRight w:val="0"/>
          <w:marTop w:val="0"/>
          <w:marBottom w:val="0"/>
          <w:divBdr>
            <w:top w:val="none" w:sz="0" w:space="0" w:color="auto"/>
            <w:left w:val="none" w:sz="0" w:space="0" w:color="auto"/>
            <w:bottom w:val="none" w:sz="0" w:space="0" w:color="auto"/>
            <w:right w:val="none" w:sz="0" w:space="0" w:color="auto"/>
          </w:divBdr>
        </w:div>
      </w:divsChild>
    </w:div>
    <w:div w:id="1610237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C8F13-566C-43AF-87DA-2992F77C9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1846</Words>
  <Characters>10527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Gillson-Gant</dc:creator>
  <cp:keywords/>
  <dc:description/>
  <cp:lastModifiedBy>Henry Gillson-Gant</cp:lastModifiedBy>
  <cp:revision>2</cp:revision>
  <dcterms:created xsi:type="dcterms:W3CDTF">2018-11-12T17:17:00Z</dcterms:created>
  <dcterms:modified xsi:type="dcterms:W3CDTF">2018-11-12T17:17:00Z</dcterms:modified>
</cp:coreProperties>
</file>