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83DB" w14:textId="77777777" w:rsidR="00025E78" w:rsidRDefault="00000000">
      <w:pPr>
        <w:spacing w:after="0" w:line="259" w:lineRule="auto"/>
        <w:ind w:left="0" w:firstLine="0"/>
      </w:pPr>
      <w:r>
        <w:rPr>
          <w:rFonts w:ascii="Times New Roman" w:eastAsia="Times New Roman" w:hAnsi="Times New Roman" w:cs="Times New Roman"/>
        </w:rPr>
        <w:t xml:space="preserve"> </w:t>
      </w:r>
    </w:p>
    <w:p w14:paraId="35DD4B77" w14:textId="77777777" w:rsidR="00025E78" w:rsidRDefault="00000000">
      <w:pPr>
        <w:spacing w:after="9" w:line="259" w:lineRule="auto"/>
        <w:ind w:left="18" w:firstLine="0"/>
      </w:pPr>
      <w:r>
        <w:rPr>
          <w:noProof/>
        </w:rPr>
        <w:drawing>
          <wp:inline distT="0" distB="0" distL="0" distR="0" wp14:anchorId="1023492D" wp14:editId="34BB00B7">
            <wp:extent cx="1809750" cy="72390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7"/>
                    <a:stretch>
                      <a:fillRect/>
                    </a:stretch>
                  </pic:blipFill>
                  <pic:spPr>
                    <a:xfrm>
                      <a:off x="0" y="0"/>
                      <a:ext cx="1809750" cy="723900"/>
                    </a:xfrm>
                    <a:prstGeom prst="rect">
                      <a:avLst/>
                    </a:prstGeom>
                  </pic:spPr>
                </pic:pic>
              </a:graphicData>
            </a:graphic>
          </wp:inline>
        </w:drawing>
      </w:r>
    </w:p>
    <w:p w14:paraId="05A4E515" w14:textId="77777777" w:rsidR="00025E78" w:rsidRDefault="00000000">
      <w:pPr>
        <w:spacing w:after="266" w:line="259" w:lineRule="auto"/>
        <w:ind w:left="0" w:firstLine="0"/>
      </w:pPr>
      <w:r>
        <w:rPr>
          <w:rFonts w:ascii="Times New Roman" w:eastAsia="Times New Roman" w:hAnsi="Times New Roman" w:cs="Times New Roman"/>
        </w:rPr>
        <w:t xml:space="preserve"> </w:t>
      </w:r>
    </w:p>
    <w:p w14:paraId="21F509BB" w14:textId="77777777" w:rsidR="00025E78" w:rsidRDefault="00000000">
      <w:pPr>
        <w:spacing w:after="319" w:line="259" w:lineRule="auto"/>
        <w:ind w:left="0" w:firstLine="0"/>
      </w:pPr>
      <w:r>
        <w:rPr>
          <w:rFonts w:ascii="Times New Roman" w:eastAsia="Times New Roman" w:hAnsi="Times New Roman" w:cs="Times New Roman"/>
        </w:rPr>
        <w:t xml:space="preserve"> </w:t>
      </w:r>
    </w:p>
    <w:p w14:paraId="50832020" w14:textId="77777777" w:rsidR="00025E78" w:rsidRDefault="00000000">
      <w:pPr>
        <w:spacing w:after="297" w:line="259" w:lineRule="auto"/>
        <w:ind w:left="-5"/>
      </w:pPr>
      <w:r>
        <w:rPr>
          <w:b/>
          <w:sz w:val="28"/>
        </w:rPr>
        <w:t>Module name</w:t>
      </w:r>
      <w:r>
        <w:rPr>
          <w:sz w:val="28"/>
        </w:rPr>
        <w:t xml:space="preserve">:  </w:t>
      </w:r>
    </w:p>
    <w:p w14:paraId="5174599E" w14:textId="77777777" w:rsidR="00025E78" w:rsidRDefault="00000000">
      <w:pPr>
        <w:spacing w:after="297" w:line="259" w:lineRule="auto"/>
        <w:ind w:left="-5"/>
      </w:pPr>
      <w:r>
        <w:rPr>
          <w:b/>
          <w:sz w:val="28"/>
        </w:rPr>
        <w:t>Module code</w:t>
      </w:r>
      <w:r>
        <w:rPr>
          <w:sz w:val="28"/>
        </w:rPr>
        <w:t xml:space="preserve">: </w:t>
      </w:r>
    </w:p>
    <w:p w14:paraId="779EF51C" w14:textId="77777777" w:rsidR="00025E78" w:rsidRDefault="00000000">
      <w:pPr>
        <w:spacing w:after="297" w:line="259" w:lineRule="auto"/>
        <w:ind w:left="0" w:firstLine="0"/>
      </w:pPr>
      <w:r>
        <w:rPr>
          <w:b/>
          <w:sz w:val="28"/>
        </w:rPr>
        <w:t xml:space="preserve"> </w:t>
      </w:r>
    </w:p>
    <w:p w14:paraId="282E36E6" w14:textId="77777777" w:rsidR="00025E78" w:rsidRDefault="00000000">
      <w:pPr>
        <w:spacing w:after="297" w:line="259" w:lineRule="auto"/>
        <w:ind w:left="0" w:firstLine="0"/>
      </w:pPr>
      <w:r>
        <w:rPr>
          <w:b/>
          <w:sz w:val="28"/>
        </w:rPr>
        <w:t>Student name</w:t>
      </w:r>
      <w:r>
        <w:rPr>
          <w:sz w:val="28"/>
        </w:rPr>
        <w:t xml:space="preserve">: Jade Terrelonge </w:t>
      </w:r>
    </w:p>
    <w:p w14:paraId="0FFCD579" w14:textId="77777777" w:rsidR="00025E78" w:rsidRDefault="00000000">
      <w:pPr>
        <w:spacing w:after="297" w:line="259" w:lineRule="auto"/>
        <w:ind w:left="-5"/>
      </w:pPr>
      <w:r>
        <w:rPr>
          <w:b/>
          <w:sz w:val="28"/>
        </w:rPr>
        <w:t>Student ID</w:t>
      </w:r>
      <w:r>
        <w:rPr>
          <w:sz w:val="28"/>
        </w:rPr>
        <w:t xml:space="preserve">: </w:t>
      </w:r>
    </w:p>
    <w:p w14:paraId="7196341B" w14:textId="77777777" w:rsidR="00025E78" w:rsidRDefault="00000000">
      <w:pPr>
        <w:spacing w:after="297" w:line="259" w:lineRule="auto"/>
        <w:ind w:left="0" w:firstLine="0"/>
      </w:pPr>
      <w:r>
        <w:rPr>
          <w:sz w:val="28"/>
        </w:rPr>
        <w:t xml:space="preserve"> </w:t>
      </w:r>
    </w:p>
    <w:p w14:paraId="2A59F602" w14:textId="2EE897FE" w:rsidR="00025E78" w:rsidRDefault="00000000">
      <w:pPr>
        <w:spacing w:after="240" w:line="259" w:lineRule="auto"/>
        <w:ind w:left="-5"/>
      </w:pPr>
      <w:r>
        <w:rPr>
          <w:b/>
          <w:sz w:val="28"/>
        </w:rPr>
        <w:t>Word count</w:t>
      </w:r>
      <w:r>
        <w:rPr>
          <w:sz w:val="28"/>
        </w:rPr>
        <w:t xml:space="preserve">: </w:t>
      </w:r>
      <w:r w:rsidR="00215C34">
        <w:rPr>
          <w:sz w:val="28"/>
        </w:rPr>
        <w:t>32</w:t>
      </w:r>
      <w:r w:rsidR="000153F6">
        <w:rPr>
          <w:sz w:val="28"/>
        </w:rPr>
        <w:t>54</w:t>
      </w:r>
    </w:p>
    <w:p w14:paraId="583F6A7D" w14:textId="77777777" w:rsidR="00025E78" w:rsidRDefault="00000000">
      <w:pPr>
        <w:spacing w:after="261" w:line="259" w:lineRule="auto"/>
        <w:ind w:left="0" w:firstLine="0"/>
      </w:pPr>
      <w:r>
        <w:rPr>
          <w:rFonts w:ascii="Times New Roman" w:eastAsia="Times New Roman" w:hAnsi="Times New Roman" w:cs="Times New Roman"/>
        </w:rPr>
        <w:t xml:space="preserve"> </w:t>
      </w:r>
    </w:p>
    <w:p w14:paraId="13E52D5B" w14:textId="77777777" w:rsidR="00025E78" w:rsidRDefault="00000000">
      <w:pPr>
        <w:spacing w:after="261"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p>
    <w:p w14:paraId="3FD15D50" w14:textId="77777777" w:rsidR="00EB765F" w:rsidRDefault="00EB765F">
      <w:pPr>
        <w:spacing w:after="261" w:line="259" w:lineRule="auto"/>
        <w:ind w:left="0" w:firstLine="0"/>
        <w:rPr>
          <w:rFonts w:ascii="Times New Roman" w:eastAsia="Times New Roman" w:hAnsi="Times New Roman" w:cs="Times New Roman"/>
        </w:rPr>
      </w:pPr>
    </w:p>
    <w:p w14:paraId="32495AFF" w14:textId="77777777" w:rsidR="00EB765F" w:rsidRDefault="00EB765F">
      <w:pPr>
        <w:spacing w:after="261" w:line="259" w:lineRule="auto"/>
        <w:ind w:left="0" w:firstLine="0"/>
        <w:rPr>
          <w:rFonts w:ascii="Times New Roman" w:eastAsia="Times New Roman" w:hAnsi="Times New Roman" w:cs="Times New Roman"/>
        </w:rPr>
      </w:pPr>
    </w:p>
    <w:p w14:paraId="59EA75EE" w14:textId="77777777" w:rsidR="00EB765F" w:rsidRDefault="00EB765F">
      <w:pPr>
        <w:spacing w:after="261" w:line="259" w:lineRule="auto"/>
        <w:ind w:left="0" w:firstLine="0"/>
        <w:rPr>
          <w:rFonts w:ascii="Times New Roman" w:eastAsia="Times New Roman" w:hAnsi="Times New Roman" w:cs="Times New Roman"/>
        </w:rPr>
      </w:pPr>
    </w:p>
    <w:p w14:paraId="1936BF1E" w14:textId="77777777" w:rsidR="00EB765F" w:rsidRDefault="00EB765F">
      <w:pPr>
        <w:spacing w:after="261" w:line="259" w:lineRule="auto"/>
        <w:ind w:left="0" w:firstLine="0"/>
        <w:rPr>
          <w:rFonts w:ascii="Times New Roman" w:eastAsia="Times New Roman" w:hAnsi="Times New Roman" w:cs="Times New Roman"/>
        </w:rPr>
      </w:pPr>
    </w:p>
    <w:p w14:paraId="383AD93A" w14:textId="77777777" w:rsidR="00EB765F" w:rsidRDefault="00EB765F">
      <w:pPr>
        <w:spacing w:after="261" w:line="259" w:lineRule="auto"/>
        <w:ind w:left="0" w:firstLine="0"/>
        <w:rPr>
          <w:rFonts w:ascii="Times New Roman" w:eastAsia="Times New Roman" w:hAnsi="Times New Roman" w:cs="Times New Roman"/>
        </w:rPr>
      </w:pPr>
    </w:p>
    <w:p w14:paraId="20D1C2E2" w14:textId="77777777" w:rsidR="00EB765F" w:rsidRDefault="00EB765F">
      <w:pPr>
        <w:spacing w:after="261" w:line="259" w:lineRule="auto"/>
        <w:ind w:left="0" w:firstLine="0"/>
        <w:rPr>
          <w:rFonts w:ascii="Times New Roman" w:eastAsia="Times New Roman" w:hAnsi="Times New Roman" w:cs="Times New Roman"/>
        </w:rPr>
      </w:pPr>
    </w:p>
    <w:p w14:paraId="4689FB64" w14:textId="77777777" w:rsidR="00EB765F" w:rsidRDefault="00EB765F">
      <w:pPr>
        <w:spacing w:after="261" w:line="259" w:lineRule="auto"/>
        <w:ind w:left="0" w:firstLine="0"/>
      </w:pPr>
    </w:p>
    <w:p w14:paraId="5A09BDC5" w14:textId="77777777" w:rsidR="00025E78" w:rsidRDefault="00000000">
      <w:pPr>
        <w:spacing w:after="266" w:line="259" w:lineRule="auto"/>
        <w:ind w:left="0" w:firstLine="0"/>
      </w:pPr>
      <w:r>
        <w:rPr>
          <w:rFonts w:ascii="Times New Roman" w:eastAsia="Times New Roman" w:hAnsi="Times New Roman" w:cs="Times New Roman"/>
        </w:rPr>
        <w:t xml:space="preserve"> </w:t>
      </w:r>
    </w:p>
    <w:p w14:paraId="42C213DF" w14:textId="77777777" w:rsidR="00025E78" w:rsidRDefault="00000000">
      <w:pPr>
        <w:spacing w:after="261" w:line="259" w:lineRule="auto"/>
        <w:ind w:left="0" w:firstLine="0"/>
      </w:pPr>
      <w:r>
        <w:rPr>
          <w:rFonts w:ascii="Times New Roman" w:eastAsia="Times New Roman" w:hAnsi="Times New Roman" w:cs="Times New Roman"/>
        </w:rPr>
        <w:t xml:space="preserve"> </w:t>
      </w:r>
    </w:p>
    <w:p w14:paraId="2A811BAB" w14:textId="77777777" w:rsidR="00025E78" w:rsidRDefault="00000000">
      <w:pPr>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360F37CD" w14:textId="77777777" w:rsidR="00025E78" w:rsidRDefault="00000000">
      <w:pPr>
        <w:pStyle w:val="Heading1"/>
        <w:numPr>
          <w:ilvl w:val="0"/>
          <w:numId w:val="0"/>
        </w:numPr>
        <w:spacing w:after="368"/>
        <w:ind w:left="-5"/>
      </w:pPr>
      <w:bookmarkStart w:id="0" w:name="_Toc228392476"/>
      <w:r>
        <w:lastRenderedPageBreak/>
        <w:t>Table of contents</w:t>
      </w:r>
      <w:bookmarkEnd w:id="0"/>
      <w:r>
        <w:t xml:space="preserve"> </w:t>
      </w:r>
    </w:p>
    <w:sdt>
      <w:sdtPr>
        <w:id w:val="306132574"/>
        <w:docPartObj>
          <w:docPartGallery w:val="Table of Contents"/>
        </w:docPartObj>
      </w:sdtPr>
      <w:sdtContent>
        <w:p w14:paraId="00DC94A9" w14:textId="77777777" w:rsidR="00025E78" w:rsidRDefault="00000000">
          <w:pPr>
            <w:spacing w:after="113" w:line="259" w:lineRule="auto"/>
            <w:ind w:left="0" w:firstLine="0"/>
          </w:pPr>
          <w:r>
            <w:rPr>
              <w:rFonts w:ascii="Aptos Display" w:eastAsia="Aptos Display" w:hAnsi="Aptos Display" w:cs="Aptos Display"/>
              <w:b/>
              <w:color w:val="0F4761"/>
              <w:sz w:val="28"/>
            </w:rPr>
            <w:t xml:space="preserve">Table of Contents </w:t>
          </w:r>
        </w:p>
        <w:p w14:paraId="4DE09B42" w14:textId="48419446" w:rsidR="009155FC" w:rsidRDefault="00000000">
          <w:pPr>
            <w:pStyle w:val="TOC1"/>
            <w:tabs>
              <w:tab w:val="right" w:leader="dot" w:pos="9018"/>
            </w:tabs>
            <w:rPr>
              <w:rFonts w:asciiTheme="minorHAnsi" w:eastAsiaTheme="minorEastAsia" w:hAnsiTheme="minorHAnsi" w:cstheme="minorBidi"/>
              <w:b w:val="0"/>
              <w:i w:val="0"/>
              <w:noProof/>
              <w:color w:val="auto"/>
            </w:rPr>
          </w:pPr>
          <w:r>
            <w:fldChar w:fldCharType="begin"/>
          </w:r>
          <w:r>
            <w:instrText xml:space="preserve"> TOC \o "1-2" \h \z \u </w:instrText>
          </w:r>
          <w:r>
            <w:fldChar w:fldCharType="separate"/>
          </w:r>
          <w:hyperlink w:anchor="_Toc228392476" w:history="1">
            <w:r w:rsidR="009155FC" w:rsidRPr="009E3D35">
              <w:rPr>
                <w:rStyle w:val="Hyperlink"/>
                <w:noProof/>
              </w:rPr>
              <w:t>Table of contents</w:t>
            </w:r>
            <w:r w:rsidR="009155FC">
              <w:rPr>
                <w:noProof/>
                <w:webHidden/>
              </w:rPr>
              <w:tab/>
            </w:r>
            <w:r w:rsidR="009155FC">
              <w:rPr>
                <w:noProof/>
                <w:webHidden/>
              </w:rPr>
              <w:fldChar w:fldCharType="begin"/>
            </w:r>
            <w:r w:rsidR="009155FC">
              <w:rPr>
                <w:noProof/>
                <w:webHidden/>
              </w:rPr>
              <w:instrText xml:space="preserve"> PAGEREF _Toc228392476 \h </w:instrText>
            </w:r>
            <w:r w:rsidR="009155FC">
              <w:rPr>
                <w:noProof/>
                <w:webHidden/>
              </w:rPr>
            </w:r>
            <w:r w:rsidR="009155FC">
              <w:rPr>
                <w:noProof/>
                <w:webHidden/>
              </w:rPr>
              <w:fldChar w:fldCharType="separate"/>
            </w:r>
            <w:r w:rsidR="009155FC">
              <w:rPr>
                <w:noProof/>
                <w:webHidden/>
              </w:rPr>
              <w:t>2</w:t>
            </w:r>
            <w:r w:rsidR="009155FC">
              <w:rPr>
                <w:noProof/>
                <w:webHidden/>
              </w:rPr>
              <w:fldChar w:fldCharType="end"/>
            </w:r>
          </w:hyperlink>
        </w:p>
        <w:p w14:paraId="3CB1222C" w14:textId="7C3CCC3A" w:rsidR="009155FC" w:rsidRDefault="009155FC">
          <w:pPr>
            <w:pStyle w:val="TOC1"/>
            <w:tabs>
              <w:tab w:val="right" w:leader="dot" w:pos="9018"/>
            </w:tabs>
            <w:rPr>
              <w:rFonts w:asciiTheme="minorHAnsi" w:eastAsiaTheme="minorEastAsia" w:hAnsiTheme="minorHAnsi" w:cstheme="minorBidi"/>
              <w:b w:val="0"/>
              <w:i w:val="0"/>
              <w:noProof/>
              <w:color w:val="auto"/>
            </w:rPr>
          </w:pPr>
          <w:hyperlink w:anchor="_Toc228392477" w:history="1">
            <w:r w:rsidRPr="009E3D35">
              <w:rPr>
                <w:rStyle w:val="Hyperlink"/>
                <w:noProof/>
              </w:rPr>
              <w:t>1.</w:t>
            </w:r>
            <w:r w:rsidRPr="009E3D35">
              <w:rPr>
                <w:rStyle w:val="Hyperlink"/>
                <w:rFonts w:ascii="Arial" w:hAnsi="Arial" w:cs="Arial"/>
                <w:noProof/>
              </w:rPr>
              <w:t>Abstract</w:t>
            </w:r>
            <w:r>
              <w:rPr>
                <w:noProof/>
                <w:webHidden/>
              </w:rPr>
              <w:tab/>
            </w:r>
            <w:r>
              <w:rPr>
                <w:noProof/>
                <w:webHidden/>
              </w:rPr>
              <w:fldChar w:fldCharType="begin"/>
            </w:r>
            <w:r>
              <w:rPr>
                <w:noProof/>
                <w:webHidden/>
              </w:rPr>
              <w:instrText xml:space="preserve"> PAGEREF _Toc228392477 \h </w:instrText>
            </w:r>
            <w:r>
              <w:rPr>
                <w:noProof/>
                <w:webHidden/>
              </w:rPr>
            </w:r>
            <w:r>
              <w:rPr>
                <w:noProof/>
                <w:webHidden/>
              </w:rPr>
              <w:fldChar w:fldCharType="separate"/>
            </w:r>
            <w:r>
              <w:rPr>
                <w:noProof/>
                <w:webHidden/>
              </w:rPr>
              <w:t>3</w:t>
            </w:r>
            <w:r>
              <w:rPr>
                <w:noProof/>
                <w:webHidden/>
              </w:rPr>
              <w:fldChar w:fldCharType="end"/>
            </w:r>
          </w:hyperlink>
        </w:p>
        <w:p w14:paraId="7278BABD" w14:textId="494C8DFE" w:rsidR="009155FC" w:rsidRDefault="009155FC">
          <w:pPr>
            <w:pStyle w:val="TOC1"/>
            <w:tabs>
              <w:tab w:val="left" w:pos="505"/>
              <w:tab w:val="right" w:leader="dot" w:pos="9018"/>
            </w:tabs>
            <w:rPr>
              <w:rFonts w:asciiTheme="minorHAnsi" w:eastAsiaTheme="minorEastAsia" w:hAnsiTheme="minorHAnsi" w:cstheme="minorBidi"/>
              <w:b w:val="0"/>
              <w:i w:val="0"/>
              <w:noProof/>
              <w:color w:val="auto"/>
            </w:rPr>
          </w:pPr>
          <w:hyperlink w:anchor="_Toc228392478" w:history="1">
            <w:r w:rsidRPr="009E3D35">
              <w:rPr>
                <w:rStyle w:val="Hyperlink"/>
                <w:noProof/>
              </w:rPr>
              <w:t>2.</w:t>
            </w:r>
            <w:r>
              <w:rPr>
                <w:rFonts w:asciiTheme="minorHAnsi" w:eastAsiaTheme="minorEastAsia" w:hAnsiTheme="minorHAnsi" w:cstheme="minorBidi"/>
                <w:b w:val="0"/>
                <w:i w:val="0"/>
                <w:noProof/>
                <w:color w:val="auto"/>
              </w:rPr>
              <w:tab/>
            </w:r>
            <w:r w:rsidRPr="009E3D3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_Toc228392478 \h </w:instrText>
            </w:r>
            <w:r>
              <w:rPr>
                <w:noProof/>
                <w:webHidden/>
              </w:rPr>
            </w:r>
            <w:r>
              <w:rPr>
                <w:noProof/>
                <w:webHidden/>
              </w:rPr>
              <w:fldChar w:fldCharType="separate"/>
            </w:r>
            <w:r>
              <w:rPr>
                <w:noProof/>
                <w:webHidden/>
              </w:rPr>
              <w:t>3</w:t>
            </w:r>
            <w:r>
              <w:rPr>
                <w:noProof/>
                <w:webHidden/>
              </w:rPr>
              <w:fldChar w:fldCharType="end"/>
            </w:r>
          </w:hyperlink>
        </w:p>
        <w:p w14:paraId="1CA0CCD0" w14:textId="5229228E" w:rsidR="009155FC" w:rsidRDefault="009155FC">
          <w:pPr>
            <w:pStyle w:val="TOC1"/>
            <w:tabs>
              <w:tab w:val="left" w:pos="505"/>
              <w:tab w:val="right" w:leader="dot" w:pos="9018"/>
            </w:tabs>
            <w:rPr>
              <w:rFonts w:asciiTheme="minorHAnsi" w:eastAsiaTheme="minorEastAsia" w:hAnsiTheme="minorHAnsi" w:cstheme="minorBidi"/>
              <w:b w:val="0"/>
              <w:i w:val="0"/>
              <w:noProof/>
              <w:color w:val="auto"/>
            </w:rPr>
          </w:pPr>
          <w:hyperlink w:anchor="_Toc228392479" w:history="1">
            <w:r w:rsidRPr="009E3D35">
              <w:rPr>
                <w:rStyle w:val="Hyperlink"/>
                <w:noProof/>
              </w:rPr>
              <w:t>3.</w:t>
            </w:r>
            <w:r>
              <w:rPr>
                <w:rFonts w:asciiTheme="minorHAnsi" w:eastAsiaTheme="minorEastAsia" w:hAnsiTheme="minorHAnsi" w:cstheme="minorBidi"/>
                <w:b w:val="0"/>
                <w:i w:val="0"/>
                <w:noProof/>
                <w:color w:val="auto"/>
              </w:rPr>
              <w:tab/>
            </w:r>
            <w:r w:rsidRPr="009E3D35">
              <w:rPr>
                <w:rStyle w:val="Hyperlink"/>
                <w:rFonts w:ascii="Arial" w:hAnsi="Arial" w:cs="Arial"/>
                <w:noProof/>
              </w:rPr>
              <w:t>Background</w:t>
            </w:r>
            <w:r>
              <w:rPr>
                <w:noProof/>
                <w:webHidden/>
              </w:rPr>
              <w:tab/>
            </w:r>
            <w:r>
              <w:rPr>
                <w:noProof/>
                <w:webHidden/>
              </w:rPr>
              <w:fldChar w:fldCharType="begin"/>
            </w:r>
            <w:r>
              <w:rPr>
                <w:noProof/>
                <w:webHidden/>
              </w:rPr>
              <w:instrText xml:space="preserve"> PAGEREF _Toc228392479 \h </w:instrText>
            </w:r>
            <w:r>
              <w:rPr>
                <w:noProof/>
                <w:webHidden/>
              </w:rPr>
            </w:r>
            <w:r>
              <w:rPr>
                <w:noProof/>
                <w:webHidden/>
              </w:rPr>
              <w:fldChar w:fldCharType="separate"/>
            </w:r>
            <w:r>
              <w:rPr>
                <w:noProof/>
                <w:webHidden/>
              </w:rPr>
              <w:t>4</w:t>
            </w:r>
            <w:r>
              <w:rPr>
                <w:noProof/>
                <w:webHidden/>
              </w:rPr>
              <w:fldChar w:fldCharType="end"/>
            </w:r>
          </w:hyperlink>
        </w:p>
        <w:p w14:paraId="5FDE0D78" w14:textId="48D9D339" w:rsidR="009155FC" w:rsidRDefault="009155FC">
          <w:pPr>
            <w:pStyle w:val="TOC1"/>
            <w:tabs>
              <w:tab w:val="left" w:pos="505"/>
              <w:tab w:val="right" w:leader="dot" w:pos="9018"/>
            </w:tabs>
            <w:rPr>
              <w:rFonts w:asciiTheme="minorHAnsi" w:eastAsiaTheme="minorEastAsia" w:hAnsiTheme="minorHAnsi" w:cstheme="minorBidi"/>
              <w:b w:val="0"/>
              <w:i w:val="0"/>
              <w:noProof/>
              <w:color w:val="auto"/>
            </w:rPr>
          </w:pPr>
          <w:hyperlink w:anchor="_Toc228392480" w:history="1">
            <w:r w:rsidRPr="009E3D35">
              <w:rPr>
                <w:rStyle w:val="Hyperlink"/>
                <w:noProof/>
              </w:rPr>
              <w:t>4.</w:t>
            </w:r>
            <w:r>
              <w:rPr>
                <w:rFonts w:asciiTheme="minorHAnsi" w:eastAsiaTheme="minorEastAsia" w:hAnsiTheme="minorHAnsi" w:cstheme="minorBidi"/>
                <w:b w:val="0"/>
                <w:i w:val="0"/>
                <w:noProof/>
                <w:color w:val="auto"/>
              </w:rPr>
              <w:tab/>
            </w:r>
            <w:r w:rsidRPr="009E3D35">
              <w:rPr>
                <w:rStyle w:val="Hyperlink"/>
                <w:rFonts w:ascii="Arial" w:hAnsi="Arial" w:cs="Arial"/>
                <w:noProof/>
              </w:rPr>
              <w:t>Methods</w:t>
            </w:r>
            <w:r>
              <w:rPr>
                <w:noProof/>
                <w:webHidden/>
              </w:rPr>
              <w:tab/>
            </w:r>
            <w:r>
              <w:rPr>
                <w:noProof/>
                <w:webHidden/>
              </w:rPr>
              <w:fldChar w:fldCharType="begin"/>
            </w:r>
            <w:r>
              <w:rPr>
                <w:noProof/>
                <w:webHidden/>
              </w:rPr>
              <w:instrText xml:space="preserve"> PAGEREF _Toc228392480 \h </w:instrText>
            </w:r>
            <w:r>
              <w:rPr>
                <w:noProof/>
                <w:webHidden/>
              </w:rPr>
            </w:r>
            <w:r>
              <w:rPr>
                <w:noProof/>
                <w:webHidden/>
              </w:rPr>
              <w:fldChar w:fldCharType="separate"/>
            </w:r>
            <w:r>
              <w:rPr>
                <w:noProof/>
                <w:webHidden/>
              </w:rPr>
              <w:t>5</w:t>
            </w:r>
            <w:r>
              <w:rPr>
                <w:noProof/>
                <w:webHidden/>
              </w:rPr>
              <w:fldChar w:fldCharType="end"/>
            </w:r>
          </w:hyperlink>
        </w:p>
        <w:p w14:paraId="64B7A07D" w14:textId="0ED7B3AF"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1" w:history="1">
            <w:r w:rsidRPr="009E3D35">
              <w:rPr>
                <w:rStyle w:val="Hyperlink"/>
                <w:rFonts w:ascii="Arial" w:hAnsi="Arial" w:cs="Arial"/>
                <w:noProof/>
              </w:rPr>
              <w:t>Data Collection / Search Strategy</w:t>
            </w:r>
            <w:r>
              <w:rPr>
                <w:noProof/>
                <w:webHidden/>
              </w:rPr>
              <w:tab/>
            </w:r>
            <w:r>
              <w:rPr>
                <w:noProof/>
                <w:webHidden/>
              </w:rPr>
              <w:fldChar w:fldCharType="begin"/>
            </w:r>
            <w:r>
              <w:rPr>
                <w:noProof/>
                <w:webHidden/>
              </w:rPr>
              <w:instrText xml:space="preserve"> PAGEREF _Toc228392481 \h </w:instrText>
            </w:r>
            <w:r>
              <w:rPr>
                <w:noProof/>
                <w:webHidden/>
              </w:rPr>
            </w:r>
            <w:r>
              <w:rPr>
                <w:noProof/>
                <w:webHidden/>
              </w:rPr>
              <w:fldChar w:fldCharType="separate"/>
            </w:r>
            <w:r>
              <w:rPr>
                <w:noProof/>
                <w:webHidden/>
              </w:rPr>
              <w:t>5</w:t>
            </w:r>
            <w:r>
              <w:rPr>
                <w:noProof/>
                <w:webHidden/>
              </w:rPr>
              <w:fldChar w:fldCharType="end"/>
            </w:r>
          </w:hyperlink>
        </w:p>
        <w:p w14:paraId="7394CAD3" w14:textId="317C1890"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2" w:history="1">
            <w:r w:rsidRPr="009E3D35">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_Toc228392482 \h </w:instrText>
            </w:r>
            <w:r>
              <w:rPr>
                <w:noProof/>
                <w:webHidden/>
              </w:rPr>
            </w:r>
            <w:r>
              <w:rPr>
                <w:noProof/>
                <w:webHidden/>
              </w:rPr>
              <w:fldChar w:fldCharType="separate"/>
            </w:r>
            <w:r>
              <w:rPr>
                <w:noProof/>
                <w:webHidden/>
              </w:rPr>
              <w:t>6</w:t>
            </w:r>
            <w:r>
              <w:rPr>
                <w:noProof/>
                <w:webHidden/>
              </w:rPr>
              <w:fldChar w:fldCharType="end"/>
            </w:r>
          </w:hyperlink>
        </w:p>
        <w:p w14:paraId="2E3604AD" w14:textId="6FB3FE81"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3" w:history="1">
            <w:r w:rsidRPr="009E3D35">
              <w:rPr>
                <w:rStyle w:val="Hyperlink"/>
                <w:rFonts w:ascii="Arial" w:hAnsi="Arial" w:cs="Arial"/>
                <w:noProof/>
              </w:rPr>
              <w:t>Table 1: Data Extraction Summary of Included Studies</w:t>
            </w:r>
            <w:r>
              <w:rPr>
                <w:noProof/>
                <w:webHidden/>
              </w:rPr>
              <w:tab/>
            </w:r>
            <w:r>
              <w:rPr>
                <w:noProof/>
                <w:webHidden/>
              </w:rPr>
              <w:fldChar w:fldCharType="begin"/>
            </w:r>
            <w:r>
              <w:rPr>
                <w:noProof/>
                <w:webHidden/>
              </w:rPr>
              <w:instrText xml:space="preserve"> PAGEREF _Toc228392483 \h </w:instrText>
            </w:r>
            <w:r>
              <w:rPr>
                <w:noProof/>
                <w:webHidden/>
              </w:rPr>
            </w:r>
            <w:r>
              <w:rPr>
                <w:noProof/>
                <w:webHidden/>
              </w:rPr>
              <w:fldChar w:fldCharType="separate"/>
            </w:r>
            <w:r>
              <w:rPr>
                <w:noProof/>
                <w:webHidden/>
              </w:rPr>
              <w:t>6</w:t>
            </w:r>
            <w:r>
              <w:rPr>
                <w:noProof/>
                <w:webHidden/>
              </w:rPr>
              <w:fldChar w:fldCharType="end"/>
            </w:r>
          </w:hyperlink>
        </w:p>
        <w:p w14:paraId="695E3CA2" w14:textId="5BE2D146"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4" w:history="1">
            <w:r w:rsidRPr="009E3D35">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_Toc228392484 \h </w:instrText>
            </w:r>
            <w:r>
              <w:rPr>
                <w:noProof/>
                <w:webHidden/>
              </w:rPr>
            </w:r>
            <w:r>
              <w:rPr>
                <w:noProof/>
                <w:webHidden/>
              </w:rPr>
              <w:fldChar w:fldCharType="separate"/>
            </w:r>
            <w:r>
              <w:rPr>
                <w:noProof/>
                <w:webHidden/>
              </w:rPr>
              <w:t>7</w:t>
            </w:r>
            <w:r>
              <w:rPr>
                <w:noProof/>
                <w:webHidden/>
              </w:rPr>
              <w:fldChar w:fldCharType="end"/>
            </w:r>
          </w:hyperlink>
        </w:p>
        <w:p w14:paraId="5F49003F" w14:textId="722C793E" w:rsidR="009155FC" w:rsidRDefault="009155FC">
          <w:pPr>
            <w:pStyle w:val="TOC1"/>
            <w:tabs>
              <w:tab w:val="left" w:pos="505"/>
              <w:tab w:val="right" w:leader="dot" w:pos="9018"/>
            </w:tabs>
            <w:rPr>
              <w:rFonts w:asciiTheme="minorHAnsi" w:eastAsiaTheme="minorEastAsia" w:hAnsiTheme="minorHAnsi" w:cstheme="minorBidi"/>
              <w:b w:val="0"/>
              <w:i w:val="0"/>
              <w:noProof/>
              <w:color w:val="auto"/>
            </w:rPr>
          </w:pPr>
          <w:hyperlink w:anchor="_Toc228392485" w:history="1">
            <w:r w:rsidRPr="009E3D35">
              <w:rPr>
                <w:rStyle w:val="Hyperlink"/>
                <w:noProof/>
              </w:rPr>
              <w:t>5.</w:t>
            </w:r>
            <w:r>
              <w:rPr>
                <w:rFonts w:asciiTheme="minorHAnsi" w:eastAsiaTheme="minorEastAsia" w:hAnsiTheme="minorHAnsi" w:cstheme="minorBidi"/>
                <w:b w:val="0"/>
                <w:i w:val="0"/>
                <w:noProof/>
                <w:color w:val="auto"/>
              </w:rPr>
              <w:tab/>
            </w:r>
            <w:r w:rsidRPr="009E3D35">
              <w:rPr>
                <w:rStyle w:val="Hyperlink"/>
                <w:rFonts w:ascii="Arial" w:hAnsi="Arial" w:cs="Arial"/>
                <w:noProof/>
              </w:rPr>
              <w:t>Results</w:t>
            </w:r>
            <w:r>
              <w:rPr>
                <w:noProof/>
                <w:webHidden/>
              </w:rPr>
              <w:tab/>
            </w:r>
            <w:r>
              <w:rPr>
                <w:noProof/>
                <w:webHidden/>
              </w:rPr>
              <w:fldChar w:fldCharType="begin"/>
            </w:r>
            <w:r>
              <w:rPr>
                <w:noProof/>
                <w:webHidden/>
              </w:rPr>
              <w:instrText xml:space="preserve"> PAGEREF _Toc228392485 \h </w:instrText>
            </w:r>
            <w:r>
              <w:rPr>
                <w:noProof/>
                <w:webHidden/>
              </w:rPr>
            </w:r>
            <w:r>
              <w:rPr>
                <w:noProof/>
                <w:webHidden/>
              </w:rPr>
              <w:fldChar w:fldCharType="separate"/>
            </w:r>
            <w:r>
              <w:rPr>
                <w:noProof/>
                <w:webHidden/>
              </w:rPr>
              <w:t>8</w:t>
            </w:r>
            <w:r>
              <w:rPr>
                <w:noProof/>
                <w:webHidden/>
              </w:rPr>
              <w:fldChar w:fldCharType="end"/>
            </w:r>
          </w:hyperlink>
        </w:p>
        <w:p w14:paraId="0E9B5239" w14:textId="02FEEE6D"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6" w:history="1">
            <w:r w:rsidRPr="009E3D35">
              <w:rPr>
                <w:rStyle w:val="Hyperlink"/>
                <w:rFonts w:ascii="Arial" w:hAnsi="Arial" w:cs="Arial"/>
                <w:noProof/>
              </w:rPr>
              <w:t>Table 2: IIRS – Selected Studies Extracted Data Sheet</w:t>
            </w:r>
            <w:r>
              <w:rPr>
                <w:noProof/>
                <w:webHidden/>
              </w:rPr>
              <w:tab/>
            </w:r>
            <w:r>
              <w:rPr>
                <w:noProof/>
                <w:webHidden/>
              </w:rPr>
              <w:fldChar w:fldCharType="begin"/>
            </w:r>
            <w:r>
              <w:rPr>
                <w:noProof/>
                <w:webHidden/>
              </w:rPr>
              <w:instrText xml:space="preserve"> PAGEREF _Toc228392486 \h </w:instrText>
            </w:r>
            <w:r>
              <w:rPr>
                <w:noProof/>
                <w:webHidden/>
              </w:rPr>
            </w:r>
            <w:r>
              <w:rPr>
                <w:noProof/>
                <w:webHidden/>
              </w:rPr>
              <w:fldChar w:fldCharType="separate"/>
            </w:r>
            <w:r>
              <w:rPr>
                <w:noProof/>
                <w:webHidden/>
              </w:rPr>
              <w:t>8</w:t>
            </w:r>
            <w:r>
              <w:rPr>
                <w:noProof/>
                <w:webHidden/>
              </w:rPr>
              <w:fldChar w:fldCharType="end"/>
            </w:r>
          </w:hyperlink>
        </w:p>
        <w:p w14:paraId="77AE064E" w14:textId="66B3E35C"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7" w:history="1">
            <w:r w:rsidRPr="009E3D35">
              <w:rPr>
                <w:rStyle w:val="Hyperlink"/>
                <w:rFonts w:ascii="Arial" w:hAnsi="Arial" w:cs="Arial"/>
                <w:noProof/>
              </w:rPr>
              <w:t>Social Care Capacity</w:t>
            </w:r>
            <w:r>
              <w:rPr>
                <w:noProof/>
                <w:webHidden/>
              </w:rPr>
              <w:tab/>
            </w:r>
            <w:r>
              <w:rPr>
                <w:noProof/>
                <w:webHidden/>
              </w:rPr>
              <w:fldChar w:fldCharType="begin"/>
            </w:r>
            <w:r>
              <w:rPr>
                <w:noProof/>
                <w:webHidden/>
              </w:rPr>
              <w:instrText xml:space="preserve"> PAGEREF _Toc228392487 \h </w:instrText>
            </w:r>
            <w:r>
              <w:rPr>
                <w:noProof/>
                <w:webHidden/>
              </w:rPr>
            </w:r>
            <w:r>
              <w:rPr>
                <w:noProof/>
                <w:webHidden/>
              </w:rPr>
              <w:fldChar w:fldCharType="separate"/>
            </w:r>
            <w:r>
              <w:rPr>
                <w:noProof/>
                <w:webHidden/>
              </w:rPr>
              <w:t>9</w:t>
            </w:r>
            <w:r>
              <w:rPr>
                <w:noProof/>
                <w:webHidden/>
              </w:rPr>
              <w:fldChar w:fldCharType="end"/>
            </w:r>
          </w:hyperlink>
        </w:p>
        <w:p w14:paraId="6A34E7FA" w14:textId="375F6B47"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8" w:history="1">
            <w:r w:rsidRPr="009E3D35">
              <w:rPr>
                <w:rStyle w:val="Hyperlink"/>
                <w:rFonts w:ascii="Arial" w:hAnsi="Arial" w:cs="Arial"/>
                <w:noProof/>
              </w:rPr>
              <w:t>Organisational and Workforce Pressures</w:t>
            </w:r>
            <w:r>
              <w:rPr>
                <w:noProof/>
                <w:webHidden/>
              </w:rPr>
              <w:tab/>
            </w:r>
            <w:r>
              <w:rPr>
                <w:noProof/>
                <w:webHidden/>
              </w:rPr>
              <w:fldChar w:fldCharType="begin"/>
            </w:r>
            <w:r>
              <w:rPr>
                <w:noProof/>
                <w:webHidden/>
              </w:rPr>
              <w:instrText xml:space="preserve"> PAGEREF _Toc228392488 \h </w:instrText>
            </w:r>
            <w:r>
              <w:rPr>
                <w:noProof/>
                <w:webHidden/>
              </w:rPr>
            </w:r>
            <w:r>
              <w:rPr>
                <w:noProof/>
                <w:webHidden/>
              </w:rPr>
              <w:fldChar w:fldCharType="separate"/>
            </w:r>
            <w:r>
              <w:rPr>
                <w:noProof/>
                <w:webHidden/>
              </w:rPr>
              <w:t>9</w:t>
            </w:r>
            <w:r>
              <w:rPr>
                <w:noProof/>
                <w:webHidden/>
              </w:rPr>
              <w:fldChar w:fldCharType="end"/>
            </w:r>
          </w:hyperlink>
        </w:p>
        <w:p w14:paraId="0AB45597" w14:textId="2C656FB8"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89" w:history="1">
            <w:r w:rsidRPr="009E3D35">
              <w:rPr>
                <w:rStyle w:val="Hyperlink"/>
                <w:rFonts w:ascii="Arial" w:hAnsi="Arial" w:cs="Arial"/>
                <w:noProof/>
              </w:rPr>
              <w:t>Communication and Patient Experience</w:t>
            </w:r>
            <w:r>
              <w:rPr>
                <w:noProof/>
                <w:webHidden/>
              </w:rPr>
              <w:tab/>
            </w:r>
            <w:r>
              <w:rPr>
                <w:noProof/>
                <w:webHidden/>
              </w:rPr>
              <w:fldChar w:fldCharType="begin"/>
            </w:r>
            <w:r>
              <w:rPr>
                <w:noProof/>
                <w:webHidden/>
              </w:rPr>
              <w:instrText xml:space="preserve"> PAGEREF _Toc228392489 \h </w:instrText>
            </w:r>
            <w:r>
              <w:rPr>
                <w:noProof/>
                <w:webHidden/>
              </w:rPr>
            </w:r>
            <w:r>
              <w:rPr>
                <w:noProof/>
                <w:webHidden/>
              </w:rPr>
              <w:fldChar w:fldCharType="separate"/>
            </w:r>
            <w:r>
              <w:rPr>
                <w:noProof/>
                <w:webHidden/>
              </w:rPr>
              <w:t>9</w:t>
            </w:r>
            <w:r>
              <w:rPr>
                <w:noProof/>
                <w:webHidden/>
              </w:rPr>
              <w:fldChar w:fldCharType="end"/>
            </w:r>
          </w:hyperlink>
        </w:p>
        <w:p w14:paraId="43442752" w14:textId="07B1F70B"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0" w:history="1">
            <w:r w:rsidRPr="009E3D35">
              <w:rPr>
                <w:rStyle w:val="Hyperlink"/>
                <w:rFonts w:ascii="Arial" w:hAnsi="Arial" w:cs="Arial"/>
                <w:noProof/>
              </w:rPr>
              <w:t>Discharge Pathways and Coordination</w:t>
            </w:r>
            <w:r>
              <w:rPr>
                <w:noProof/>
                <w:webHidden/>
              </w:rPr>
              <w:tab/>
            </w:r>
            <w:r>
              <w:rPr>
                <w:noProof/>
                <w:webHidden/>
              </w:rPr>
              <w:fldChar w:fldCharType="begin"/>
            </w:r>
            <w:r>
              <w:rPr>
                <w:noProof/>
                <w:webHidden/>
              </w:rPr>
              <w:instrText xml:space="preserve"> PAGEREF _Toc228392490 \h </w:instrText>
            </w:r>
            <w:r>
              <w:rPr>
                <w:noProof/>
                <w:webHidden/>
              </w:rPr>
            </w:r>
            <w:r>
              <w:rPr>
                <w:noProof/>
                <w:webHidden/>
              </w:rPr>
              <w:fldChar w:fldCharType="separate"/>
            </w:r>
            <w:r>
              <w:rPr>
                <w:noProof/>
                <w:webHidden/>
              </w:rPr>
              <w:t>10</w:t>
            </w:r>
            <w:r>
              <w:rPr>
                <w:noProof/>
                <w:webHidden/>
              </w:rPr>
              <w:fldChar w:fldCharType="end"/>
            </w:r>
          </w:hyperlink>
        </w:p>
        <w:p w14:paraId="28A547BD" w14:textId="4950643B" w:rsidR="009155FC" w:rsidRDefault="009155FC">
          <w:pPr>
            <w:pStyle w:val="TOC1"/>
            <w:tabs>
              <w:tab w:val="left" w:pos="505"/>
              <w:tab w:val="right" w:leader="dot" w:pos="9018"/>
            </w:tabs>
            <w:rPr>
              <w:rFonts w:asciiTheme="minorHAnsi" w:eastAsiaTheme="minorEastAsia" w:hAnsiTheme="minorHAnsi" w:cstheme="minorBidi"/>
              <w:b w:val="0"/>
              <w:i w:val="0"/>
              <w:noProof/>
              <w:color w:val="auto"/>
            </w:rPr>
          </w:pPr>
          <w:hyperlink w:anchor="_Toc228392491" w:history="1">
            <w:r w:rsidRPr="009E3D35">
              <w:rPr>
                <w:rStyle w:val="Hyperlink"/>
                <w:noProof/>
              </w:rPr>
              <w:t>6.</w:t>
            </w:r>
            <w:r>
              <w:rPr>
                <w:rFonts w:asciiTheme="minorHAnsi" w:eastAsiaTheme="minorEastAsia" w:hAnsiTheme="minorHAnsi" w:cstheme="minorBidi"/>
                <w:b w:val="0"/>
                <w:i w:val="0"/>
                <w:noProof/>
                <w:color w:val="auto"/>
              </w:rPr>
              <w:tab/>
            </w:r>
            <w:r w:rsidRPr="009E3D35">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_Toc228392491 \h </w:instrText>
            </w:r>
            <w:r>
              <w:rPr>
                <w:noProof/>
                <w:webHidden/>
              </w:rPr>
            </w:r>
            <w:r>
              <w:rPr>
                <w:noProof/>
                <w:webHidden/>
              </w:rPr>
              <w:fldChar w:fldCharType="separate"/>
            </w:r>
            <w:r>
              <w:rPr>
                <w:noProof/>
                <w:webHidden/>
              </w:rPr>
              <w:t>10</w:t>
            </w:r>
            <w:r>
              <w:rPr>
                <w:noProof/>
                <w:webHidden/>
              </w:rPr>
              <w:fldChar w:fldCharType="end"/>
            </w:r>
          </w:hyperlink>
        </w:p>
        <w:p w14:paraId="67BDD40E" w14:textId="2F792861"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2" w:history="1">
            <w:r w:rsidRPr="009E3D35">
              <w:rPr>
                <w:rStyle w:val="Hyperlink"/>
                <w:rFonts w:ascii="Arial" w:hAnsi="Arial" w:cs="Arial"/>
                <w:noProof/>
              </w:rPr>
              <w:t>Social Care Capacity</w:t>
            </w:r>
            <w:r>
              <w:rPr>
                <w:noProof/>
                <w:webHidden/>
              </w:rPr>
              <w:tab/>
            </w:r>
            <w:r>
              <w:rPr>
                <w:noProof/>
                <w:webHidden/>
              </w:rPr>
              <w:fldChar w:fldCharType="begin"/>
            </w:r>
            <w:r>
              <w:rPr>
                <w:noProof/>
                <w:webHidden/>
              </w:rPr>
              <w:instrText xml:space="preserve"> PAGEREF _Toc228392492 \h </w:instrText>
            </w:r>
            <w:r>
              <w:rPr>
                <w:noProof/>
                <w:webHidden/>
              </w:rPr>
            </w:r>
            <w:r>
              <w:rPr>
                <w:noProof/>
                <w:webHidden/>
              </w:rPr>
              <w:fldChar w:fldCharType="separate"/>
            </w:r>
            <w:r>
              <w:rPr>
                <w:noProof/>
                <w:webHidden/>
              </w:rPr>
              <w:t>10</w:t>
            </w:r>
            <w:r>
              <w:rPr>
                <w:noProof/>
                <w:webHidden/>
              </w:rPr>
              <w:fldChar w:fldCharType="end"/>
            </w:r>
          </w:hyperlink>
        </w:p>
        <w:p w14:paraId="787D1857" w14:textId="1493F8FE"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3" w:history="1">
            <w:r w:rsidRPr="009E3D35">
              <w:rPr>
                <w:rStyle w:val="Hyperlink"/>
                <w:rFonts w:ascii="Arial" w:hAnsi="Arial" w:cs="Arial"/>
                <w:noProof/>
              </w:rPr>
              <w:t>Organisational and Workforce Pressures</w:t>
            </w:r>
            <w:r>
              <w:rPr>
                <w:noProof/>
                <w:webHidden/>
              </w:rPr>
              <w:tab/>
            </w:r>
            <w:r>
              <w:rPr>
                <w:noProof/>
                <w:webHidden/>
              </w:rPr>
              <w:fldChar w:fldCharType="begin"/>
            </w:r>
            <w:r>
              <w:rPr>
                <w:noProof/>
                <w:webHidden/>
              </w:rPr>
              <w:instrText xml:space="preserve"> PAGEREF _Toc228392493 \h </w:instrText>
            </w:r>
            <w:r>
              <w:rPr>
                <w:noProof/>
                <w:webHidden/>
              </w:rPr>
            </w:r>
            <w:r>
              <w:rPr>
                <w:noProof/>
                <w:webHidden/>
              </w:rPr>
              <w:fldChar w:fldCharType="separate"/>
            </w:r>
            <w:r>
              <w:rPr>
                <w:noProof/>
                <w:webHidden/>
              </w:rPr>
              <w:t>11</w:t>
            </w:r>
            <w:r>
              <w:rPr>
                <w:noProof/>
                <w:webHidden/>
              </w:rPr>
              <w:fldChar w:fldCharType="end"/>
            </w:r>
          </w:hyperlink>
        </w:p>
        <w:p w14:paraId="721BBA16" w14:textId="76BD84CB"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4" w:history="1">
            <w:r w:rsidRPr="009E3D35">
              <w:rPr>
                <w:rStyle w:val="Hyperlink"/>
                <w:rFonts w:ascii="Arial" w:hAnsi="Arial" w:cs="Arial"/>
                <w:noProof/>
              </w:rPr>
              <w:t>Communication and Patient Experience</w:t>
            </w:r>
            <w:r>
              <w:rPr>
                <w:noProof/>
                <w:webHidden/>
              </w:rPr>
              <w:tab/>
            </w:r>
            <w:r>
              <w:rPr>
                <w:noProof/>
                <w:webHidden/>
              </w:rPr>
              <w:fldChar w:fldCharType="begin"/>
            </w:r>
            <w:r>
              <w:rPr>
                <w:noProof/>
                <w:webHidden/>
              </w:rPr>
              <w:instrText xml:space="preserve"> PAGEREF _Toc228392494 \h </w:instrText>
            </w:r>
            <w:r>
              <w:rPr>
                <w:noProof/>
                <w:webHidden/>
              </w:rPr>
            </w:r>
            <w:r>
              <w:rPr>
                <w:noProof/>
                <w:webHidden/>
              </w:rPr>
              <w:fldChar w:fldCharType="separate"/>
            </w:r>
            <w:r>
              <w:rPr>
                <w:noProof/>
                <w:webHidden/>
              </w:rPr>
              <w:t>11</w:t>
            </w:r>
            <w:r>
              <w:rPr>
                <w:noProof/>
                <w:webHidden/>
              </w:rPr>
              <w:fldChar w:fldCharType="end"/>
            </w:r>
          </w:hyperlink>
        </w:p>
        <w:p w14:paraId="2CBEE131" w14:textId="0D6FFB26"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5" w:history="1">
            <w:r w:rsidRPr="009E3D35">
              <w:rPr>
                <w:rStyle w:val="Hyperlink"/>
                <w:rFonts w:ascii="Arial" w:hAnsi="Arial" w:cs="Arial"/>
                <w:noProof/>
              </w:rPr>
              <w:t>Discharge Pathways and Coordination</w:t>
            </w:r>
            <w:r>
              <w:rPr>
                <w:noProof/>
                <w:webHidden/>
              </w:rPr>
              <w:tab/>
            </w:r>
            <w:r>
              <w:rPr>
                <w:noProof/>
                <w:webHidden/>
              </w:rPr>
              <w:fldChar w:fldCharType="begin"/>
            </w:r>
            <w:r>
              <w:rPr>
                <w:noProof/>
                <w:webHidden/>
              </w:rPr>
              <w:instrText xml:space="preserve"> PAGEREF _Toc228392495 \h </w:instrText>
            </w:r>
            <w:r>
              <w:rPr>
                <w:noProof/>
                <w:webHidden/>
              </w:rPr>
            </w:r>
            <w:r>
              <w:rPr>
                <w:noProof/>
                <w:webHidden/>
              </w:rPr>
              <w:fldChar w:fldCharType="separate"/>
            </w:r>
            <w:r>
              <w:rPr>
                <w:noProof/>
                <w:webHidden/>
              </w:rPr>
              <w:t>11</w:t>
            </w:r>
            <w:r>
              <w:rPr>
                <w:noProof/>
                <w:webHidden/>
              </w:rPr>
              <w:fldChar w:fldCharType="end"/>
            </w:r>
          </w:hyperlink>
        </w:p>
        <w:p w14:paraId="31D1F0BD" w14:textId="29B1C352"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6" w:history="1">
            <w:r w:rsidRPr="009E3D35">
              <w:rPr>
                <w:rStyle w:val="Hyperlink"/>
                <w:rFonts w:ascii="Arial" w:hAnsi="Arial" w:cs="Arial"/>
                <w:noProof/>
              </w:rPr>
              <w:t>Importance of the Findings</w:t>
            </w:r>
            <w:r>
              <w:rPr>
                <w:noProof/>
                <w:webHidden/>
              </w:rPr>
              <w:tab/>
            </w:r>
            <w:r>
              <w:rPr>
                <w:noProof/>
                <w:webHidden/>
              </w:rPr>
              <w:fldChar w:fldCharType="begin"/>
            </w:r>
            <w:r>
              <w:rPr>
                <w:noProof/>
                <w:webHidden/>
              </w:rPr>
              <w:instrText xml:space="preserve"> PAGEREF _Toc228392496 \h </w:instrText>
            </w:r>
            <w:r>
              <w:rPr>
                <w:noProof/>
                <w:webHidden/>
              </w:rPr>
            </w:r>
            <w:r>
              <w:rPr>
                <w:noProof/>
                <w:webHidden/>
              </w:rPr>
              <w:fldChar w:fldCharType="separate"/>
            </w:r>
            <w:r>
              <w:rPr>
                <w:noProof/>
                <w:webHidden/>
              </w:rPr>
              <w:t>12</w:t>
            </w:r>
            <w:r>
              <w:rPr>
                <w:noProof/>
                <w:webHidden/>
              </w:rPr>
              <w:fldChar w:fldCharType="end"/>
            </w:r>
          </w:hyperlink>
        </w:p>
        <w:p w14:paraId="5E0D57A1" w14:textId="245DEB89"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7" w:history="1">
            <w:r w:rsidRPr="009E3D35">
              <w:rPr>
                <w:rStyle w:val="Hyperlink"/>
                <w:rFonts w:ascii="Arial" w:hAnsi="Arial" w:cs="Arial"/>
                <w:noProof/>
              </w:rPr>
              <w:t>Limitations of the Research</w:t>
            </w:r>
            <w:r>
              <w:rPr>
                <w:noProof/>
                <w:webHidden/>
              </w:rPr>
              <w:tab/>
            </w:r>
            <w:r>
              <w:rPr>
                <w:noProof/>
                <w:webHidden/>
              </w:rPr>
              <w:fldChar w:fldCharType="begin"/>
            </w:r>
            <w:r>
              <w:rPr>
                <w:noProof/>
                <w:webHidden/>
              </w:rPr>
              <w:instrText xml:space="preserve"> PAGEREF _Toc228392497 \h </w:instrText>
            </w:r>
            <w:r>
              <w:rPr>
                <w:noProof/>
                <w:webHidden/>
              </w:rPr>
            </w:r>
            <w:r>
              <w:rPr>
                <w:noProof/>
                <w:webHidden/>
              </w:rPr>
              <w:fldChar w:fldCharType="separate"/>
            </w:r>
            <w:r>
              <w:rPr>
                <w:noProof/>
                <w:webHidden/>
              </w:rPr>
              <w:t>12</w:t>
            </w:r>
            <w:r>
              <w:rPr>
                <w:noProof/>
                <w:webHidden/>
              </w:rPr>
              <w:fldChar w:fldCharType="end"/>
            </w:r>
          </w:hyperlink>
        </w:p>
        <w:p w14:paraId="40E79494" w14:textId="1ECB0D30" w:rsidR="009155FC" w:rsidRDefault="009155FC">
          <w:pPr>
            <w:pStyle w:val="TOC1"/>
            <w:tabs>
              <w:tab w:val="left" w:pos="505"/>
              <w:tab w:val="right" w:leader="dot" w:pos="9018"/>
            </w:tabs>
            <w:rPr>
              <w:rFonts w:asciiTheme="minorHAnsi" w:eastAsiaTheme="minorEastAsia" w:hAnsiTheme="minorHAnsi" w:cstheme="minorBidi"/>
              <w:b w:val="0"/>
              <w:i w:val="0"/>
              <w:noProof/>
              <w:color w:val="auto"/>
            </w:rPr>
          </w:pPr>
          <w:hyperlink w:anchor="_Toc228392498" w:history="1">
            <w:r w:rsidRPr="009E3D35">
              <w:rPr>
                <w:rStyle w:val="Hyperlink"/>
                <w:noProof/>
              </w:rPr>
              <w:t>7.</w:t>
            </w:r>
            <w:r>
              <w:rPr>
                <w:rFonts w:asciiTheme="minorHAnsi" w:eastAsiaTheme="minorEastAsia" w:hAnsiTheme="minorHAnsi" w:cstheme="minorBidi"/>
                <w:b w:val="0"/>
                <w:i w:val="0"/>
                <w:noProof/>
                <w:color w:val="auto"/>
              </w:rPr>
              <w:tab/>
            </w:r>
            <w:r w:rsidRPr="009E3D35">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_Toc228392498 \h </w:instrText>
            </w:r>
            <w:r>
              <w:rPr>
                <w:noProof/>
                <w:webHidden/>
              </w:rPr>
            </w:r>
            <w:r>
              <w:rPr>
                <w:noProof/>
                <w:webHidden/>
              </w:rPr>
              <w:fldChar w:fldCharType="separate"/>
            </w:r>
            <w:r>
              <w:rPr>
                <w:noProof/>
                <w:webHidden/>
              </w:rPr>
              <w:t>13</w:t>
            </w:r>
            <w:r>
              <w:rPr>
                <w:noProof/>
                <w:webHidden/>
              </w:rPr>
              <w:fldChar w:fldCharType="end"/>
            </w:r>
          </w:hyperlink>
        </w:p>
        <w:p w14:paraId="0F3BCA7C" w14:textId="33415264"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499" w:history="1">
            <w:r w:rsidRPr="009E3D3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_Toc228392499 \h </w:instrText>
            </w:r>
            <w:r>
              <w:rPr>
                <w:noProof/>
                <w:webHidden/>
              </w:rPr>
            </w:r>
            <w:r>
              <w:rPr>
                <w:noProof/>
                <w:webHidden/>
              </w:rPr>
              <w:fldChar w:fldCharType="separate"/>
            </w:r>
            <w:r>
              <w:rPr>
                <w:noProof/>
                <w:webHidden/>
              </w:rPr>
              <w:t>13</w:t>
            </w:r>
            <w:r>
              <w:rPr>
                <w:noProof/>
                <w:webHidden/>
              </w:rPr>
              <w:fldChar w:fldCharType="end"/>
            </w:r>
          </w:hyperlink>
        </w:p>
        <w:p w14:paraId="03D3ACED" w14:textId="3857CADE" w:rsidR="009155FC" w:rsidRDefault="009155FC">
          <w:pPr>
            <w:pStyle w:val="TOC2"/>
            <w:tabs>
              <w:tab w:val="right" w:leader="dot" w:pos="9018"/>
            </w:tabs>
            <w:rPr>
              <w:rFonts w:asciiTheme="minorHAnsi" w:eastAsiaTheme="minorEastAsia" w:hAnsiTheme="minorHAnsi" w:cstheme="minorBidi"/>
              <w:noProof/>
              <w:color w:val="auto"/>
              <w:sz w:val="24"/>
            </w:rPr>
          </w:pPr>
          <w:hyperlink w:anchor="_Toc228392500" w:history="1">
            <w:r w:rsidRPr="009E3D3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_Toc228392500 \h </w:instrText>
            </w:r>
            <w:r>
              <w:rPr>
                <w:noProof/>
                <w:webHidden/>
              </w:rPr>
            </w:r>
            <w:r>
              <w:rPr>
                <w:noProof/>
                <w:webHidden/>
              </w:rPr>
              <w:fldChar w:fldCharType="separate"/>
            </w:r>
            <w:r>
              <w:rPr>
                <w:noProof/>
                <w:webHidden/>
              </w:rPr>
              <w:t>13</w:t>
            </w:r>
            <w:r>
              <w:rPr>
                <w:noProof/>
                <w:webHidden/>
              </w:rPr>
              <w:fldChar w:fldCharType="end"/>
            </w:r>
          </w:hyperlink>
        </w:p>
        <w:p w14:paraId="6A9DA436" w14:textId="15951665" w:rsidR="009155FC" w:rsidRDefault="009155FC">
          <w:pPr>
            <w:pStyle w:val="TOC1"/>
            <w:tabs>
              <w:tab w:val="right" w:leader="dot" w:pos="9018"/>
            </w:tabs>
            <w:rPr>
              <w:rFonts w:asciiTheme="minorHAnsi" w:eastAsiaTheme="minorEastAsia" w:hAnsiTheme="minorHAnsi" w:cstheme="minorBidi"/>
              <w:b w:val="0"/>
              <w:i w:val="0"/>
              <w:noProof/>
              <w:color w:val="auto"/>
            </w:rPr>
          </w:pPr>
          <w:hyperlink w:anchor="_Toc228392501" w:history="1">
            <w:r w:rsidRPr="009E3D3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_Toc228392501 \h </w:instrText>
            </w:r>
            <w:r>
              <w:rPr>
                <w:noProof/>
                <w:webHidden/>
              </w:rPr>
            </w:r>
            <w:r>
              <w:rPr>
                <w:noProof/>
                <w:webHidden/>
              </w:rPr>
              <w:fldChar w:fldCharType="separate"/>
            </w:r>
            <w:r>
              <w:rPr>
                <w:noProof/>
                <w:webHidden/>
              </w:rPr>
              <w:t>14</w:t>
            </w:r>
            <w:r>
              <w:rPr>
                <w:noProof/>
                <w:webHidden/>
              </w:rPr>
              <w:fldChar w:fldCharType="end"/>
            </w:r>
          </w:hyperlink>
        </w:p>
        <w:p w14:paraId="62F7F5DD" w14:textId="3CB19A96" w:rsidR="00025E78" w:rsidRDefault="00000000">
          <w:r>
            <w:fldChar w:fldCharType="end"/>
          </w:r>
        </w:p>
      </w:sdtContent>
    </w:sdt>
    <w:p w14:paraId="5DA005EF" w14:textId="77777777" w:rsidR="00025E78" w:rsidRDefault="00000000">
      <w:pPr>
        <w:spacing w:after="136" w:line="259" w:lineRule="auto"/>
        <w:ind w:left="0" w:firstLine="0"/>
      </w:pPr>
      <w:r>
        <w:rPr>
          <w:rFonts w:ascii="Times New Roman" w:eastAsia="Times New Roman" w:hAnsi="Times New Roman" w:cs="Times New Roman"/>
          <w:sz w:val="24"/>
        </w:rPr>
        <w:t xml:space="preserve"> </w:t>
      </w:r>
    </w:p>
    <w:p w14:paraId="5F109C2E" w14:textId="77777777" w:rsidR="00025E78" w:rsidRDefault="00000000">
      <w:pPr>
        <w:spacing w:after="261" w:line="259" w:lineRule="auto"/>
        <w:ind w:left="0" w:firstLine="0"/>
      </w:pPr>
      <w:r>
        <w:rPr>
          <w:rFonts w:ascii="Times New Roman" w:eastAsia="Times New Roman" w:hAnsi="Times New Roman" w:cs="Times New Roman"/>
        </w:rPr>
        <w:t xml:space="preserve"> </w:t>
      </w:r>
    </w:p>
    <w:p w14:paraId="1B44824E" w14:textId="77777777" w:rsidR="00025E78" w:rsidRDefault="00000000">
      <w:pPr>
        <w:spacing w:after="266" w:line="259" w:lineRule="auto"/>
        <w:ind w:left="0" w:firstLine="0"/>
      </w:pPr>
      <w:r>
        <w:rPr>
          <w:rFonts w:ascii="Times New Roman" w:eastAsia="Times New Roman" w:hAnsi="Times New Roman" w:cs="Times New Roman"/>
        </w:rPr>
        <w:t xml:space="preserve"> </w:t>
      </w:r>
    </w:p>
    <w:p w14:paraId="2E47ABE6" w14:textId="77777777" w:rsidR="00025E78" w:rsidRDefault="00000000">
      <w:pPr>
        <w:spacing w:after="261"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p>
    <w:p w14:paraId="17E70890" w14:textId="77777777" w:rsidR="007E17B1" w:rsidRDefault="007E17B1">
      <w:pPr>
        <w:spacing w:after="261" w:line="259" w:lineRule="auto"/>
        <w:ind w:left="0" w:firstLine="0"/>
        <w:rPr>
          <w:rFonts w:ascii="Times New Roman" w:eastAsia="Times New Roman" w:hAnsi="Times New Roman" w:cs="Times New Roman"/>
        </w:rPr>
      </w:pPr>
    </w:p>
    <w:p w14:paraId="5D67482B" w14:textId="77777777" w:rsidR="007E17B1" w:rsidRDefault="007E17B1">
      <w:pPr>
        <w:spacing w:after="261" w:line="259" w:lineRule="auto"/>
        <w:ind w:left="0" w:firstLine="0"/>
        <w:rPr>
          <w:rFonts w:ascii="Times New Roman" w:eastAsia="Times New Roman" w:hAnsi="Times New Roman" w:cs="Times New Roman"/>
        </w:rPr>
      </w:pPr>
    </w:p>
    <w:p w14:paraId="215C0FAC" w14:textId="77777777" w:rsidR="007E17B1" w:rsidRDefault="007E17B1">
      <w:pPr>
        <w:spacing w:after="261" w:line="259" w:lineRule="auto"/>
        <w:ind w:left="0" w:firstLine="0"/>
      </w:pPr>
    </w:p>
    <w:p w14:paraId="0E9A6DED" w14:textId="77777777" w:rsidR="00025E78" w:rsidRDefault="00000000">
      <w:pPr>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5577C8A1" w14:textId="77777777" w:rsidR="00025E78" w:rsidRDefault="00000000">
      <w:pPr>
        <w:pStyle w:val="Heading1"/>
        <w:numPr>
          <w:ilvl w:val="0"/>
          <w:numId w:val="0"/>
        </w:numPr>
        <w:spacing w:after="113"/>
        <w:ind w:left="-5"/>
      </w:pPr>
      <w:bookmarkStart w:id="1" w:name="_Toc228392477"/>
      <w:r>
        <w:lastRenderedPageBreak/>
        <w:t>1.</w:t>
      </w:r>
      <w:r w:rsidRPr="0021506F">
        <w:rPr>
          <w:rFonts w:ascii="Arial" w:hAnsi="Arial" w:cs="Arial"/>
        </w:rPr>
        <w:t>Abstract</w:t>
      </w:r>
      <w:bookmarkEnd w:id="1"/>
      <w:r w:rsidRPr="0021506F">
        <w:rPr>
          <w:rFonts w:ascii="Arial" w:hAnsi="Arial" w:cs="Arial"/>
        </w:rPr>
        <w:t xml:space="preserve"> </w:t>
      </w:r>
    </w:p>
    <w:p w14:paraId="6F58B6C8" w14:textId="77777777" w:rsidR="00025E78" w:rsidRDefault="00000000">
      <w:pPr>
        <w:ind w:left="-5" w:right="2"/>
      </w:pPr>
      <w:r>
        <w:t xml:space="preserve">This scoping review explores the factors contributing to delayed hospital discharge among older adults within the UK health and social care system. Delayed discharge, often referred to as “bed blocking,” occurs when patients who are medically fit to leave hospital remain due to non-clinical factors, placing pressure on healthcare services and impacting patient outcomes. </w:t>
      </w:r>
    </w:p>
    <w:p w14:paraId="3968FEE2" w14:textId="77777777" w:rsidR="00025E78" w:rsidRDefault="00000000">
      <w:pPr>
        <w:ind w:left="-5" w:right="2"/>
      </w:pPr>
      <w:r>
        <w:t xml:space="preserve">A scoping review methodology was used to identify and analyse relevant UK-based studies. Four studies were included, focusing on the experiences of healthcare professionals, patients and care providers. Data were analysed using a thematic approach to identify key factors influencing delayed discharge. </w:t>
      </w:r>
    </w:p>
    <w:p w14:paraId="0C06F10E" w14:textId="77777777" w:rsidR="00025E78" w:rsidRDefault="00000000">
      <w:pPr>
        <w:ind w:left="-5" w:right="2"/>
      </w:pPr>
      <w:r>
        <w:t xml:space="preserve">The findings highlight that delayed discharge is influenced by a combination of interconnected factors. These include limited social care capacity, organisational and workforce pressures, communication challenges, and difficulties in coordinating care between hospital and community services. These factors contribute to prolonged hospital stays and reflect wider pressures within the health and social care system. </w:t>
      </w:r>
    </w:p>
    <w:p w14:paraId="015A6E79" w14:textId="77777777" w:rsidR="00025E78" w:rsidRDefault="00000000">
      <w:pPr>
        <w:ind w:left="-5" w:right="2"/>
      </w:pPr>
      <w:r>
        <w:t xml:space="preserve">The review demonstrates that delayed discharge is a complex issue requiring a coordinated and integrated approach. Improving collaboration between services, increasing social care capacity and enhancing patient involvement in discharge planning are essential to improving outcomes and supporting timely discharge processes. </w:t>
      </w:r>
    </w:p>
    <w:p w14:paraId="054CB6E8" w14:textId="77777777" w:rsidR="00025E78" w:rsidRDefault="00000000">
      <w:pPr>
        <w:spacing w:after="638" w:line="259" w:lineRule="auto"/>
        <w:ind w:left="0" w:firstLine="0"/>
      </w:pPr>
      <w:r>
        <w:t xml:space="preserve"> </w:t>
      </w:r>
    </w:p>
    <w:p w14:paraId="6B11966E" w14:textId="77777777" w:rsidR="00025E78" w:rsidRPr="0021506F" w:rsidRDefault="00000000">
      <w:pPr>
        <w:pStyle w:val="Heading1"/>
        <w:spacing w:after="113"/>
        <w:ind w:left="370" w:hanging="385"/>
        <w:rPr>
          <w:rFonts w:ascii="Arial" w:hAnsi="Arial" w:cs="Arial"/>
        </w:rPr>
      </w:pPr>
      <w:bookmarkStart w:id="2" w:name="_Toc228392478"/>
      <w:r w:rsidRPr="0021506F">
        <w:rPr>
          <w:rFonts w:ascii="Arial" w:hAnsi="Arial" w:cs="Arial"/>
        </w:rPr>
        <w:t>Introduction</w:t>
      </w:r>
      <w:bookmarkEnd w:id="2"/>
      <w:r w:rsidRPr="0021506F">
        <w:rPr>
          <w:rFonts w:ascii="Arial" w:hAnsi="Arial" w:cs="Arial"/>
        </w:rPr>
        <w:t xml:space="preserve"> </w:t>
      </w:r>
    </w:p>
    <w:p w14:paraId="1CC4EF7D" w14:textId="77777777" w:rsidR="00025E78" w:rsidRDefault="00000000">
      <w:pPr>
        <w:ind w:left="-5" w:right="2"/>
      </w:pPr>
      <w:r>
        <w:t xml:space="preserve">Delayed hospital discharge, commonly referred to as delayed transfer of care, occurs when individuals who are clinically ready to leave hospital remain due to challenges in arranging appropriate support outside the hospital setting. This issue is particularly relevant for older adults, who are more likely to require ongoing health and social care following treatment. As a result, discharge processes for this population are often more complex and dependent on the availability of community-based services. </w:t>
      </w:r>
    </w:p>
    <w:p w14:paraId="4A245152" w14:textId="77777777" w:rsidR="00025E78" w:rsidRDefault="00000000">
      <w:pPr>
        <w:ind w:left="-5" w:right="2"/>
      </w:pPr>
      <w:r>
        <w:t xml:space="preserve">Increasing demand for health and social care services in the UK has placed significant pressure on hospital systems, making timely discharge an ongoing challenge. Delays in discharge can affect hospital efficiency and patient flow, while also impacting patient </w:t>
      </w:r>
      <w:r>
        <w:lastRenderedPageBreak/>
        <w:t xml:space="preserve">wellbeing. Older adults are especially vulnerable to the effects of prolonged hospital stays, including reduced independence and functional decline. Despite ongoing policy focus on improving discharge processes, delays remain a persistent issue, suggesting that multiple underlying factors continue to influence outcomes. </w:t>
      </w:r>
    </w:p>
    <w:p w14:paraId="6E50987E" w14:textId="77777777" w:rsidR="00025E78" w:rsidRDefault="00000000">
      <w:pPr>
        <w:ind w:left="-5" w:right="2"/>
      </w:pPr>
      <w:r>
        <w:t xml:space="preserve">This review aims to explore the factors contributing to delayed hospital discharge among older adults in the UK. Specifically, it seeks to identify key influences on discharge processes, including organisational pressures, social care capacity, communication and coordination between services. By examining these factors, the review aims to provide a clearer understanding of the challenges associated with delayed discharge and to inform future improvements in policy and practice. </w:t>
      </w:r>
    </w:p>
    <w:p w14:paraId="24F71495" w14:textId="77777777" w:rsidR="00025E78" w:rsidRDefault="00000000">
      <w:pPr>
        <w:spacing w:after="638" w:line="259" w:lineRule="auto"/>
        <w:ind w:left="0" w:firstLine="0"/>
      </w:pPr>
      <w:r>
        <w:t xml:space="preserve"> </w:t>
      </w:r>
    </w:p>
    <w:p w14:paraId="35DD66E1" w14:textId="77777777" w:rsidR="00025E78" w:rsidRPr="0021506F" w:rsidRDefault="00000000">
      <w:pPr>
        <w:pStyle w:val="Heading1"/>
        <w:ind w:left="370" w:hanging="385"/>
        <w:rPr>
          <w:rFonts w:ascii="Arial" w:hAnsi="Arial" w:cs="Arial"/>
        </w:rPr>
      </w:pPr>
      <w:bookmarkStart w:id="3" w:name="_Toc228392479"/>
      <w:r w:rsidRPr="0021506F">
        <w:rPr>
          <w:rFonts w:ascii="Arial" w:hAnsi="Arial" w:cs="Arial"/>
        </w:rPr>
        <w:t>Background</w:t>
      </w:r>
      <w:bookmarkEnd w:id="3"/>
      <w:r w:rsidRPr="0021506F">
        <w:rPr>
          <w:rFonts w:ascii="Arial" w:hAnsi="Arial" w:cs="Arial"/>
        </w:rPr>
        <w:t xml:space="preserve"> </w:t>
      </w:r>
    </w:p>
    <w:p w14:paraId="09C09BE9" w14:textId="77777777" w:rsidR="00025E78" w:rsidRDefault="00000000">
      <w:pPr>
        <w:spacing w:after="136" w:line="259" w:lineRule="auto"/>
        <w:ind w:left="0" w:firstLine="0"/>
      </w:pPr>
      <w:r>
        <w:rPr>
          <w:rFonts w:ascii="Times New Roman" w:eastAsia="Times New Roman" w:hAnsi="Times New Roman" w:cs="Times New Roman"/>
          <w:sz w:val="24"/>
        </w:rPr>
        <w:t xml:space="preserve"> </w:t>
      </w:r>
    </w:p>
    <w:p w14:paraId="3D29E8C6" w14:textId="10AA3743" w:rsidR="00025E78" w:rsidRDefault="00000000">
      <w:pPr>
        <w:spacing w:after="156"/>
        <w:ind w:left="-5" w:right="2"/>
      </w:pPr>
      <w:r>
        <w:t>Delayed hospital discharge, often referred to as “bed blocking,” remains a significant issue within the UK health and social care system. It occurs when patients who are medically fit to leave hospital experience delays in discharge due to non-clinical factors, such as the availability of appropriate care and support in the community (Nuffield Trust, 2025). Delayed discharges continue to place considerable pressure on hospital capacity and patient flow across the NHS (The Health Foundation, 2025). This is reflected in high levels of hospital bed occupancy in England, which often exceed recommended safe levels and indicate ongoing strain on NHS resources (Nuffield Trust, 2025). Wider evidence suggests that health and social care services in England are experiencing increasing capacity pressures, driven by rising demand and an ageing population (House of Commons Library, 2024). Previous UK reports have also identified ongoing challenges in discharging older patients efficiently from hospital (National Audit Office, 2016). This is further supported by research highlighting increasing demand on hospital services and the growing complexity of patient needs within an ageing population (Age UK, 202</w:t>
      </w:r>
      <w:r w:rsidR="00053AE5">
        <w:t>5</w:t>
      </w:r>
      <w:r>
        <w:t xml:space="preserve">).  </w:t>
      </w:r>
    </w:p>
    <w:p w14:paraId="0BD3D770" w14:textId="77777777" w:rsidR="00025E78" w:rsidRDefault="00000000">
      <w:pPr>
        <w:ind w:left="-5" w:right="2"/>
      </w:pPr>
      <w:r>
        <w:t xml:space="preserve">National data highlights the scale of the issue. In England, delayed discharges have increased in recent years, with many patients remaining in hospital despite being ready to leave. This has been linked to ongoing pressures within both health and social care services (The King’s Fund, 2025). Delayed discharges have also been shown to contribute to increased demand on hospital beds and reduced system efficiency (The Health Foundation, 2025). </w:t>
      </w:r>
    </w:p>
    <w:p w14:paraId="58FC9F8E" w14:textId="77777777" w:rsidR="00025E78" w:rsidRDefault="00000000">
      <w:pPr>
        <w:spacing w:after="161"/>
        <w:ind w:left="-5" w:right="2"/>
      </w:pPr>
      <w:r>
        <w:lastRenderedPageBreak/>
        <w:t xml:space="preserve">A key factor contributing to delayed discharge is the limited capacity within adult social care services. Reports have also highlighted ongoing workforce shortages within social care as a key factor contributing to delays (Skills for Care, 2023). Evidence indicates that difficulties in accessing community-based services, including homecare and care home placements, continue to play a significant role in discharge delays (Care Quality Commission, 2024). These challenges highlight ongoing issues in ensuring timely transitions from hospital to community care. </w:t>
      </w:r>
    </w:p>
    <w:p w14:paraId="6E81E971" w14:textId="77777777" w:rsidR="00025E78" w:rsidRDefault="00000000">
      <w:pPr>
        <w:spacing w:after="156"/>
        <w:ind w:left="-5" w:right="2"/>
      </w:pPr>
      <w:r>
        <w:t xml:space="preserve">Delayed discharge not only impacts healthcare systems but also affects patient outcomes. Prolonged hospital stays are associated with increased risk of physical decline and reduced independence among older adults (The Health Foundation, 2025). As the UK population continues to age, the demand for both health and social care services is expected to increase, further intensifying the challenges associated with delayed discharge. </w:t>
      </w:r>
    </w:p>
    <w:p w14:paraId="08E5929C" w14:textId="77777777" w:rsidR="00025E78" w:rsidRDefault="00000000">
      <w:pPr>
        <w:spacing w:after="526"/>
        <w:ind w:left="-5" w:right="2"/>
      </w:pPr>
      <w:r>
        <w:t xml:space="preserve">Overall, delayed hospital discharge represents a complex issue influenced by social care capacity, healthcare system pressures and coordination between services. Understanding these factors is essential to improving discharge processes and supporting better outcomes for older adults within the UK health and social care system. </w:t>
      </w:r>
    </w:p>
    <w:p w14:paraId="6A361634" w14:textId="77777777" w:rsidR="00025E78" w:rsidRPr="0021506F" w:rsidRDefault="00000000">
      <w:pPr>
        <w:pStyle w:val="Heading1"/>
        <w:spacing w:after="46"/>
        <w:ind w:left="370" w:hanging="385"/>
        <w:rPr>
          <w:rFonts w:ascii="Arial" w:hAnsi="Arial" w:cs="Arial"/>
        </w:rPr>
      </w:pPr>
      <w:bookmarkStart w:id="4" w:name="_Toc228392480"/>
      <w:r w:rsidRPr="0021506F">
        <w:rPr>
          <w:rFonts w:ascii="Arial" w:hAnsi="Arial" w:cs="Arial"/>
        </w:rPr>
        <w:t>Methods</w:t>
      </w:r>
      <w:bookmarkEnd w:id="4"/>
      <w:r w:rsidRPr="0021506F">
        <w:rPr>
          <w:rFonts w:ascii="Arial" w:hAnsi="Arial" w:cs="Arial"/>
        </w:rPr>
        <w:t xml:space="preserve"> </w:t>
      </w:r>
    </w:p>
    <w:p w14:paraId="37FEB730" w14:textId="77777777" w:rsidR="00025E78" w:rsidRPr="0021506F" w:rsidRDefault="00000000">
      <w:pPr>
        <w:pStyle w:val="Heading2"/>
        <w:spacing w:after="228"/>
        <w:ind w:left="-5"/>
        <w:rPr>
          <w:rFonts w:ascii="Arial" w:hAnsi="Arial" w:cs="Arial"/>
        </w:rPr>
      </w:pPr>
      <w:bookmarkStart w:id="5" w:name="_Toc228392481"/>
      <w:r w:rsidRPr="0021506F">
        <w:rPr>
          <w:rFonts w:ascii="Arial" w:hAnsi="Arial" w:cs="Arial"/>
        </w:rPr>
        <w:t>Data Collection / Search Strategy</w:t>
      </w:r>
      <w:bookmarkEnd w:id="5"/>
      <w:r w:rsidRPr="0021506F">
        <w:rPr>
          <w:rFonts w:ascii="Arial" w:hAnsi="Arial" w:cs="Arial"/>
        </w:rPr>
        <w:t xml:space="preserve"> </w:t>
      </w:r>
    </w:p>
    <w:p w14:paraId="41C66E4D" w14:textId="77777777" w:rsidR="00025E78" w:rsidRDefault="00000000">
      <w:pPr>
        <w:ind w:left="-5" w:right="2"/>
      </w:pPr>
      <w:r>
        <w:t xml:space="preserve">This study adopted a scoping review approach to explore factors contributing to delayed hospital discharge among older adults in the UK. A scoping review was selected as it allows for the identification and mapping of key concepts within a specific research area. Scoping reviews are particularly useful for examining emerging areas of research and identifying gaps within the existing literature (Arksey and O’Malley, 2005). </w:t>
      </w:r>
    </w:p>
    <w:p w14:paraId="74824CD9" w14:textId="77777777" w:rsidR="00025E78" w:rsidRDefault="00000000">
      <w:pPr>
        <w:spacing w:after="105" w:line="259" w:lineRule="auto"/>
        <w:ind w:left="-5" w:right="2"/>
      </w:pPr>
      <w:r>
        <w:t xml:space="preserve">A structured search of electronic databases was conducted, including PubMed, Google </w:t>
      </w:r>
    </w:p>
    <w:p w14:paraId="45CB089C" w14:textId="77777777" w:rsidR="00025E78" w:rsidRDefault="00000000">
      <w:pPr>
        <w:ind w:left="-5" w:right="2"/>
      </w:pPr>
      <w:r>
        <w:t xml:space="preserve">Scholar and university library databases. A range of key search terms were used, including “delayed hospital discharge”, “delayed transfer of care”, “older adults”, “hospital discharge” and “bed blocking”. Boolean operators such as AND </w:t>
      </w:r>
      <w:proofErr w:type="spellStart"/>
      <w:r>
        <w:t>and</w:t>
      </w:r>
      <w:proofErr w:type="spellEnd"/>
      <w:r>
        <w:t xml:space="preserve"> OR were used to refine the search and ensure relevant results. </w:t>
      </w:r>
    </w:p>
    <w:p w14:paraId="1916122E" w14:textId="77777777" w:rsidR="00025E78" w:rsidRDefault="00000000">
      <w:pPr>
        <w:ind w:left="-5" w:right="2"/>
      </w:pPr>
      <w:r>
        <w:t xml:space="preserve">Inclusion criteria were applied to identify appropriate studies. These included studies focused on adults aged 65 years and over, conducted within the UK, and published within the last ten years. Studies not available in English, conducted outside the UK, or not directly related to delayed hospital discharge were excluded. </w:t>
      </w:r>
    </w:p>
    <w:p w14:paraId="7EC42974" w14:textId="77777777" w:rsidR="00025E78" w:rsidRDefault="00000000">
      <w:pPr>
        <w:spacing w:after="329"/>
        <w:ind w:left="-5" w:right="2"/>
      </w:pPr>
      <w:r>
        <w:lastRenderedPageBreak/>
        <w:t xml:space="preserve">Following the application of these criteria, four UK-based studies were selected for inclusion in this review. </w:t>
      </w:r>
    </w:p>
    <w:p w14:paraId="46773091" w14:textId="77777777" w:rsidR="00025E78" w:rsidRPr="007841D3" w:rsidRDefault="00000000">
      <w:pPr>
        <w:pStyle w:val="Heading2"/>
        <w:spacing w:after="228"/>
        <w:ind w:left="-5"/>
        <w:rPr>
          <w:rFonts w:ascii="Arial" w:hAnsi="Arial" w:cs="Arial"/>
        </w:rPr>
      </w:pPr>
      <w:bookmarkStart w:id="6" w:name="_Toc228392482"/>
      <w:r w:rsidRPr="007841D3">
        <w:rPr>
          <w:rFonts w:ascii="Arial" w:hAnsi="Arial" w:cs="Arial"/>
        </w:rPr>
        <w:t>Data Analysis</w:t>
      </w:r>
      <w:bookmarkEnd w:id="6"/>
      <w:r w:rsidRPr="007841D3">
        <w:rPr>
          <w:rFonts w:ascii="Arial" w:hAnsi="Arial" w:cs="Arial"/>
        </w:rPr>
        <w:t xml:space="preserve"> </w:t>
      </w:r>
    </w:p>
    <w:p w14:paraId="658EF407" w14:textId="77777777" w:rsidR="00025E78" w:rsidRDefault="00000000">
      <w:pPr>
        <w:ind w:left="-5" w:right="2"/>
      </w:pPr>
      <w:r>
        <w:t xml:space="preserve">Data from the selected studies were analysed using a thematic approach. Key information from each study was extracted and organised to identify common themes relating to delayed hospital discharge. This process enabled the identification of key factors, including social care capacity, organisational pressures, communication challenges and coordination between services. The thematic analysis involved identifying recurring patterns across the included studies and grouping similar findings into broader categories. This approach allowed for a structured comparison of findings and supported the development of key themes relevant to the research question. </w:t>
      </w:r>
    </w:p>
    <w:p w14:paraId="3834AA14" w14:textId="77777777" w:rsidR="00025E78" w:rsidRDefault="00000000">
      <w:pPr>
        <w:spacing w:after="329"/>
        <w:ind w:left="-5" w:right="2"/>
      </w:pPr>
      <w:r>
        <w:t xml:space="preserve">A data extraction table was used to systematically record relevant information from each study, including the article citation, aim of study, methods, sample size and characteristics and summary of main findings. This process is presented in Table 1. </w:t>
      </w:r>
    </w:p>
    <w:p w14:paraId="576D8C91" w14:textId="77777777" w:rsidR="00025E78" w:rsidRPr="007841D3" w:rsidRDefault="00000000">
      <w:pPr>
        <w:pStyle w:val="Heading2"/>
        <w:spacing w:after="0"/>
        <w:ind w:left="-5"/>
        <w:rPr>
          <w:rFonts w:ascii="Arial" w:hAnsi="Arial" w:cs="Arial"/>
        </w:rPr>
      </w:pPr>
      <w:bookmarkStart w:id="7" w:name="_Toc228392483"/>
      <w:r w:rsidRPr="007841D3">
        <w:rPr>
          <w:rFonts w:ascii="Arial" w:hAnsi="Arial" w:cs="Arial"/>
        </w:rPr>
        <w:t>Table 1: Data Extraction Summary of Included Studies</w:t>
      </w:r>
      <w:bookmarkEnd w:id="7"/>
      <w:r w:rsidRPr="007841D3">
        <w:rPr>
          <w:rFonts w:ascii="Arial" w:hAnsi="Arial" w:cs="Arial"/>
        </w:rPr>
        <w:t xml:space="preserve"> </w:t>
      </w:r>
    </w:p>
    <w:tbl>
      <w:tblPr>
        <w:tblStyle w:val="TableGrid"/>
        <w:tblW w:w="8573" w:type="dxa"/>
        <w:tblInd w:w="5" w:type="dxa"/>
        <w:tblCellMar>
          <w:top w:w="11" w:type="dxa"/>
          <w:left w:w="106" w:type="dxa"/>
          <w:bottom w:w="0" w:type="dxa"/>
          <w:right w:w="0" w:type="dxa"/>
        </w:tblCellMar>
        <w:tblLook w:val="04A0" w:firstRow="1" w:lastRow="0" w:firstColumn="1" w:lastColumn="0" w:noHBand="0" w:noVBand="1"/>
      </w:tblPr>
      <w:tblGrid>
        <w:gridCol w:w="1143"/>
        <w:gridCol w:w="1757"/>
        <w:gridCol w:w="1416"/>
        <w:gridCol w:w="1958"/>
        <w:gridCol w:w="2299"/>
      </w:tblGrid>
      <w:tr w:rsidR="00025E78" w14:paraId="479324A1" w14:textId="77777777" w:rsidTr="00014BF1">
        <w:trPr>
          <w:trHeight w:val="926"/>
        </w:trPr>
        <w:tc>
          <w:tcPr>
            <w:tcW w:w="1143" w:type="dxa"/>
            <w:tcBorders>
              <w:top w:val="single" w:sz="4" w:space="0" w:color="000000"/>
              <w:left w:val="single" w:sz="4" w:space="0" w:color="000000"/>
              <w:bottom w:val="single" w:sz="4" w:space="0" w:color="000000"/>
              <w:right w:val="single" w:sz="4" w:space="0" w:color="000000"/>
            </w:tcBorders>
          </w:tcPr>
          <w:p w14:paraId="20B68592" w14:textId="77777777" w:rsidR="00025E78" w:rsidRDefault="00000000">
            <w:pPr>
              <w:spacing w:after="105" w:line="259" w:lineRule="auto"/>
              <w:ind w:left="5" w:firstLine="0"/>
            </w:pPr>
            <w:r>
              <w:t xml:space="preserve"> Article </w:t>
            </w:r>
          </w:p>
          <w:p w14:paraId="152F054A" w14:textId="77777777" w:rsidR="00025E78" w:rsidRDefault="00000000">
            <w:pPr>
              <w:spacing w:after="0" w:line="259" w:lineRule="auto"/>
              <w:ind w:left="5" w:firstLine="0"/>
            </w:pPr>
            <w:r>
              <w:t xml:space="preserve">Citation  </w:t>
            </w:r>
          </w:p>
        </w:tc>
        <w:tc>
          <w:tcPr>
            <w:tcW w:w="1757" w:type="dxa"/>
            <w:tcBorders>
              <w:top w:val="single" w:sz="4" w:space="0" w:color="000000"/>
              <w:left w:val="single" w:sz="4" w:space="0" w:color="000000"/>
              <w:bottom w:val="single" w:sz="4" w:space="0" w:color="000000"/>
              <w:right w:val="single" w:sz="4" w:space="0" w:color="000000"/>
            </w:tcBorders>
          </w:tcPr>
          <w:p w14:paraId="47EA93CA" w14:textId="77777777" w:rsidR="00025E78" w:rsidRDefault="00000000">
            <w:pPr>
              <w:spacing w:after="0" w:line="259" w:lineRule="auto"/>
              <w:ind w:left="0" w:firstLine="0"/>
            </w:pPr>
            <w:r>
              <w:t xml:space="preserve"> Aim of Study  </w:t>
            </w:r>
          </w:p>
        </w:tc>
        <w:tc>
          <w:tcPr>
            <w:tcW w:w="1416" w:type="dxa"/>
            <w:tcBorders>
              <w:top w:val="single" w:sz="4" w:space="0" w:color="000000"/>
              <w:left w:val="single" w:sz="4" w:space="0" w:color="000000"/>
              <w:bottom w:val="single" w:sz="4" w:space="0" w:color="000000"/>
              <w:right w:val="single" w:sz="4" w:space="0" w:color="000000"/>
            </w:tcBorders>
          </w:tcPr>
          <w:p w14:paraId="0D349729" w14:textId="77777777" w:rsidR="00025E78" w:rsidRDefault="00000000">
            <w:pPr>
              <w:spacing w:after="0" w:line="259" w:lineRule="auto"/>
              <w:ind w:left="5" w:firstLine="0"/>
            </w:pPr>
            <w:r>
              <w:t xml:space="preserve"> Methods  </w:t>
            </w:r>
          </w:p>
        </w:tc>
        <w:tc>
          <w:tcPr>
            <w:tcW w:w="1958" w:type="dxa"/>
            <w:tcBorders>
              <w:top w:val="single" w:sz="4" w:space="0" w:color="000000"/>
              <w:left w:val="single" w:sz="4" w:space="0" w:color="000000"/>
              <w:bottom w:val="single" w:sz="4" w:space="0" w:color="000000"/>
              <w:right w:val="single" w:sz="4" w:space="0" w:color="000000"/>
            </w:tcBorders>
          </w:tcPr>
          <w:p w14:paraId="3597AD27" w14:textId="77777777" w:rsidR="00025E78" w:rsidRDefault="00000000">
            <w:pPr>
              <w:spacing w:after="105" w:line="259" w:lineRule="auto"/>
              <w:ind w:left="0" w:firstLine="0"/>
            </w:pPr>
            <w:r>
              <w:t xml:space="preserve"> Sample Size and </w:t>
            </w:r>
          </w:p>
          <w:p w14:paraId="16DA7FEC" w14:textId="77777777" w:rsidR="00025E78" w:rsidRDefault="00000000">
            <w:pPr>
              <w:spacing w:after="0" w:line="259" w:lineRule="auto"/>
              <w:ind w:left="0" w:firstLine="0"/>
            </w:pPr>
            <w:r>
              <w:t xml:space="preserve">Characteristics  </w:t>
            </w:r>
          </w:p>
        </w:tc>
        <w:tc>
          <w:tcPr>
            <w:tcW w:w="2299" w:type="dxa"/>
            <w:tcBorders>
              <w:top w:val="single" w:sz="4" w:space="0" w:color="000000"/>
              <w:left w:val="single" w:sz="4" w:space="0" w:color="000000"/>
              <w:bottom w:val="single" w:sz="4" w:space="0" w:color="000000"/>
              <w:right w:val="single" w:sz="4" w:space="0" w:color="000000"/>
            </w:tcBorders>
          </w:tcPr>
          <w:p w14:paraId="576A308A" w14:textId="77777777" w:rsidR="00025E78" w:rsidRDefault="00000000">
            <w:pPr>
              <w:spacing w:after="105" w:line="259" w:lineRule="auto"/>
              <w:ind w:left="5" w:firstLine="0"/>
            </w:pPr>
            <w:r>
              <w:t xml:space="preserve"> Summary of Main </w:t>
            </w:r>
          </w:p>
          <w:p w14:paraId="1FD4F3A1" w14:textId="77777777" w:rsidR="00025E78" w:rsidRDefault="00000000">
            <w:pPr>
              <w:spacing w:after="0" w:line="259" w:lineRule="auto"/>
              <w:ind w:left="5" w:firstLine="0"/>
            </w:pPr>
            <w:r>
              <w:t xml:space="preserve">Findings  </w:t>
            </w:r>
          </w:p>
        </w:tc>
      </w:tr>
      <w:tr w:rsidR="00025E78" w14:paraId="1FFDEDB0" w14:textId="77777777" w:rsidTr="00014BF1">
        <w:trPr>
          <w:trHeight w:val="3206"/>
        </w:trPr>
        <w:tc>
          <w:tcPr>
            <w:tcW w:w="1143" w:type="dxa"/>
            <w:tcBorders>
              <w:top w:val="single" w:sz="4" w:space="0" w:color="000000"/>
              <w:left w:val="single" w:sz="4" w:space="0" w:color="000000"/>
              <w:bottom w:val="single" w:sz="4" w:space="0" w:color="000000"/>
              <w:right w:val="single" w:sz="4" w:space="0" w:color="000000"/>
            </w:tcBorders>
          </w:tcPr>
          <w:p w14:paraId="72F116B7" w14:textId="77777777" w:rsidR="00025E78" w:rsidRDefault="00000000">
            <w:pPr>
              <w:spacing w:after="105" w:line="259" w:lineRule="auto"/>
              <w:ind w:left="5" w:firstLine="0"/>
            </w:pPr>
            <w:r>
              <w:t xml:space="preserve"> Heenan, </w:t>
            </w:r>
          </w:p>
          <w:p w14:paraId="26016FB4" w14:textId="77777777" w:rsidR="00025E78" w:rsidRDefault="00000000">
            <w:pPr>
              <w:spacing w:after="0" w:line="259" w:lineRule="auto"/>
              <w:ind w:left="5" w:firstLine="0"/>
            </w:pPr>
            <w:r>
              <w:t xml:space="preserve">D. (2021)  </w:t>
            </w:r>
          </w:p>
        </w:tc>
        <w:tc>
          <w:tcPr>
            <w:tcW w:w="1757" w:type="dxa"/>
            <w:tcBorders>
              <w:top w:val="single" w:sz="4" w:space="0" w:color="000000"/>
              <w:left w:val="single" w:sz="4" w:space="0" w:color="000000"/>
              <w:bottom w:val="single" w:sz="4" w:space="0" w:color="000000"/>
              <w:right w:val="single" w:sz="4" w:space="0" w:color="000000"/>
            </w:tcBorders>
          </w:tcPr>
          <w:p w14:paraId="20272495" w14:textId="77777777" w:rsidR="00025E78" w:rsidRDefault="00000000">
            <w:pPr>
              <w:spacing w:after="0" w:line="259" w:lineRule="auto"/>
              <w:ind w:left="0" w:firstLine="0"/>
            </w:pPr>
            <w:r>
              <w:t xml:space="preserve"> To explore the challenges faced by hospital social workers in discharge planning for older adults  </w:t>
            </w:r>
          </w:p>
        </w:tc>
        <w:tc>
          <w:tcPr>
            <w:tcW w:w="1416" w:type="dxa"/>
            <w:tcBorders>
              <w:top w:val="single" w:sz="4" w:space="0" w:color="000000"/>
              <w:left w:val="single" w:sz="4" w:space="0" w:color="000000"/>
              <w:bottom w:val="single" w:sz="4" w:space="0" w:color="000000"/>
              <w:right w:val="single" w:sz="4" w:space="0" w:color="000000"/>
            </w:tcBorders>
          </w:tcPr>
          <w:p w14:paraId="18B339F4" w14:textId="77777777" w:rsidR="00025E78" w:rsidRDefault="00000000">
            <w:pPr>
              <w:spacing w:after="0" w:line="259" w:lineRule="auto"/>
              <w:ind w:left="5" w:firstLine="0"/>
            </w:pPr>
            <w:r>
              <w:t xml:space="preserve"> Qualitative interviews  </w:t>
            </w:r>
          </w:p>
        </w:tc>
        <w:tc>
          <w:tcPr>
            <w:tcW w:w="1958" w:type="dxa"/>
            <w:tcBorders>
              <w:top w:val="single" w:sz="4" w:space="0" w:color="000000"/>
              <w:left w:val="single" w:sz="4" w:space="0" w:color="000000"/>
              <w:bottom w:val="single" w:sz="4" w:space="0" w:color="000000"/>
              <w:right w:val="single" w:sz="4" w:space="0" w:color="000000"/>
            </w:tcBorders>
          </w:tcPr>
          <w:p w14:paraId="2EC3069B" w14:textId="77777777" w:rsidR="00025E78" w:rsidRDefault="00000000">
            <w:pPr>
              <w:spacing w:after="0" w:line="358" w:lineRule="auto"/>
              <w:ind w:left="0" w:right="42" w:firstLine="0"/>
            </w:pPr>
            <w:r>
              <w:t xml:space="preserve"> Social workers working within hospital settings in Northern </w:t>
            </w:r>
          </w:p>
          <w:p w14:paraId="0AE12E4C" w14:textId="77777777" w:rsidR="00025E78" w:rsidRDefault="00000000">
            <w:pPr>
              <w:spacing w:after="0" w:line="259" w:lineRule="auto"/>
              <w:ind w:left="0" w:firstLine="0"/>
            </w:pPr>
            <w:r>
              <w:t xml:space="preserve">Ireland  </w:t>
            </w:r>
          </w:p>
        </w:tc>
        <w:tc>
          <w:tcPr>
            <w:tcW w:w="2299" w:type="dxa"/>
            <w:tcBorders>
              <w:top w:val="single" w:sz="4" w:space="0" w:color="000000"/>
              <w:left w:val="single" w:sz="4" w:space="0" w:color="000000"/>
              <w:bottom w:val="single" w:sz="4" w:space="0" w:color="000000"/>
              <w:right w:val="single" w:sz="4" w:space="0" w:color="000000"/>
            </w:tcBorders>
          </w:tcPr>
          <w:p w14:paraId="7BB9BFBF" w14:textId="77777777" w:rsidR="00025E78" w:rsidRDefault="00000000">
            <w:pPr>
              <w:spacing w:after="0" w:line="259" w:lineRule="auto"/>
              <w:ind w:left="5" w:right="72" w:firstLine="0"/>
            </w:pPr>
            <w:r>
              <w:t xml:space="preserve"> Organisational pressures, focus on discharge targets and limited time for patient-centred support impact discharge planning  </w:t>
            </w:r>
          </w:p>
        </w:tc>
      </w:tr>
      <w:tr w:rsidR="00025E78" w14:paraId="0900671F" w14:textId="77777777" w:rsidTr="00014BF1">
        <w:trPr>
          <w:trHeight w:val="2827"/>
        </w:trPr>
        <w:tc>
          <w:tcPr>
            <w:tcW w:w="1143" w:type="dxa"/>
            <w:tcBorders>
              <w:top w:val="single" w:sz="4" w:space="0" w:color="000000"/>
              <w:left w:val="single" w:sz="4" w:space="0" w:color="000000"/>
              <w:bottom w:val="single" w:sz="4" w:space="0" w:color="000000"/>
              <w:right w:val="single" w:sz="4" w:space="0" w:color="000000"/>
            </w:tcBorders>
          </w:tcPr>
          <w:p w14:paraId="6B94309B" w14:textId="77777777" w:rsidR="00025E78" w:rsidRDefault="00000000">
            <w:pPr>
              <w:spacing w:after="0" w:line="358" w:lineRule="auto"/>
              <w:ind w:left="5" w:firstLine="0"/>
            </w:pPr>
            <w:r>
              <w:t xml:space="preserve"> Gridley, K. et al. </w:t>
            </w:r>
          </w:p>
          <w:p w14:paraId="2F19A8F0" w14:textId="77777777" w:rsidR="00025E78" w:rsidRDefault="00000000">
            <w:pPr>
              <w:spacing w:after="0" w:line="259" w:lineRule="auto"/>
              <w:ind w:left="5" w:firstLine="0"/>
            </w:pPr>
            <w:r>
              <w:t xml:space="preserve">(2022)  </w:t>
            </w:r>
          </w:p>
        </w:tc>
        <w:tc>
          <w:tcPr>
            <w:tcW w:w="1757" w:type="dxa"/>
            <w:tcBorders>
              <w:top w:val="single" w:sz="4" w:space="0" w:color="000000"/>
              <w:left w:val="single" w:sz="4" w:space="0" w:color="000000"/>
              <w:bottom w:val="single" w:sz="4" w:space="0" w:color="000000"/>
              <w:right w:val="single" w:sz="4" w:space="0" w:color="000000"/>
            </w:tcBorders>
          </w:tcPr>
          <w:p w14:paraId="0672D7FB" w14:textId="6C4792F0" w:rsidR="00025E78" w:rsidRDefault="00000000">
            <w:pPr>
              <w:spacing w:after="0" w:line="259" w:lineRule="auto"/>
              <w:ind w:left="0" w:right="61" w:firstLine="0"/>
            </w:pPr>
            <w:r>
              <w:t xml:space="preserve"> To investigate the social care factors contributing to delayed hospital discharge </w:t>
            </w:r>
            <w:r w:rsidR="00014BF1">
              <w:t>among older adults</w:t>
            </w:r>
          </w:p>
        </w:tc>
        <w:tc>
          <w:tcPr>
            <w:tcW w:w="1416" w:type="dxa"/>
            <w:tcBorders>
              <w:top w:val="single" w:sz="4" w:space="0" w:color="000000"/>
              <w:left w:val="single" w:sz="4" w:space="0" w:color="000000"/>
              <w:bottom w:val="single" w:sz="4" w:space="0" w:color="000000"/>
              <w:right w:val="single" w:sz="4" w:space="0" w:color="000000"/>
            </w:tcBorders>
          </w:tcPr>
          <w:p w14:paraId="7ED47506" w14:textId="77777777" w:rsidR="00025E78" w:rsidRDefault="00000000">
            <w:pPr>
              <w:spacing w:after="0" w:line="259" w:lineRule="auto"/>
              <w:ind w:left="5" w:firstLine="0"/>
            </w:pPr>
            <w:r>
              <w:t xml:space="preserve"> Qualitative interviews  </w:t>
            </w:r>
          </w:p>
        </w:tc>
        <w:tc>
          <w:tcPr>
            <w:tcW w:w="1958" w:type="dxa"/>
            <w:tcBorders>
              <w:top w:val="single" w:sz="4" w:space="0" w:color="000000"/>
              <w:left w:val="single" w:sz="4" w:space="0" w:color="000000"/>
              <w:bottom w:val="single" w:sz="4" w:space="0" w:color="000000"/>
              <w:right w:val="single" w:sz="4" w:space="0" w:color="000000"/>
            </w:tcBorders>
          </w:tcPr>
          <w:p w14:paraId="379A53E7" w14:textId="77777777" w:rsidR="00025E78" w:rsidRDefault="00000000">
            <w:pPr>
              <w:spacing w:after="0" w:line="259" w:lineRule="auto"/>
              <w:ind w:left="0" w:right="103" w:firstLine="0"/>
            </w:pPr>
            <w:r>
              <w:t xml:space="preserve"> Health and social care professionals involved in discharge planning in England  </w:t>
            </w:r>
          </w:p>
        </w:tc>
        <w:tc>
          <w:tcPr>
            <w:tcW w:w="2299" w:type="dxa"/>
            <w:tcBorders>
              <w:top w:val="single" w:sz="4" w:space="0" w:color="000000"/>
              <w:left w:val="single" w:sz="4" w:space="0" w:color="000000"/>
              <w:bottom w:val="single" w:sz="4" w:space="0" w:color="000000"/>
              <w:right w:val="single" w:sz="4" w:space="0" w:color="000000"/>
            </w:tcBorders>
          </w:tcPr>
          <w:p w14:paraId="36918DF9" w14:textId="77777777" w:rsidR="00025E78" w:rsidRDefault="00000000">
            <w:pPr>
              <w:spacing w:after="0" w:line="259" w:lineRule="auto"/>
              <w:ind w:left="5" w:firstLine="0"/>
            </w:pPr>
            <w:r>
              <w:t xml:space="preserve"> Limited social care provision, workforce shortages and mismatches between patient needs and available services contribute to delays  </w:t>
            </w:r>
          </w:p>
        </w:tc>
      </w:tr>
      <w:tr w:rsidR="00025E78" w14:paraId="6D69251D" w14:textId="77777777" w:rsidTr="00014BF1">
        <w:trPr>
          <w:trHeight w:val="3581"/>
        </w:trPr>
        <w:tc>
          <w:tcPr>
            <w:tcW w:w="1143" w:type="dxa"/>
            <w:tcBorders>
              <w:top w:val="single" w:sz="4" w:space="0" w:color="000000"/>
              <w:left w:val="single" w:sz="4" w:space="0" w:color="000000"/>
              <w:bottom w:val="single" w:sz="4" w:space="0" w:color="000000"/>
              <w:right w:val="single" w:sz="4" w:space="0" w:color="000000"/>
            </w:tcBorders>
          </w:tcPr>
          <w:p w14:paraId="7BBC39B7" w14:textId="77777777" w:rsidR="00025E78" w:rsidRDefault="00000000">
            <w:pPr>
              <w:spacing w:after="105" w:line="259" w:lineRule="auto"/>
              <w:ind w:left="5" w:firstLine="0"/>
            </w:pPr>
            <w:r>
              <w:lastRenderedPageBreak/>
              <w:t xml:space="preserve"> Smith, </w:t>
            </w:r>
          </w:p>
          <w:p w14:paraId="7EFF1EE8" w14:textId="77777777" w:rsidR="00025E78" w:rsidRDefault="00000000">
            <w:pPr>
              <w:spacing w:after="105" w:line="259" w:lineRule="auto"/>
              <w:ind w:left="5" w:firstLine="0"/>
            </w:pPr>
            <w:r>
              <w:t xml:space="preserve">H. et al. </w:t>
            </w:r>
          </w:p>
          <w:p w14:paraId="1C51AD09" w14:textId="77777777" w:rsidR="00025E78" w:rsidRDefault="00000000">
            <w:pPr>
              <w:spacing w:after="0" w:line="259" w:lineRule="auto"/>
              <w:ind w:left="5" w:firstLine="0"/>
            </w:pPr>
            <w:r>
              <w:t xml:space="preserve">(2022)  </w:t>
            </w:r>
          </w:p>
        </w:tc>
        <w:tc>
          <w:tcPr>
            <w:tcW w:w="1757" w:type="dxa"/>
            <w:tcBorders>
              <w:top w:val="single" w:sz="4" w:space="0" w:color="000000"/>
              <w:left w:val="single" w:sz="4" w:space="0" w:color="000000"/>
              <w:bottom w:val="single" w:sz="4" w:space="0" w:color="000000"/>
              <w:right w:val="single" w:sz="4" w:space="0" w:color="000000"/>
            </w:tcBorders>
          </w:tcPr>
          <w:p w14:paraId="0467E467" w14:textId="77777777" w:rsidR="00025E78" w:rsidRDefault="00000000">
            <w:pPr>
              <w:spacing w:after="0" w:line="259" w:lineRule="auto"/>
              <w:ind w:left="0" w:firstLine="0"/>
            </w:pPr>
            <w:r>
              <w:t xml:space="preserve"> To explore patient and caregiver experiences of hospital discharge  </w:t>
            </w:r>
          </w:p>
        </w:tc>
        <w:tc>
          <w:tcPr>
            <w:tcW w:w="1416" w:type="dxa"/>
            <w:tcBorders>
              <w:top w:val="single" w:sz="4" w:space="0" w:color="000000"/>
              <w:left w:val="single" w:sz="4" w:space="0" w:color="000000"/>
              <w:bottom w:val="single" w:sz="4" w:space="0" w:color="000000"/>
              <w:right w:val="single" w:sz="4" w:space="0" w:color="000000"/>
            </w:tcBorders>
          </w:tcPr>
          <w:p w14:paraId="20B1E463" w14:textId="77777777" w:rsidR="00025E78" w:rsidRDefault="00000000">
            <w:pPr>
              <w:spacing w:after="0" w:line="358" w:lineRule="auto"/>
              <w:ind w:left="5" w:firstLine="0"/>
            </w:pPr>
            <w:r>
              <w:t xml:space="preserve"> Qualitative study </w:t>
            </w:r>
          </w:p>
          <w:p w14:paraId="639380CE" w14:textId="77777777" w:rsidR="00025E78" w:rsidRDefault="00000000">
            <w:pPr>
              <w:spacing w:after="0" w:line="259" w:lineRule="auto"/>
              <w:ind w:left="5" w:firstLine="0"/>
            </w:pPr>
            <w:r>
              <w:t xml:space="preserve">(interviews)  </w:t>
            </w:r>
          </w:p>
        </w:tc>
        <w:tc>
          <w:tcPr>
            <w:tcW w:w="1958" w:type="dxa"/>
            <w:tcBorders>
              <w:top w:val="single" w:sz="4" w:space="0" w:color="000000"/>
              <w:left w:val="single" w:sz="4" w:space="0" w:color="000000"/>
              <w:bottom w:val="single" w:sz="4" w:space="0" w:color="000000"/>
              <w:right w:val="single" w:sz="4" w:space="0" w:color="000000"/>
            </w:tcBorders>
          </w:tcPr>
          <w:p w14:paraId="2CC14CAF" w14:textId="77777777" w:rsidR="00025E78" w:rsidRDefault="00000000">
            <w:pPr>
              <w:spacing w:after="0" w:line="358" w:lineRule="auto"/>
              <w:ind w:left="0" w:firstLine="0"/>
            </w:pPr>
            <w:r>
              <w:t xml:space="preserve"> Older patients and their caregivers in the </w:t>
            </w:r>
          </w:p>
          <w:p w14:paraId="0EA793FE" w14:textId="77777777" w:rsidR="00025E78" w:rsidRDefault="00000000">
            <w:pPr>
              <w:spacing w:after="0" w:line="259" w:lineRule="auto"/>
              <w:ind w:left="0" w:firstLine="0"/>
            </w:pPr>
            <w:r>
              <w:t xml:space="preserve">UK  </w:t>
            </w:r>
          </w:p>
        </w:tc>
        <w:tc>
          <w:tcPr>
            <w:tcW w:w="2299" w:type="dxa"/>
            <w:tcBorders>
              <w:top w:val="single" w:sz="4" w:space="0" w:color="000000"/>
              <w:left w:val="single" w:sz="4" w:space="0" w:color="000000"/>
              <w:bottom w:val="single" w:sz="4" w:space="0" w:color="000000"/>
              <w:right w:val="single" w:sz="4" w:space="0" w:color="000000"/>
            </w:tcBorders>
          </w:tcPr>
          <w:p w14:paraId="4DE53683" w14:textId="77777777" w:rsidR="00025E78" w:rsidRDefault="00000000">
            <w:pPr>
              <w:spacing w:after="0" w:line="259" w:lineRule="auto"/>
              <w:ind w:left="5" w:right="43" w:firstLine="0"/>
            </w:pPr>
            <w:r>
              <w:t xml:space="preserve"> Poor communication, lack of preparation and limited involvement in decision-making lead to confusion and negatively impact discharge experiences  </w:t>
            </w:r>
          </w:p>
        </w:tc>
      </w:tr>
      <w:tr w:rsidR="00025E78" w14:paraId="231F47DD" w14:textId="77777777" w:rsidTr="00014BF1">
        <w:trPr>
          <w:trHeight w:val="3206"/>
        </w:trPr>
        <w:tc>
          <w:tcPr>
            <w:tcW w:w="1143" w:type="dxa"/>
            <w:tcBorders>
              <w:top w:val="single" w:sz="4" w:space="0" w:color="000000"/>
              <w:left w:val="single" w:sz="4" w:space="0" w:color="000000"/>
              <w:bottom w:val="single" w:sz="4" w:space="0" w:color="000000"/>
              <w:right w:val="single" w:sz="4" w:space="0" w:color="000000"/>
            </w:tcBorders>
          </w:tcPr>
          <w:p w14:paraId="75C1CE74" w14:textId="77777777" w:rsidR="00025E78" w:rsidRDefault="00000000">
            <w:pPr>
              <w:spacing w:after="0" w:line="358" w:lineRule="auto"/>
              <w:ind w:left="5" w:firstLine="0"/>
            </w:pPr>
            <w:r>
              <w:t xml:space="preserve"> Naick, M. and </w:t>
            </w:r>
          </w:p>
          <w:p w14:paraId="271A4130" w14:textId="77777777" w:rsidR="00025E78" w:rsidRDefault="00000000">
            <w:pPr>
              <w:spacing w:after="105" w:line="259" w:lineRule="auto"/>
              <w:ind w:left="5" w:firstLine="0"/>
            </w:pPr>
            <w:r>
              <w:t xml:space="preserve">Jones, K. </w:t>
            </w:r>
          </w:p>
          <w:p w14:paraId="35438A75" w14:textId="77777777" w:rsidR="00025E78" w:rsidRDefault="00000000">
            <w:pPr>
              <w:spacing w:after="0" w:line="259" w:lineRule="auto"/>
              <w:ind w:left="5" w:firstLine="0"/>
            </w:pPr>
            <w:r>
              <w:t xml:space="preserve">(2025)  </w:t>
            </w:r>
          </w:p>
        </w:tc>
        <w:tc>
          <w:tcPr>
            <w:tcW w:w="1757" w:type="dxa"/>
            <w:tcBorders>
              <w:top w:val="single" w:sz="4" w:space="0" w:color="000000"/>
              <w:left w:val="single" w:sz="4" w:space="0" w:color="000000"/>
              <w:bottom w:val="single" w:sz="4" w:space="0" w:color="000000"/>
              <w:right w:val="single" w:sz="4" w:space="0" w:color="000000"/>
            </w:tcBorders>
          </w:tcPr>
          <w:p w14:paraId="7B2370EF" w14:textId="77777777" w:rsidR="00025E78" w:rsidRDefault="00000000">
            <w:pPr>
              <w:spacing w:after="0" w:line="259" w:lineRule="auto"/>
              <w:ind w:left="0" w:firstLine="0"/>
            </w:pPr>
            <w:r>
              <w:t xml:space="preserve"> To examine discharge pathways and the availability of short-term care beds for older patients  </w:t>
            </w:r>
          </w:p>
        </w:tc>
        <w:tc>
          <w:tcPr>
            <w:tcW w:w="1416" w:type="dxa"/>
            <w:tcBorders>
              <w:top w:val="single" w:sz="4" w:space="0" w:color="000000"/>
              <w:left w:val="single" w:sz="4" w:space="0" w:color="000000"/>
              <w:bottom w:val="single" w:sz="4" w:space="0" w:color="000000"/>
              <w:right w:val="single" w:sz="4" w:space="0" w:color="000000"/>
            </w:tcBorders>
          </w:tcPr>
          <w:p w14:paraId="19B07723" w14:textId="77777777" w:rsidR="00025E78" w:rsidRDefault="00000000">
            <w:pPr>
              <w:spacing w:after="0" w:line="259" w:lineRule="auto"/>
              <w:ind w:left="5" w:firstLine="0"/>
            </w:pPr>
            <w:r>
              <w:t xml:space="preserve"> Qualitative interviews  </w:t>
            </w:r>
          </w:p>
        </w:tc>
        <w:tc>
          <w:tcPr>
            <w:tcW w:w="1958" w:type="dxa"/>
            <w:tcBorders>
              <w:top w:val="single" w:sz="4" w:space="0" w:color="000000"/>
              <w:left w:val="single" w:sz="4" w:space="0" w:color="000000"/>
              <w:bottom w:val="single" w:sz="4" w:space="0" w:color="000000"/>
              <w:right w:val="single" w:sz="4" w:space="0" w:color="000000"/>
            </w:tcBorders>
          </w:tcPr>
          <w:p w14:paraId="21D74C5D" w14:textId="77777777" w:rsidR="00025E78" w:rsidRDefault="00000000">
            <w:pPr>
              <w:spacing w:after="0" w:line="259" w:lineRule="auto"/>
              <w:ind w:left="0" w:firstLine="0"/>
            </w:pPr>
            <w:r>
              <w:t xml:space="preserve"> Healthcare professionals and stakeholders involved in discharge planning in England  </w:t>
            </w:r>
          </w:p>
        </w:tc>
        <w:tc>
          <w:tcPr>
            <w:tcW w:w="2299" w:type="dxa"/>
            <w:tcBorders>
              <w:top w:val="single" w:sz="4" w:space="0" w:color="000000"/>
              <w:left w:val="single" w:sz="4" w:space="0" w:color="000000"/>
              <w:bottom w:val="single" w:sz="4" w:space="0" w:color="000000"/>
              <w:right w:val="single" w:sz="4" w:space="0" w:color="000000"/>
            </w:tcBorders>
          </w:tcPr>
          <w:p w14:paraId="5B994CAC" w14:textId="77777777" w:rsidR="00025E78" w:rsidRDefault="00000000">
            <w:pPr>
              <w:spacing w:after="0" w:line="259" w:lineRule="auto"/>
              <w:ind w:left="5" w:right="19" w:firstLine="0"/>
            </w:pPr>
            <w:r>
              <w:t xml:space="preserve"> Shortage of care beds, delays in arranging placements and coordination issues between services contribute to delayed discharge  </w:t>
            </w:r>
          </w:p>
        </w:tc>
      </w:tr>
    </w:tbl>
    <w:p w14:paraId="4649FD2B" w14:textId="77777777" w:rsidR="007841D3" w:rsidRDefault="007841D3">
      <w:pPr>
        <w:pStyle w:val="Heading2"/>
        <w:spacing w:after="232"/>
        <w:ind w:left="-5"/>
      </w:pPr>
    </w:p>
    <w:p w14:paraId="0214B9E9" w14:textId="7CC5AB4F" w:rsidR="00025E78" w:rsidRPr="00671D21" w:rsidRDefault="00000000">
      <w:pPr>
        <w:pStyle w:val="Heading2"/>
        <w:spacing w:after="232"/>
        <w:ind w:left="-5"/>
        <w:rPr>
          <w:rFonts w:ascii="Arial" w:hAnsi="Arial" w:cs="Arial"/>
        </w:rPr>
      </w:pPr>
      <w:bookmarkStart w:id="8" w:name="_Toc228392484"/>
      <w:r w:rsidRPr="00671D21">
        <w:rPr>
          <w:rFonts w:ascii="Arial" w:hAnsi="Arial" w:cs="Arial"/>
        </w:rPr>
        <w:t>Ethical Considerations</w:t>
      </w:r>
      <w:bookmarkEnd w:id="8"/>
      <w:r w:rsidRPr="00671D21">
        <w:rPr>
          <w:rFonts w:ascii="Arial" w:hAnsi="Arial" w:cs="Arial"/>
        </w:rPr>
        <w:t xml:space="preserve"> </w:t>
      </w:r>
    </w:p>
    <w:p w14:paraId="702CE434" w14:textId="77777777" w:rsidR="00025E78" w:rsidRDefault="00000000">
      <w:pPr>
        <w:spacing w:after="0"/>
        <w:ind w:left="-5" w:right="2"/>
      </w:pPr>
      <w:r>
        <w:t xml:space="preserve">As this study involved a review of existing literature, ethical approval was not required. However, ethical considerations were maintained by ensuring that all sources were accurately referenced and that the work of other authors was appropriately acknowledged. </w:t>
      </w:r>
    </w:p>
    <w:p w14:paraId="053B8074" w14:textId="77777777" w:rsidR="00025E78" w:rsidRDefault="00000000">
      <w:pPr>
        <w:spacing w:after="383" w:line="259" w:lineRule="auto"/>
        <w:ind w:left="-5" w:right="2"/>
      </w:pPr>
      <w:r>
        <w:t xml:space="preserve">Care was taken to present findings in a transparent and unbiased manner. </w:t>
      </w:r>
    </w:p>
    <w:p w14:paraId="56BB9936" w14:textId="77777777" w:rsidR="00025E78" w:rsidRDefault="00000000">
      <w:pPr>
        <w:spacing w:after="263" w:line="259" w:lineRule="auto"/>
        <w:ind w:left="0" w:firstLine="0"/>
      </w:pPr>
      <w:r>
        <w:t xml:space="preserve"> </w:t>
      </w:r>
    </w:p>
    <w:p w14:paraId="75F199DC" w14:textId="77777777" w:rsidR="00025E78" w:rsidRDefault="00000000">
      <w:pPr>
        <w:spacing w:after="0" w:line="450" w:lineRule="auto"/>
        <w:ind w:left="0" w:right="8951" w:firstLine="0"/>
      </w:pPr>
      <w:r>
        <w:t xml:space="preserve"> </w:t>
      </w:r>
      <w:r>
        <w:rPr>
          <w:rFonts w:ascii="Aptos Display" w:eastAsia="Aptos Display" w:hAnsi="Aptos Display" w:cs="Aptos Display"/>
          <w:color w:val="0F4761"/>
          <w:sz w:val="40"/>
        </w:rPr>
        <w:t xml:space="preserve"> </w:t>
      </w:r>
    </w:p>
    <w:p w14:paraId="50A886AE" w14:textId="77777777" w:rsidR="00025E78" w:rsidRDefault="00000000">
      <w:pPr>
        <w:spacing w:after="156" w:line="259" w:lineRule="auto"/>
        <w:ind w:left="0" w:firstLine="0"/>
      </w:pPr>
      <w:r>
        <w:rPr>
          <w:rFonts w:ascii="Times New Roman" w:eastAsia="Times New Roman" w:hAnsi="Times New Roman" w:cs="Times New Roman"/>
          <w:sz w:val="24"/>
        </w:rPr>
        <w:t xml:space="preserve"> </w:t>
      </w:r>
    </w:p>
    <w:p w14:paraId="6C43A17E" w14:textId="77777777" w:rsidR="00025E78" w:rsidRDefault="00000000">
      <w:pPr>
        <w:spacing w:after="160" w:line="259" w:lineRule="auto"/>
        <w:ind w:left="0" w:firstLine="0"/>
      </w:pPr>
      <w:r>
        <w:rPr>
          <w:rFonts w:ascii="Times New Roman" w:eastAsia="Times New Roman" w:hAnsi="Times New Roman" w:cs="Times New Roman"/>
          <w:sz w:val="24"/>
        </w:rPr>
        <w:t xml:space="preserve"> </w:t>
      </w:r>
    </w:p>
    <w:p w14:paraId="79974845" w14:textId="77777777" w:rsidR="00025E78" w:rsidRDefault="00000000">
      <w:pPr>
        <w:spacing w:after="0" w:line="259" w:lineRule="auto"/>
        <w:ind w:left="0" w:firstLine="0"/>
      </w:pPr>
      <w:r>
        <w:rPr>
          <w:rFonts w:ascii="Times New Roman" w:eastAsia="Times New Roman" w:hAnsi="Times New Roman" w:cs="Times New Roman"/>
          <w:sz w:val="24"/>
        </w:rPr>
        <w:t xml:space="preserve"> </w:t>
      </w:r>
    </w:p>
    <w:p w14:paraId="3BBC75AE" w14:textId="77777777" w:rsidR="00025E78" w:rsidRDefault="00000000">
      <w:pPr>
        <w:spacing w:after="0" w:line="259" w:lineRule="auto"/>
        <w:ind w:left="0" w:firstLine="0"/>
      </w:pPr>
      <w:r>
        <w:rPr>
          <w:rFonts w:ascii="Aptos Display" w:eastAsia="Aptos Display" w:hAnsi="Aptos Display" w:cs="Aptos Display"/>
          <w:color w:val="0F4761"/>
          <w:sz w:val="40"/>
        </w:rPr>
        <w:t xml:space="preserve"> </w:t>
      </w:r>
    </w:p>
    <w:p w14:paraId="47FB5C5E" w14:textId="77777777" w:rsidR="00025E78" w:rsidRDefault="00000000">
      <w:pPr>
        <w:spacing w:after="160" w:line="259" w:lineRule="auto"/>
        <w:ind w:left="0" w:firstLine="0"/>
      </w:pPr>
      <w:r>
        <w:rPr>
          <w:rFonts w:ascii="Times New Roman" w:eastAsia="Times New Roman" w:hAnsi="Times New Roman" w:cs="Times New Roman"/>
          <w:sz w:val="24"/>
        </w:rPr>
        <w:t xml:space="preserve"> </w:t>
      </w:r>
    </w:p>
    <w:p w14:paraId="111358EB" w14:textId="77777777" w:rsidR="00025E78" w:rsidRDefault="00000000">
      <w:pPr>
        <w:spacing w:after="506" w:line="259" w:lineRule="auto"/>
        <w:ind w:left="0" w:firstLine="0"/>
      </w:pPr>
      <w:r>
        <w:rPr>
          <w:rFonts w:ascii="Times New Roman" w:eastAsia="Times New Roman" w:hAnsi="Times New Roman" w:cs="Times New Roman"/>
          <w:sz w:val="24"/>
        </w:rPr>
        <w:t xml:space="preserve"> </w:t>
      </w:r>
    </w:p>
    <w:p w14:paraId="2E46EFE3" w14:textId="77777777" w:rsidR="00025E78" w:rsidRPr="00671D21" w:rsidRDefault="00000000">
      <w:pPr>
        <w:pStyle w:val="Heading1"/>
        <w:ind w:left="370" w:hanging="385"/>
        <w:rPr>
          <w:rFonts w:ascii="Arial" w:hAnsi="Arial" w:cs="Arial"/>
        </w:rPr>
      </w:pPr>
      <w:bookmarkStart w:id="9" w:name="_Toc228392485"/>
      <w:r w:rsidRPr="00671D21">
        <w:rPr>
          <w:rFonts w:ascii="Arial" w:hAnsi="Arial" w:cs="Arial"/>
        </w:rPr>
        <w:lastRenderedPageBreak/>
        <w:t>Results</w:t>
      </w:r>
      <w:bookmarkEnd w:id="9"/>
      <w:r w:rsidRPr="00671D21">
        <w:rPr>
          <w:rFonts w:ascii="Arial" w:hAnsi="Arial" w:cs="Arial"/>
        </w:rPr>
        <w:t xml:space="preserve"> </w:t>
      </w:r>
    </w:p>
    <w:p w14:paraId="4A4E0532" w14:textId="1C39499B" w:rsidR="002A7AC3" w:rsidRPr="00D361E2" w:rsidRDefault="002A7AC3" w:rsidP="00D361E2">
      <w:pPr>
        <w:pStyle w:val="Heading2"/>
        <w:rPr>
          <w:rFonts w:ascii="Arial" w:hAnsi="Arial" w:cs="Arial"/>
        </w:rPr>
      </w:pPr>
      <w:bookmarkStart w:id="10" w:name="_Toc228392486"/>
      <w:r w:rsidRPr="00D361E2">
        <w:rPr>
          <w:rFonts w:ascii="Arial" w:hAnsi="Arial" w:cs="Arial"/>
        </w:rPr>
        <w:t xml:space="preserve">Table 2: </w:t>
      </w:r>
      <w:r w:rsidR="007B3A13" w:rsidRPr="00D361E2">
        <w:rPr>
          <w:rFonts w:ascii="Arial" w:hAnsi="Arial" w:cs="Arial"/>
        </w:rPr>
        <w:t>IIRS – Selected Studies Extracted Data Sheet</w:t>
      </w:r>
      <w:bookmarkEnd w:id="10"/>
      <w:r w:rsidR="007B3A13" w:rsidRPr="00D361E2">
        <w:rPr>
          <w:rFonts w:ascii="Arial" w:hAnsi="Arial" w:cs="Arial"/>
        </w:rPr>
        <w:t xml:space="preserve"> </w:t>
      </w:r>
    </w:p>
    <w:tbl>
      <w:tblPr>
        <w:tblStyle w:val="TableGrid"/>
        <w:tblW w:w="9014" w:type="dxa"/>
        <w:tblInd w:w="5" w:type="dxa"/>
        <w:tblCellMar>
          <w:top w:w="11" w:type="dxa"/>
          <w:left w:w="106" w:type="dxa"/>
          <w:bottom w:w="0" w:type="dxa"/>
          <w:right w:w="44" w:type="dxa"/>
        </w:tblCellMar>
        <w:tblLook w:val="04A0" w:firstRow="1" w:lastRow="0" w:firstColumn="1" w:lastColumn="0" w:noHBand="0" w:noVBand="1"/>
      </w:tblPr>
      <w:tblGrid>
        <w:gridCol w:w="2725"/>
        <w:gridCol w:w="706"/>
        <w:gridCol w:w="1402"/>
        <w:gridCol w:w="1258"/>
        <w:gridCol w:w="1166"/>
        <w:gridCol w:w="1757"/>
      </w:tblGrid>
      <w:tr w:rsidR="00025E78" w14:paraId="438FAC8C" w14:textId="77777777">
        <w:trPr>
          <w:trHeight w:val="552"/>
        </w:trPr>
        <w:tc>
          <w:tcPr>
            <w:tcW w:w="2726" w:type="dxa"/>
            <w:tcBorders>
              <w:top w:val="single" w:sz="4" w:space="0" w:color="000000"/>
              <w:left w:val="single" w:sz="4" w:space="0" w:color="000000"/>
              <w:bottom w:val="single" w:sz="4" w:space="0" w:color="000000"/>
              <w:right w:val="single" w:sz="4" w:space="0" w:color="000000"/>
            </w:tcBorders>
          </w:tcPr>
          <w:p w14:paraId="726D9A00" w14:textId="77777777" w:rsidR="00025E78" w:rsidRDefault="00000000">
            <w:pPr>
              <w:spacing w:after="0" w:line="259" w:lineRule="auto"/>
              <w:ind w:left="5" w:firstLine="0"/>
            </w:pPr>
            <w:r>
              <w:t xml:space="preserve">Author(s) </w:t>
            </w:r>
          </w:p>
        </w:tc>
        <w:tc>
          <w:tcPr>
            <w:tcW w:w="706" w:type="dxa"/>
            <w:tcBorders>
              <w:top w:val="single" w:sz="4" w:space="0" w:color="000000"/>
              <w:left w:val="single" w:sz="4" w:space="0" w:color="000000"/>
              <w:bottom w:val="single" w:sz="4" w:space="0" w:color="000000"/>
              <w:right w:val="single" w:sz="4" w:space="0" w:color="000000"/>
            </w:tcBorders>
          </w:tcPr>
          <w:p w14:paraId="71B9D73A" w14:textId="77777777" w:rsidR="00025E78" w:rsidRDefault="00000000">
            <w:pPr>
              <w:spacing w:after="0" w:line="259" w:lineRule="auto"/>
              <w:ind w:left="0" w:firstLine="0"/>
            </w:pPr>
            <w:r>
              <w:t xml:space="preserve">Year </w:t>
            </w:r>
          </w:p>
        </w:tc>
        <w:tc>
          <w:tcPr>
            <w:tcW w:w="1402" w:type="dxa"/>
            <w:tcBorders>
              <w:top w:val="single" w:sz="4" w:space="0" w:color="000000"/>
              <w:left w:val="single" w:sz="4" w:space="0" w:color="000000"/>
              <w:bottom w:val="single" w:sz="4" w:space="0" w:color="000000"/>
              <w:right w:val="single" w:sz="4" w:space="0" w:color="000000"/>
            </w:tcBorders>
          </w:tcPr>
          <w:p w14:paraId="0182B533" w14:textId="77777777" w:rsidR="00025E78" w:rsidRDefault="00000000">
            <w:pPr>
              <w:spacing w:after="0" w:line="259" w:lineRule="auto"/>
              <w:ind w:left="0" w:firstLine="0"/>
            </w:pPr>
            <w:r>
              <w:t xml:space="preserve">Aim </w:t>
            </w:r>
          </w:p>
        </w:tc>
        <w:tc>
          <w:tcPr>
            <w:tcW w:w="1258" w:type="dxa"/>
            <w:tcBorders>
              <w:top w:val="single" w:sz="4" w:space="0" w:color="000000"/>
              <w:left w:val="single" w:sz="4" w:space="0" w:color="000000"/>
              <w:bottom w:val="single" w:sz="4" w:space="0" w:color="000000"/>
              <w:right w:val="single" w:sz="4" w:space="0" w:color="000000"/>
            </w:tcBorders>
          </w:tcPr>
          <w:p w14:paraId="0E6E1303" w14:textId="77777777" w:rsidR="00025E78" w:rsidRDefault="00000000">
            <w:pPr>
              <w:spacing w:after="0" w:line="259" w:lineRule="auto"/>
              <w:ind w:left="0" w:firstLine="0"/>
            </w:pPr>
            <w:r>
              <w:t xml:space="preserve">Method </w:t>
            </w:r>
          </w:p>
        </w:tc>
        <w:tc>
          <w:tcPr>
            <w:tcW w:w="1166" w:type="dxa"/>
            <w:tcBorders>
              <w:top w:val="single" w:sz="4" w:space="0" w:color="000000"/>
              <w:left w:val="single" w:sz="4" w:space="0" w:color="000000"/>
              <w:bottom w:val="single" w:sz="4" w:space="0" w:color="000000"/>
              <w:right w:val="single" w:sz="4" w:space="0" w:color="000000"/>
            </w:tcBorders>
          </w:tcPr>
          <w:p w14:paraId="2FDC1762" w14:textId="77777777" w:rsidR="00025E78" w:rsidRDefault="00000000">
            <w:pPr>
              <w:spacing w:after="0" w:line="259" w:lineRule="auto"/>
              <w:ind w:left="0" w:firstLine="0"/>
            </w:pPr>
            <w:r>
              <w:t xml:space="preserve">Location </w:t>
            </w:r>
          </w:p>
        </w:tc>
        <w:tc>
          <w:tcPr>
            <w:tcW w:w="1757" w:type="dxa"/>
            <w:tcBorders>
              <w:top w:val="single" w:sz="4" w:space="0" w:color="000000"/>
              <w:left w:val="single" w:sz="4" w:space="0" w:color="000000"/>
              <w:bottom w:val="single" w:sz="4" w:space="0" w:color="000000"/>
              <w:right w:val="single" w:sz="4" w:space="0" w:color="000000"/>
            </w:tcBorders>
          </w:tcPr>
          <w:p w14:paraId="2979DFE9" w14:textId="77777777" w:rsidR="00025E78" w:rsidRDefault="00000000">
            <w:pPr>
              <w:spacing w:after="0" w:line="259" w:lineRule="auto"/>
              <w:ind w:left="5" w:firstLine="0"/>
            </w:pPr>
            <w:r>
              <w:t xml:space="preserve">Key Findings </w:t>
            </w:r>
          </w:p>
        </w:tc>
      </w:tr>
      <w:tr w:rsidR="00025E78" w14:paraId="67DCD0AE" w14:textId="77777777">
        <w:trPr>
          <w:trHeight w:val="2827"/>
        </w:trPr>
        <w:tc>
          <w:tcPr>
            <w:tcW w:w="2726" w:type="dxa"/>
            <w:tcBorders>
              <w:top w:val="single" w:sz="4" w:space="0" w:color="000000"/>
              <w:left w:val="single" w:sz="4" w:space="0" w:color="000000"/>
              <w:bottom w:val="single" w:sz="4" w:space="0" w:color="000000"/>
              <w:right w:val="single" w:sz="4" w:space="0" w:color="000000"/>
            </w:tcBorders>
          </w:tcPr>
          <w:p w14:paraId="79DB5035" w14:textId="77777777" w:rsidR="00025E78" w:rsidRDefault="00000000">
            <w:pPr>
              <w:spacing w:after="0" w:line="259" w:lineRule="auto"/>
              <w:ind w:left="5" w:firstLine="0"/>
            </w:pPr>
            <w:r>
              <w:t xml:space="preserve">Heenan, D. </w:t>
            </w:r>
          </w:p>
        </w:tc>
        <w:tc>
          <w:tcPr>
            <w:tcW w:w="706" w:type="dxa"/>
            <w:tcBorders>
              <w:top w:val="single" w:sz="4" w:space="0" w:color="000000"/>
              <w:left w:val="single" w:sz="4" w:space="0" w:color="000000"/>
              <w:bottom w:val="single" w:sz="4" w:space="0" w:color="000000"/>
              <w:right w:val="single" w:sz="4" w:space="0" w:color="000000"/>
            </w:tcBorders>
          </w:tcPr>
          <w:p w14:paraId="6DA10593" w14:textId="77777777" w:rsidR="00025E78" w:rsidRDefault="00000000">
            <w:pPr>
              <w:spacing w:after="0" w:line="259" w:lineRule="auto"/>
              <w:ind w:left="0" w:firstLine="0"/>
              <w:jc w:val="both"/>
            </w:pPr>
            <w:r>
              <w:t xml:space="preserve">2021 </w:t>
            </w:r>
          </w:p>
        </w:tc>
        <w:tc>
          <w:tcPr>
            <w:tcW w:w="1402" w:type="dxa"/>
            <w:tcBorders>
              <w:top w:val="single" w:sz="4" w:space="0" w:color="000000"/>
              <w:left w:val="single" w:sz="4" w:space="0" w:color="000000"/>
              <w:bottom w:val="single" w:sz="4" w:space="0" w:color="000000"/>
              <w:right w:val="single" w:sz="4" w:space="0" w:color="000000"/>
            </w:tcBorders>
          </w:tcPr>
          <w:p w14:paraId="555FD010" w14:textId="77777777" w:rsidR="00025E78" w:rsidRDefault="00000000">
            <w:pPr>
              <w:spacing w:after="0" w:line="259" w:lineRule="auto"/>
              <w:ind w:left="0" w:firstLine="0"/>
            </w:pPr>
            <w:r>
              <w:t xml:space="preserve">To explore challenges of hospital social work in discharge planning for older adults </w:t>
            </w:r>
          </w:p>
        </w:tc>
        <w:tc>
          <w:tcPr>
            <w:tcW w:w="1258" w:type="dxa"/>
            <w:tcBorders>
              <w:top w:val="single" w:sz="4" w:space="0" w:color="000000"/>
              <w:left w:val="single" w:sz="4" w:space="0" w:color="000000"/>
              <w:bottom w:val="single" w:sz="4" w:space="0" w:color="000000"/>
              <w:right w:val="single" w:sz="4" w:space="0" w:color="000000"/>
            </w:tcBorders>
          </w:tcPr>
          <w:p w14:paraId="57BDD2CC" w14:textId="77777777" w:rsidR="00025E78" w:rsidRDefault="00000000">
            <w:pPr>
              <w:spacing w:after="0" w:line="259" w:lineRule="auto"/>
              <w:ind w:left="0" w:firstLine="0"/>
            </w:pPr>
            <w:r>
              <w:t xml:space="preserve">Qualitative interviews </w:t>
            </w:r>
          </w:p>
        </w:tc>
        <w:tc>
          <w:tcPr>
            <w:tcW w:w="1166" w:type="dxa"/>
            <w:tcBorders>
              <w:top w:val="single" w:sz="4" w:space="0" w:color="000000"/>
              <w:left w:val="single" w:sz="4" w:space="0" w:color="000000"/>
              <w:bottom w:val="single" w:sz="4" w:space="0" w:color="000000"/>
              <w:right w:val="single" w:sz="4" w:space="0" w:color="000000"/>
            </w:tcBorders>
          </w:tcPr>
          <w:p w14:paraId="284CC5E9" w14:textId="77777777" w:rsidR="00025E78" w:rsidRDefault="00000000">
            <w:pPr>
              <w:spacing w:after="105" w:line="259" w:lineRule="auto"/>
              <w:ind w:left="0" w:firstLine="0"/>
            </w:pPr>
            <w:r>
              <w:t xml:space="preserve">UK </w:t>
            </w:r>
          </w:p>
          <w:p w14:paraId="24514168" w14:textId="77777777" w:rsidR="00025E78" w:rsidRDefault="00000000">
            <w:pPr>
              <w:spacing w:after="105" w:line="259" w:lineRule="auto"/>
              <w:ind w:left="0" w:firstLine="0"/>
            </w:pPr>
            <w:r>
              <w:t xml:space="preserve">(Northern </w:t>
            </w:r>
          </w:p>
          <w:p w14:paraId="5C46EA60" w14:textId="77777777" w:rsidR="00025E78" w:rsidRDefault="00000000">
            <w:pPr>
              <w:spacing w:after="0" w:line="259" w:lineRule="auto"/>
              <w:ind w:left="0" w:firstLine="0"/>
            </w:pPr>
            <w:r>
              <w:t xml:space="preserve">Ireland) </w:t>
            </w:r>
          </w:p>
        </w:tc>
        <w:tc>
          <w:tcPr>
            <w:tcW w:w="1757" w:type="dxa"/>
            <w:tcBorders>
              <w:top w:val="single" w:sz="4" w:space="0" w:color="000000"/>
              <w:left w:val="single" w:sz="4" w:space="0" w:color="000000"/>
              <w:bottom w:val="single" w:sz="4" w:space="0" w:color="000000"/>
              <w:right w:val="single" w:sz="4" w:space="0" w:color="000000"/>
            </w:tcBorders>
          </w:tcPr>
          <w:p w14:paraId="279A5C8A" w14:textId="77777777" w:rsidR="00025E78" w:rsidRDefault="00000000">
            <w:pPr>
              <w:spacing w:after="0" w:line="259" w:lineRule="auto"/>
              <w:ind w:left="5" w:firstLine="0"/>
            </w:pPr>
            <w:r>
              <w:t xml:space="preserve">Organisational pressures, discharge targets, limited time for patient support </w:t>
            </w:r>
          </w:p>
        </w:tc>
      </w:tr>
      <w:tr w:rsidR="00025E78" w14:paraId="76CD5F9E" w14:textId="77777777">
        <w:trPr>
          <w:trHeight w:val="3202"/>
        </w:trPr>
        <w:tc>
          <w:tcPr>
            <w:tcW w:w="2726" w:type="dxa"/>
            <w:tcBorders>
              <w:top w:val="single" w:sz="4" w:space="0" w:color="000000"/>
              <w:left w:val="single" w:sz="4" w:space="0" w:color="000000"/>
              <w:bottom w:val="single" w:sz="4" w:space="0" w:color="000000"/>
              <w:right w:val="single" w:sz="4" w:space="0" w:color="000000"/>
            </w:tcBorders>
          </w:tcPr>
          <w:p w14:paraId="1D3E860B" w14:textId="77777777" w:rsidR="00025E78" w:rsidRDefault="00000000">
            <w:pPr>
              <w:spacing w:after="0" w:line="259" w:lineRule="auto"/>
              <w:ind w:left="5" w:firstLine="0"/>
            </w:pPr>
            <w:r>
              <w:t xml:space="preserve">Gridley, K. et al. </w:t>
            </w:r>
          </w:p>
        </w:tc>
        <w:tc>
          <w:tcPr>
            <w:tcW w:w="706" w:type="dxa"/>
            <w:tcBorders>
              <w:top w:val="single" w:sz="4" w:space="0" w:color="000000"/>
              <w:left w:val="single" w:sz="4" w:space="0" w:color="000000"/>
              <w:bottom w:val="single" w:sz="4" w:space="0" w:color="000000"/>
              <w:right w:val="single" w:sz="4" w:space="0" w:color="000000"/>
            </w:tcBorders>
          </w:tcPr>
          <w:p w14:paraId="02A91DE1" w14:textId="77777777" w:rsidR="00025E78" w:rsidRDefault="00000000">
            <w:pPr>
              <w:spacing w:after="0" w:line="259" w:lineRule="auto"/>
              <w:ind w:left="0" w:firstLine="0"/>
              <w:jc w:val="both"/>
            </w:pPr>
            <w:r>
              <w:t xml:space="preserve">2022 </w:t>
            </w:r>
          </w:p>
        </w:tc>
        <w:tc>
          <w:tcPr>
            <w:tcW w:w="1402" w:type="dxa"/>
            <w:tcBorders>
              <w:top w:val="single" w:sz="4" w:space="0" w:color="000000"/>
              <w:left w:val="single" w:sz="4" w:space="0" w:color="000000"/>
              <w:bottom w:val="single" w:sz="4" w:space="0" w:color="000000"/>
              <w:right w:val="single" w:sz="4" w:space="0" w:color="000000"/>
            </w:tcBorders>
          </w:tcPr>
          <w:p w14:paraId="2CEBF7F6" w14:textId="77777777" w:rsidR="00025E78" w:rsidRDefault="00000000">
            <w:pPr>
              <w:spacing w:after="0" w:line="358" w:lineRule="auto"/>
              <w:ind w:left="0" w:firstLine="0"/>
            </w:pPr>
            <w:r>
              <w:t xml:space="preserve">To investigate social care causes of delayed discharge among </w:t>
            </w:r>
          </w:p>
          <w:p w14:paraId="73946D2F" w14:textId="77777777" w:rsidR="00025E78" w:rsidRDefault="00000000">
            <w:pPr>
              <w:spacing w:after="0" w:line="259" w:lineRule="auto"/>
              <w:ind w:left="0" w:firstLine="0"/>
            </w:pPr>
            <w:r>
              <w:t xml:space="preserve">older adults </w:t>
            </w:r>
          </w:p>
        </w:tc>
        <w:tc>
          <w:tcPr>
            <w:tcW w:w="1258" w:type="dxa"/>
            <w:tcBorders>
              <w:top w:val="single" w:sz="4" w:space="0" w:color="000000"/>
              <w:left w:val="single" w:sz="4" w:space="0" w:color="000000"/>
              <w:bottom w:val="single" w:sz="4" w:space="0" w:color="000000"/>
              <w:right w:val="single" w:sz="4" w:space="0" w:color="000000"/>
            </w:tcBorders>
          </w:tcPr>
          <w:p w14:paraId="202DAC99" w14:textId="77777777" w:rsidR="00025E78" w:rsidRDefault="00000000">
            <w:pPr>
              <w:spacing w:after="0" w:line="259" w:lineRule="auto"/>
              <w:ind w:left="0" w:firstLine="0"/>
            </w:pPr>
            <w:r>
              <w:t xml:space="preserve">Qualitative interviews </w:t>
            </w:r>
          </w:p>
        </w:tc>
        <w:tc>
          <w:tcPr>
            <w:tcW w:w="1166" w:type="dxa"/>
            <w:tcBorders>
              <w:top w:val="single" w:sz="4" w:space="0" w:color="000000"/>
              <w:left w:val="single" w:sz="4" w:space="0" w:color="000000"/>
              <w:bottom w:val="single" w:sz="4" w:space="0" w:color="000000"/>
              <w:right w:val="single" w:sz="4" w:space="0" w:color="000000"/>
            </w:tcBorders>
          </w:tcPr>
          <w:p w14:paraId="13431B1D" w14:textId="77777777" w:rsidR="00025E78" w:rsidRDefault="00000000">
            <w:pPr>
              <w:spacing w:after="105" w:line="259" w:lineRule="auto"/>
              <w:ind w:left="0" w:firstLine="0"/>
            </w:pPr>
            <w:r>
              <w:t xml:space="preserve">UK </w:t>
            </w:r>
          </w:p>
          <w:p w14:paraId="1073DD7D" w14:textId="77777777" w:rsidR="00025E78" w:rsidRDefault="00000000">
            <w:pPr>
              <w:spacing w:after="0" w:line="259" w:lineRule="auto"/>
              <w:ind w:left="0" w:firstLine="0"/>
            </w:pPr>
            <w:r>
              <w:t xml:space="preserve">(England) </w:t>
            </w:r>
          </w:p>
        </w:tc>
        <w:tc>
          <w:tcPr>
            <w:tcW w:w="1757" w:type="dxa"/>
            <w:tcBorders>
              <w:top w:val="single" w:sz="4" w:space="0" w:color="000000"/>
              <w:left w:val="single" w:sz="4" w:space="0" w:color="000000"/>
              <w:bottom w:val="single" w:sz="4" w:space="0" w:color="000000"/>
              <w:right w:val="single" w:sz="4" w:space="0" w:color="000000"/>
            </w:tcBorders>
          </w:tcPr>
          <w:p w14:paraId="4804AF7E" w14:textId="77777777" w:rsidR="00025E78" w:rsidRDefault="00000000">
            <w:pPr>
              <w:spacing w:after="0" w:line="259" w:lineRule="auto"/>
              <w:ind w:left="5" w:firstLine="0"/>
            </w:pPr>
            <w:r>
              <w:t xml:space="preserve">Lack of social care provision, workforce shortages, mismatch between services and patient needs </w:t>
            </w:r>
          </w:p>
        </w:tc>
      </w:tr>
      <w:tr w:rsidR="00025E78" w14:paraId="3ED6ABBC" w14:textId="77777777">
        <w:trPr>
          <w:trHeight w:val="3206"/>
        </w:trPr>
        <w:tc>
          <w:tcPr>
            <w:tcW w:w="2726" w:type="dxa"/>
            <w:tcBorders>
              <w:top w:val="single" w:sz="4" w:space="0" w:color="000000"/>
              <w:left w:val="single" w:sz="4" w:space="0" w:color="000000"/>
              <w:bottom w:val="single" w:sz="4" w:space="0" w:color="000000"/>
              <w:right w:val="single" w:sz="4" w:space="0" w:color="000000"/>
            </w:tcBorders>
          </w:tcPr>
          <w:p w14:paraId="3FDA315A" w14:textId="77777777" w:rsidR="00025E78" w:rsidRDefault="00000000">
            <w:pPr>
              <w:spacing w:after="0" w:line="259" w:lineRule="auto"/>
              <w:ind w:left="5" w:firstLine="0"/>
            </w:pPr>
            <w:r>
              <w:t xml:space="preserve">Smith, H. et al. </w:t>
            </w:r>
          </w:p>
        </w:tc>
        <w:tc>
          <w:tcPr>
            <w:tcW w:w="706" w:type="dxa"/>
            <w:tcBorders>
              <w:top w:val="single" w:sz="4" w:space="0" w:color="000000"/>
              <w:left w:val="single" w:sz="4" w:space="0" w:color="000000"/>
              <w:bottom w:val="single" w:sz="4" w:space="0" w:color="000000"/>
              <w:right w:val="single" w:sz="4" w:space="0" w:color="000000"/>
            </w:tcBorders>
          </w:tcPr>
          <w:p w14:paraId="30A41466" w14:textId="77777777" w:rsidR="00025E78" w:rsidRDefault="00000000">
            <w:pPr>
              <w:spacing w:after="0" w:line="259" w:lineRule="auto"/>
              <w:ind w:left="0" w:firstLine="0"/>
              <w:jc w:val="both"/>
            </w:pPr>
            <w:r>
              <w:t xml:space="preserve">2022 </w:t>
            </w:r>
          </w:p>
        </w:tc>
        <w:tc>
          <w:tcPr>
            <w:tcW w:w="1402" w:type="dxa"/>
            <w:tcBorders>
              <w:top w:val="single" w:sz="4" w:space="0" w:color="000000"/>
              <w:left w:val="single" w:sz="4" w:space="0" w:color="000000"/>
              <w:bottom w:val="single" w:sz="4" w:space="0" w:color="000000"/>
              <w:right w:val="single" w:sz="4" w:space="0" w:color="000000"/>
            </w:tcBorders>
          </w:tcPr>
          <w:p w14:paraId="21AF6A91" w14:textId="77777777" w:rsidR="00025E78" w:rsidRDefault="00000000">
            <w:pPr>
              <w:spacing w:after="0" w:line="259" w:lineRule="auto"/>
              <w:ind w:left="0" w:firstLine="0"/>
            </w:pPr>
            <w:r>
              <w:t xml:space="preserve">To explore patient and caregiver experiences of hospital discharge </w:t>
            </w:r>
          </w:p>
        </w:tc>
        <w:tc>
          <w:tcPr>
            <w:tcW w:w="1258" w:type="dxa"/>
            <w:tcBorders>
              <w:top w:val="single" w:sz="4" w:space="0" w:color="000000"/>
              <w:left w:val="single" w:sz="4" w:space="0" w:color="000000"/>
              <w:bottom w:val="single" w:sz="4" w:space="0" w:color="000000"/>
              <w:right w:val="single" w:sz="4" w:space="0" w:color="000000"/>
            </w:tcBorders>
          </w:tcPr>
          <w:p w14:paraId="61980A86" w14:textId="77777777" w:rsidR="00025E78" w:rsidRDefault="00000000">
            <w:pPr>
              <w:spacing w:after="0" w:line="259" w:lineRule="auto"/>
              <w:ind w:left="0" w:firstLine="0"/>
            </w:pPr>
            <w:r>
              <w:t xml:space="preserve">Qualitative study </w:t>
            </w:r>
          </w:p>
        </w:tc>
        <w:tc>
          <w:tcPr>
            <w:tcW w:w="1166" w:type="dxa"/>
            <w:tcBorders>
              <w:top w:val="single" w:sz="4" w:space="0" w:color="000000"/>
              <w:left w:val="single" w:sz="4" w:space="0" w:color="000000"/>
              <w:bottom w:val="single" w:sz="4" w:space="0" w:color="000000"/>
              <w:right w:val="single" w:sz="4" w:space="0" w:color="000000"/>
            </w:tcBorders>
          </w:tcPr>
          <w:p w14:paraId="20D8AC52" w14:textId="77777777" w:rsidR="00025E78" w:rsidRDefault="00000000">
            <w:pPr>
              <w:spacing w:after="0" w:line="259" w:lineRule="auto"/>
              <w:ind w:left="0" w:firstLine="0"/>
            </w:pPr>
            <w:r>
              <w:t xml:space="preserve">UK </w:t>
            </w:r>
          </w:p>
        </w:tc>
        <w:tc>
          <w:tcPr>
            <w:tcW w:w="1757" w:type="dxa"/>
            <w:tcBorders>
              <w:top w:val="single" w:sz="4" w:space="0" w:color="000000"/>
              <w:left w:val="single" w:sz="4" w:space="0" w:color="000000"/>
              <w:bottom w:val="single" w:sz="4" w:space="0" w:color="000000"/>
              <w:right w:val="single" w:sz="4" w:space="0" w:color="000000"/>
            </w:tcBorders>
          </w:tcPr>
          <w:p w14:paraId="33578002" w14:textId="77777777" w:rsidR="00025E78" w:rsidRDefault="00000000">
            <w:pPr>
              <w:spacing w:after="0" w:line="259" w:lineRule="auto"/>
              <w:ind w:left="5" w:firstLine="0"/>
            </w:pPr>
            <w:r>
              <w:t xml:space="preserve">Poor communication, lack of preparation, confusion surrounding discharge decisions </w:t>
            </w:r>
          </w:p>
        </w:tc>
      </w:tr>
      <w:tr w:rsidR="00025E78" w14:paraId="1EA7A50A" w14:textId="77777777">
        <w:trPr>
          <w:trHeight w:val="1531"/>
        </w:trPr>
        <w:tc>
          <w:tcPr>
            <w:tcW w:w="2726" w:type="dxa"/>
            <w:tcBorders>
              <w:top w:val="single" w:sz="4" w:space="0" w:color="000000"/>
              <w:left w:val="single" w:sz="4" w:space="0" w:color="000000"/>
              <w:bottom w:val="single" w:sz="4" w:space="0" w:color="000000"/>
              <w:right w:val="single" w:sz="4" w:space="0" w:color="000000"/>
            </w:tcBorders>
          </w:tcPr>
          <w:p w14:paraId="4C87316C" w14:textId="77777777" w:rsidR="00025E78" w:rsidRDefault="00000000">
            <w:pPr>
              <w:spacing w:after="0" w:line="259" w:lineRule="auto"/>
              <w:ind w:left="5" w:firstLine="0"/>
            </w:pPr>
            <w:r>
              <w:t xml:space="preserve">Naick, M. and Jones, K. </w:t>
            </w:r>
          </w:p>
        </w:tc>
        <w:tc>
          <w:tcPr>
            <w:tcW w:w="706" w:type="dxa"/>
            <w:tcBorders>
              <w:top w:val="single" w:sz="4" w:space="0" w:color="000000"/>
              <w:left w:val="single" w:sz="4" w:space="0" w:color="000000"/>
              <w:bottom w:val="single" w:sz="4" w:space="0" w:color="000000"/>
              <w:right w:val="single" w:sz="4" w:space="0" w:color="000000"/>
            </w:tcBorders>
          </w:tcPr>
          <w:p w14:paraId="797FEC2D" w14:textId="77777777" w:rsidR="00025E78" w:rsidRDefault="00000000">
            <w:pPr>
              <w:spacing w:after="0" w:line="259" w:lineRule="auto"/>
              <w:ind w:left="0" w:firstLine="0"/>
              <w:jc w:val="both"/>
            </w:pPr>
            <w:r>
              <w:t xml:space="preserve">2025 </w:t>
            </w:r>
          </w:p>
        </w:tc>
        <w:tc>
          <w:tcPr>
            <w:tcW w:w="1402" w:type="dxa"/>
            <w:tcBorders>
              <w:top w:val="single" w:sz="4" w:space="0" w:color="000000"/>
              <w:left w:val="single" w:sz="4" w:space="0" w:color="000000"/>
              <w:bottom w:val="single" w:sz="4" w:space="0" w:color="000000"/>
              <w:right w:val="single" w:sz="4" w:space="0" w:color="000000"/>
            </w:tcBorders>
          </w:tcPr>
          <w:p w14:paraId="3B94626C" w14:textId="77777777" w:rsidR="00025E78" w:rsidRDefault="00000000">
            <w:pPr>
              <w:spacing w:after="0" w:line="259" w:lineRule="auto"/>
              <w:ind w:left="0" w:firstLine="0"/>
            </w:pPr>
            <w:r>
              <w:t xml:space="preserve">To examine discharge pathways and the </w:t>
            </w:r>
          </w:p>
        </w:tc>
        <w:tc>
          <w:tcPr>
            <w:tcW w:w="1258" w:type="dxa"/>
            <w:tcBorders>
              <w:top w:val="single" w:sz="4" w:space="0" w:color="000000"/>
              <w:left w:val="single" w:sz="4" w:space="0" w:color="000000"/>
              <w:bottom w:val="single" w:sz="4" w:space="0" w:color="000000"/>
              <w:right w:val="single" w:sz="4" w:space="0" w:color="000000"/>
            </w:tcBorders>
          </w:tcPr>
          <w:p w14:paraId="4690AE9D" w14:textId="77777777" w:rsidR="00025E78" w:rsidRDefault="00000000">
            <w:pPr>
              <w:spacing w:after="0" w:line="259" w:lineRule="auto"/>
              <w:ind w:left="0" w:firstLine="0"/>
            </w:pPr>
            <w:r>
              <w:t xml:space="preserve">Qualitative interviews </w:t>
            </w:r>
          </w:p>
        </w:tc>
        <w:tc>
          <w:tcPr>
            <w:tcW w:w="1166" w:type="dxa"/>
            <w:tcBorders>
              <w:top w:val="single" w:sz="4" w:space="0" w:color="000000"/>
              <w:left w:val="single" w:sz="4" w:space="0" w:color="000000"/>
              <w:bottom w:val="single" w:sz="4" w:space="0" w:color="000000"/>
              <w:right w:val="single" w:sz="4" w:space="0" w:color="000000"/>
            </w:tcBorders>
          </w:tcPr>
          <w:p w14:paraId="37878DA9" w14:textId="77777777" w:rsidR="00025E78" w:rsidRDefault="00000000">
            <w:pPr>
              <w:spacing w:after="105" w:line="259" w:lineRule="auto"/>
              <w:ind w:left="0" w:firstLine="0"/>
            </w:pPr>
            <w:r>
              <w:t xml:space="preserve">UK </w:t>
            </w:r>
          </w:p>
          <w:p w14:paraId="665250F4" w14:textId="77777777" w:rsidR="00025E78" w:rsidRDefault="00000000">
            <w:pPr>
              <w:spacing w:after="0" w:line="259" w:lineRule="auto"/>
              <w:ind w:left="0" w:firstLine="0"/>
            </w:pPr>
            <w:r>
              <w:t xml:space="preserve">(England) </w:t>
            </w:r>
          </w:p>
        </w:tc>
        <w:tc>
          <w:tcPr>
            <w:tcW w:w="1757" w:type="dxa"/>
            <w:tcBorders>
              <w:top w:val="single" w:sz="4" w:space="0" w:color="000000"/>
              <w:left w:val="single" w:sz="4" w:space="0" w:color="000000"/>
              <w:bottom w:val="single" w:sz="4" w:space="0" w:color="000000"/>
              <w:right w:val="single" w:sz="4" w:space="0" w:color="000000"/>
            </w:tcBorders>
          </w:tcPr>
          <w:p w14:paraId="7EF88232" w14:textId="77777777" w:rsidR="00025E78" w:rsidRDefault="00000000">
            <w:pPr>
              <w:spacing w:after="0" w:line="259" w:lineRule="auto"/>
              <w:ind w:left="5" w:firstLine="0"/>
            </w:pPr>
            <w:r>
              <w:t xml:space="preserve">Shortage of care beds, delays in transfer, </w:t>
            </w:r>
          </w:p>
        </w:tc>
      </w:tr>
      <w:tr w:rsidR="00025E78" w14:paraId="23729A36" w14:textId="77777777">
        <w:trPr>
          <w:trHeight w:val="1690"/>
        </w:trPr>
        <w:tc>
          <w:tcPr>
            <w:tcW w:w="2726" w:type="dxa"/>
            <w:tcBorders>
              <w:top w:val="single" w:sz="4" w:space="0" w:color="000000"/>
              <w:left w:val="single" w:sz="4" w:space="0" w:color="000000"/>
              <w:bottom w:val="single" w:sz="4" w:space="0" w:color="000000"/>
              <w:right w:val="single" w:sz="4" w:space="0" w:color="000000"/>
            </w:tcBorders>
          </w:tcPr>
          <w:p w14:paraId="20732143" w14:textId="77777777" w:rsidR="00025E78" w:rsidRDefault="00025E78">
            <w:pPr>
              <w:spacing w:after="160" w:line="259" w:lineRule="auto"/>
              <w:ind w:left="0" w:firstLine="0"/>
            </w:pPr>
          </w:p>
        </w:tc>
        <w:tc>
          <w:tcPr>
            <w:tcW w:w="706" w:type="dxa"/>
            <w:tcBorders>
              <w:top w:val="single" w:sz="4" w:space="0" w:color="000000"/>
              <w:left w:val="single" w:sz="4" w:space="0" w:color="000000"/>
              <w:bottom w:val="single" w:sz="4" w:space="0" w:color="000000"/>
              <w:right w:val="single" w:sz="4" w:space="0" w:color="000000"/>
            </w:tcBorders>
          </w:tcPr>
          <w:p w14:paraId="7BCFDCC1" w14:textId="77777777" w:rsidR="00025E78" w:rsidRDefault="00025E78">
            <w:pPr>
              <w:spacing w:after="160" w:line="259" w:lineRule="auto"/>
              <w:ind w:left="0" w:firstLine="0"/>
            </w:pPr>
          </w:p>
        </w:tc>
        <w:tc>
          <w:tcPr>
            <w:tcW w:w="1402" w:type="dxa"/>
            <w:tcBorders>
              <w:top w:val="single" w:sz="4" w:space="0" w:color="000000"/>
              <w:left w:val="single" w:sz="4" w:space="0" w:color="000000"/>
              <w:bottom w:val="single" w:sz="4" w:space="0" w:color="000000"/>
              <w:right w:val="single" w:sz="4" w:space="0" w:color="000000"/>
            </w:tcBorders>
          </w:tcPr>
          <w:p w14:paraId="7054DB03" w14:textId="77777777" w:rsidR="00025E78" w:rsidRDefault="00000000">
            <w:pPr>
              <w:spacing w:after="0" w:line="259" w:lineRule="auto"/>
              <w:ind w:left="0" w:firstLine="0"/>
            </w:pPr>
            <w:r>
              <w:t xml:space="preserve">availability of </w:t>
            </w:r>
            <w:proofErr w:type="spellStart"/>
            <w:r>
              <w:t>shortterm</w:t>
            </w:r>
            <w:proofErr w:type="spellEnd"/>
            <w:r>
              <w:t xml:space="preserve"> care beds </w:t>
            </w:r>
          </w:p>
        </w:tc>
        <w:tc>
          <w:tcPr>
            <w:tcW w:w="1258" w:type="dxa"/>
            <w:tcBorders>
              <w:top w:val="single" w:sz="4" w:space="0" w:color="000000"/>
              <w:left w:val="single" w:sz="4" w:space="0" w:color="000000"/>
              <w:bottom w:val="single" w:sz="4" w:space="0" w:color="000000"/>
              <w:right w:val="single" w:sz="4" w:space="0" w:color="000000"/>
            </w:tcBorders>
          </w:tcPr>
          <w:p w14:paraId="0262E885" w14:textId="77777777" w:rsidR="00025E78" w:rsidRDefault="00025E78">
            <w:pPr>
              <w:spacing w:after="160" w:line="259" w:lineRule="auto"/>
              <w:ind w:left="0" w:firstLine="0"/>
            </w:pPr>
          </w:p>
        </w:tc>
        <w:tc>
          <w:tcPr>
            <w:tcW w:w="1166" w:type="dxa"/>
            <w:tcBorders>
              <w:top w:val="single" w:sz="4" w:space="0" w:color="000000"/>
              <w:left w:val="single" w:sz="4" w:space="0" w:color="000000"/>
              <w:bottom w:val="single" w:sz="4" w:space="0" w:color="000000"/>
              <w:right w:val="single" w:sz="4" w:space="0" w:color="000000"/>
            </w:tcBorders>
          </w:tcPr>
          <w:p w14:paraId="277EF57C" w14:textId="77777777" w:rsidR="00025E78" w:rsidRDefault="00025E78">
            <w:pPr>
              <w:spacing w:after="160" w:line="259" w:lineRule="auto"/>
              <w:ind w:left="0" w:firstLine="0"/>
            </w:pPr>
          </w:p>
        </w:tc>
        <w:tc>
          <w:tcPr>
            <w:tcW w:w="1757" w:type="dxa"/>
            <w:tcBorders>
              <w:top w:val="single" w:sz="4" w:space="0" w:color="000000"/>
              <w:left w:val="single" w:sz="4" w:space="0" w:color="000000"/>
              <w:bottom w:val="single" w:sz="4" w:space="0" w:color="000000"/>
              <w:right w:val="single" w:sz="4" w:space="0" w:color="000000"/>
            </w:tcBorders>
          </w:tcPr>
          <w:p w14:paraId="4C9C4E3F" w14:textId="77777777" w:rsidR="00025E78" w:rsidRDefault="00000000">
            <w:pPr>
              <w:spacing w:after="0" w:line="259" w:lineRule="auto"/>
              <w:ind w:left="5" w:firstLine="0"/>
            </w:pPr>
            <w:r>
              <w:t xml:space="preserve">coordination issues between services </w:t>
            </w:r>
          </w:p>
        </w:tc>
      </w:tr>
    </w:tbl>
    <w:p w14:paraId="7E92BC7D" w14:textId="77777777" w:rsidR="00025E78" w:rsidRDefault="00000000">
      <w:pPr>
        <w:spacing w:after="263" w:line="259" w:lineRule="auto"/>
        <w:ind w:left="0" w:firstLine="0"/>
      </w:pPr>
      <w:r>
        <w:t xml:space="preserve"> </w:t>
      </w:r>
    </w:p>
    <w:p w14:paraId="5E56146C" w14:textId="6B0672E9" w:rsidR="00025E78" w:rsidRPr="0020118A" w:rsidRDefault="00000000">
      <w:pPr>
        <w:spacing w:after="214"/>
        <w:ind w:left="-5" w:right="2"/>
        <w:rPr>
          <w:szCs w:val="22"/>
        </w:rPr>
      </w:pPr>
      <w:r>
        <w:t>This scoping review identified four UK-based studies that explored factors contributing to delayed hospital discharge among older adults. The studies primarily used qualitative approaches, drawing on interviews with healthcare professionals, patients and care providers to better understand the complexities surrounding discharge processes.</w:t>
      </w:r>
      <w:r>
        <w:rPr>
          <w:b/>
        </w:rPr>
        <w:t xml:space="preserve"> </w:t>
      </w:r>
      <w:r w:rsidR="0020118A" w:rsidRPr="0020118A">
        <w:rPr>
          <w:szCs w:val="22"/>
        </w:rPr>
        <w:t>An overview of the included studies is presented in Table 2.</w:t>
      </w:r>
    </w:p>
    <w:p w14:paraId="275A6D98" w14:textId="77777777" w:rsidR="00025E78" w:rsidRPr="00CB0996" w:rsidRDefault="00000000">
      <w:pPr>
        <w:pStyle w:val="Heading2"/>
        <w:ind w:left="-5"/>
        <w:rPr>
          <w:rFonts w:ascii="Arial" w:hAnsi="Arial" w:cs="Arial"/>
        </w:rPr>
      </w:pPr>
      <w:bookmarkStart w:id="11" w:name="_Toc228392487"/>
      <w:r w:rsidRPr="00CB0996">
        <w:rPr>
          <w:rFonts w:ascii="Arial" w:hAnsi="Arial" w:cs="Arial"/>
        </w:rPr>
        <w:t>Social Care Capacity</w:t>
      </w:r>
      <w:bookmarkEnd w:id="11"/>
      <w:r w:rsidRPr="00CB0996">
        <w:rPr>
          <w:rFonts w:ascii="Arial" w:hAnsi="Arial" w:cs="Arial"/>
        </w:rPr>
        <w:t xml:space="preserve"> </w:t>
      </w:r>
    </w:p>
    <w:p w14:paraId="532B2B72" w14:textId="77777777" w:rsidR="00025E78" w:rsidRDefault="00000000">
      <w:pPr>
        <w:spacing w:after="214"/>
        <w:ind w:left="-5" w:right="2"/>
      </w:pPr>
      <w:r>
        <w:t xml:space="preserve">A key factor contributing to delayed hospital discharge is limited social care capacity. Gridley et al. (2022) identified that delays are often associated with difficulties in accessing appropriate social care services, including homecare provision. Similarly, Naick and Jones (2025) highlighted that limited availability of short-term care beds can delay patient transfer from hospital. These findings suggest that challenges within community-based care provision may contribute to prolonged hospital stays among older adults. This is consistent with wider evidence suggesting that insufficient community-based care provision remains a key barrier to timely discharge (The Health Foundation, 2025). </w:t>
      </w:r>
    </w:p>
    <w:p w14:paraId="3A2E9C57" w14:textId="77777777" w:rsidR="00025E78" w:rsidRPr="00CB0996" w:rsidRDefault="00000000">
      <w:pPr>
        <w:pStyle w:val="Heading2"/>
        <w:ind w:left="-5"/>
        <w:rPr>
          <w:rFonts w:ascii="Arial" w:hAnsi="Arial" w:cs="Arial"/>
        </w:rPr>
      </w:pPr>
      <w:bookmarkStart w:id="12" w:name="_Toc228392488"/>
      <w:r w:rsidRPr="00CB0996">
        <w:rPr>
          <w:rFonts w:ascii="Arial" w:hAnsi="Arial" w:cs="Arial"/>
        </w:rPr>
        <w:t>Organisational and Workforce Pressures</w:t>
      </w:r>
      <w:bookmarkEnd w:id="12"/>
      <w:r w:rsidRPr="00CB0996">
        <w:rPr>
          <w:rFonts w:ascii="Arial" w:hAnsi="Arial" w:cs="Arial"/>
        </w:rPr>
        <w:t xml:space="preserve"> </w:t>
      </w:r>
    </w:p>
    <w:p w14:paraId="29308CF9" w14:textId="77777777" w:rsidR="00025E78" w:rsidRDefault="00000000">
      <w:pPr>
        <w:spacing w:after="209"/>
        <w:ind w:left="-5" w:right="2"/>
      </w:pPr>
      <w:r>
        <w:t>Organisational pressures within hospital settings were also identified as an important contributing factor. Heenan (2021) highlighted that hospital social workers experience increasing organisational pressures, including the need to meet discharge targets while managing complex patient needs. These pressures can affect the discharge planning process, illustrating how workload and system demands may contribute to delays.</w:t>
      </w:r>
      <w:r>
        <w:rPr>
          <w:b/>
        </w:rPr>
        <w:t xml:space="preserve"> </w:t>
      </w:r>
    </w:p>
    <w:p w14:paraId="469CFE5B" w14:textId="77777777" w:rsidR="00025E78" w:rsidRPr="00CB0996" w:rsidRDefault="00000000">
      <w:pPr>
        <w:pStyle w:val="Heading2"/>
        <w:ind w:left="-5"/>
        <w:rPr>
          <w:rFonts w:ascii="Arial" w:hAnsi="Arial" w:cs="Arial"/>
        </w:rPr>
      </w:pPr>
      <w:bookmarkStart w:id="13" w:name="_Toc228392489"/>
      <w:r w:rsidRPr="00CB0996">
        <w:rPr>
          <w:rFonts w:ascii="Arial" w:hAnsi="Arial" w:cs="Arial"/>
        </w:rPr>
        <w:t>Communication and Patient Experience</w:t>
      </w:r>
      <w:bookmarkEnd w:id="13"/>
      <w:r w:rsidRPr="00CB0996">
        <w:rPr>
          <w:rFonts w:ascii="Arial" w:hAnsi="Arial" w:cs="Arial"/>
        </w:rPr>
        <w:t xml:space="preserve"> </w:t>
      </w:r>
    </w:p>
    <w:p w14:paraId="0FD6B0FE" w14:textId="77777777" w:rsidR="00025E78" w:rsidRDefault="00000000">
      <w:pPr>
        <w:ind w:left="-5" w:right="2"/>
      </w:pPr>
      <w:r>
        <w:t xml:space="preserve">Communication challenges and patient experience were also identified as important factors. Smith et al. (2022) highlighted the importance of understanding patient and caregiver perspectives in relation to discharge decisions. The study suggests that issues surrounding communication and involvement in the discharge process may influence the timing and effectiveness of hospital discharge. In addition, the findings indicate that limited involvement in decision-making and insufficient preparation for discharge may affect patient confidence and contribute to delays in the discharge process. Evidence also highlights the importance of ensuring that appropriate assessment and support are in place prior to discharge, </w:t>
      </w:r>
    </w:p>
    <w:p w14:paraId="3A50C223" w14:textId="77777777" w:rsidR="00025E78" w:rsidRDefault="00000000">
      <w:pPr>
        <w:spacing w:after="156"/>
        <w:ind w:left="-5" w:right="2"/>
      </w:pPr>
      <w:r>
        <w:lastRenderedPageBreak/>
        <w:t xml:space="preserve">particularly for older adults who may require short-term care to support recovery (Age UK, 2025). </w:t>
      </w:r>
    </w:p>
    <w:p w14:paraId="47348597" w14:textId="77777777" w:rsidR="00025E78" w:rsidRDefault="00000000">
      <w:pPr>
        <w:spacing w:after="321" w:line="259" w:lineRule="auto"/>
        <w:ind w:left="0" w:firstLine="0"/>
      </w:pPr>
      <w:r>
        <w:rPr>
          <w:b/>
        </w:rPr>
        <w:t xml:space="preserve"> </w:t>
      </w:r>
    </w:p>
    <w:p w14:paraId="44F5D9A2" w14:textId="77777777" w:rsidR="00025E78" w:rsidRPr="00CB0996" w:rsidRDefault="00000000">
      <w:pPr>
        <w:pStyle w:val="Heading2"/>
        <w:ind w:left="-5"/>
        <w:rPr>
          <w:rFonts w:ascii="Arial" w:hAnsi="Arial" w:cs="Arial"/>
        </w:rPr>
      </w:pPr>
      <w:bookmarkStart w:id="14" w:name="_Toc228392490"/>
      <w:r w:rsidRPr="00CB0996">
        <w:rPr>
          <w:rFonts w:ascii="Arial" w:hAnsi="Arial" w:cs="Arial"/>
        </w:rPr>
        <w:t>Discharge Pathways and Coordination</w:t>
      </w:r>
      <w:bookmarkEnd w:id="14"/>
      <w:r w:rsidRPr="00CB0996">
        <w:rPr>
          <w:rFonts w:ascii="Arial" w:hAnsi="Arial" w:cs="Arial"/>
        </w:rPr>
        <w:t xml:space="preserve">  </w:t>
      </w:r>
    </w:p>
    <w:p w14:paraId="26AAE548" w14:textId="77777777" w:rsidR="00025E78" w:rsidRDefault="00000000">
      <w:pPr>
        <w:spacing w:after="161"/>
        <w:ind w:left="-5" w:right="2"/>
      </w:pPr>
      <w:r>
        <w:t xml:space="preserve">Challenges related to discharge pathways and coordination between services were also evident across the studies. Guidance also emphasises the importance of collaboration between NHS services and local authorities to support effective and coordinated discharge processes (Department of Health and Social Care and NHS England, 2024). Naick and Jones (2025) identified difficulties in coordinating transfers between hospital and community care settings, particularly due to limited availability of appropriate care placements. This is supported by Gridley et al. (2022), who also noted mismatches between patient needs and available services. These findings suggest that gaps in coordination between health and social care services may contribute to delays in discharge. </w:t>
      </w:r>
    </w:p>
    <w:p w14:paraId="052AD54D" w14:textId="77777777" w:rsidR="00025E78" w:rsidRDefault="00000000">
      <w:pPr>
        <w:spacing w:after="526"/>
        <w:ind w:left="-5" w:right="2"/>
      </w:pPr>
      <w:r>
        <w:t xml:space="preserve">Overall, these findings suggest that delayed hospital discharge among older adults is influenced by a combination of social care limitations, organisational pressures, communication challenges and system-level coordination issues. </w:t>
      </w:r>
    </w:p>
    <w:p w14:paraId="57458BCA" w14:textId="77777777" w:rsidR="00025E78" w:rsidRPr="00CB0996" w:rsidRDefault="00000000">
      <w:pPr>
        <w:pStyle w:val="Heading1"/>
        <w:ind w:left="370" w:hanging="385"/>
        <w:rPr>
          <w:rFonts w:ascii="Arial" w:hAnsi="Arial" w:cs="Arial"/>
        </w:rPr>
      </w:pPr>
      <w:bookmarkStart w:id="15" w:name="_Toc228392491"/>
      <w:r w:rsidRPr="00CB0996">
        <w:rPr>
          <w:rFonts w:ascii="Arial" w:hAnsi="Arial" w:cs="Arial"/>
        </w:rPr>
        <w:t>Discussion</w:t>
      </w:r>
      <w:bookmarkEnd w:id="15"/>
      <w:r w:rsidRPr="00CB0996">
        <w:rPr>
          <w:rFonts w:ascii="Arial" w:hAnsi="Arial" w:cs="Arial"/>
        </w:rPr>
        <w:t xml:space="preserve"> </w:t>
      </w:r>
    </w:p>
    <w:p w14:paraId="2210B3A7" w14:textId="77777777" w:rsidR="00025E78" w:rsidRDefault="00000000">
      <w:pPr>
        <w:spacing w:after="309" w:line="259" w:lineRule="auto"/>
        <w:ind w:left="0" w:firstLine="0"/>
      </w:pPr>
      <w:r>
        <w:rPr>
          <w:rFonts w:ascii="Times New Roman" w:eastAsia="Times New Roman" w:hAnsi="Times New Roman" w:cs="Times New Roman"/>
          <w:sz w:val="24"/>
        </w:rPr>
        <w:t xml:space="preserve"> </w:t>
      </w:r>
    </w:p>
    <w:p w14:paraId="75C8DD64" w14:textId="77777777" w:rsidR="00025E78" w:rsidRPr="00CB0996" w:rsidRDefault="00000000">
      <w:pPr>
        <w:pStyle w:val="Heading2"/>
        <w:ind w:left="-5"/>
        <w:rPr>
          <w:rFonts w:ascii="Arial" w:hAnsi="Arial" w:cs="Arial"/>
        </w:rPr>
      </w:pPr>
      <w:bookmarkStart w:id="16" w:name="_Toc228392492"/>
      <w:r w:rsidRPr="00CB0996">
        <w:rPr>
          <w:rFonts w:ascii="Arial" w:hAnsi="Arial" w:cs="Arial"/>
        </w:rPr>
        <w:t>Social Care Capacity</w:t>
      </w:r>
      <w:bookmarkEnd w:id="16"/>
      <w:r w:rsidRPr="00CB0996">
        <w:rPr>
          <w:rFonts w:ascii="Arial" w:hAnsi="Arial" w:cs="Arial"/>
        </w:rPr>
        <w:t xml:space="preserve"> </w:t>
      </w:r>
    </w:p>
    <w:p w14:paraId="35E2295C" w14:textId="77777777" w:rsidR="00025E78" w:rsidRDefault="00000000">
      <w:pPr>
        <w:ind w:left="-5" w:right="2"/>
      </w:pPr>
      <w:r>
        <w:t xml:space="preserve">The findings of this review highlight that delayed hospital discharge among older adults is influenced by a range of interconnected factors within the UK health and social care system. Limited social care capacity was identified as a key contributing factor. The results suggest that difficulties in accessing appropriate community-based services, including homecare and care home placements, may contribute to prolonged hospital stays. This is supported by wider UK evidence, which highlights that shortages in social care provision remain a major cause of delayed transfers of care (Foster, 2023). In addition, national data from NHS England indicates that a significant number of patients experience delays in discharge from hospital, often linked to challenges in arranging appropriate care and support in the community (NHS England, 2025). This suggests that pressures within the social care system may continue to influence hospital discharge processes.  </w:t>
      </w:r>
    </w:p>
    <w:p w14:paraId="405974C8" w14:textId="77777777" w:rsidR="00025E78" w:rsidRPr="00CB0996" w:rsidRDefault="00000000">
      <w:pPr>
        <w:pStyle w:val="Heading2"/>
        <w:ind w:left="-5"/>
        <w:rPr>
          <w:rFonts w:ascii="Arial" w:hAnsi="Arial" w:cs="Arial"/>
        </w:rPr>
      </w:pPr>
      <w:bookmarkStart w:id="17" w:name="_Toc228392493"/>
      <w:r w:rsidRPr="00CB0996">
        <w:rPr>
          <w:rFonts w:ascii="Arial" w:hAnsi="Arial" w:cs="Arial"/>
        </w:rPr>
        <w:lastRenderedPageBreak/>
        <w:t>Organisational and Workforce Pressures</w:t>
      </w:r>
      <w:bookmarkEnd w:id="17"/>
      <w:r w:rsidRPr="00CB0996">
        <w:rPr>
          <w:rFonts w:ascii="Arial" w:hAnsi="Arial" w:cs="Arial"/>
        </w:rPr>
        <w:t xml:space="preserve"> </w:t>
      </w:r>
    </w:p>
    <w:p w14:paraId="42E1E5A3" w14:textId="77777777" w:rsidR="00025E78" w:rsidRDefault="00000000">
      <w:pPr>
        <w:spacing w:after="209"/>
        <w:ind w:left="-5" w:right="2"/>
      </w:pPr>
      <w:r>
        <w:t xml:space="preserve">Organisational and workforce pressures within hospital settings were also identified as important factors influencing delayed discharge. The findings of this review suggest that increasing organisational demands and pressures within hospital settings can affect discharge planning processes. Heenan (2021) highlights the challenges faced by hospital social workers within a target-driven environment, where there is a need to balance efficiency with patient care. This is consistent with NHS guidance, which emphasises the importance of effective discharge planning and coordinated working to support timely patient flow (NHS England, 2024). These findings suggest that organisational pressures may influence the effectiveness of discharge processes and contribute to delays. </w:t>
      </w:r>
    </w:p>
    <w:p w14:paraId="6F3374E8" w14:textId="77777777" w:rsidR="00025E78" w:rsidRPr="00CB0996" w:rsidRDefault="00000000">
      <w:pPr>
        <w:pStyle w:val="Heading2"/>
        <w:ind w:left="-5"/>
        <w:rPr>
          <w:rFonts w:ascii="Arial" w:hAnsi="Arial" w:cs="Arial"/>
        </w:rPr>
      </w:pPr>
      <w:bookmarkStart w:id="18" w:name="_Toc228392494"/>
      <w:r w:rsidRPr="00CB0996">
        <w:rPr>
          <w:rFonts w:ascii="Arial" w:hAnsi="Arial" w:cs="Arial"/>
        </w:rPr>
        <w:t>Communication and Patient Experience</w:t>
      </w:r>
      <w:bookmarkEnd w:id="18"/>
      <w:r w:rsidRPr="00CB0996">
        <w:rPr>
          <w:rFonts w:ascii="Arial" w:hAnsi="Arial" w:cs="Arial"/>
        </w:rPr>
        <w:t xml:space="preserve"> </w:t>
      </w:r>
    </w:p>
    <w:p w14:paraId="2418C831" w14:textId="77777777" w:rsidR="00025E78" w:rsidRDefault="00000000">
      <w:pPr>
        <w:spacing w:after="210"/>
        <w:ind w:left="-5" w:right="2"/>
      </w:pPr>
      <w:r>
        <w:t xml:space="preserve">Communication and patient experience were also identified as important factors influencing delayed hospital discharge. The findings of this review suggest that challenges in communication and limited patient involvement in discharge decisions may affect the effectiveness of the discharge process. Similar findings have been reported in previous research, which highlights the importance of clear communication in improving patient outcomes during discharge (NICE, 2021). Smith et al. (2022) highlights the importance of understanding patient and caregiver perspectives, particularly in relation to discharge planning. This is supported by wider evidence, which suggests that older adults may experience anxiety, uncertainty and reduced confidence when discharge processes are not clearly communicated (Patel et al., 2024). These findings indicate that improving communication and involving patients in decision-making may support more effective discharge processes and potentially reduce delays. </w:t>
      </w:r>
    </w:p>
    <w:p w14:paraId="65C4C675" w14:textId="77777777" w:rsidR="00025E78" w:rsidRPr="00CB0996" w:rsidRDefault="00000000">
      <w:pPr>
        <w:pStyle w:val="Heading2"/>
        <w:ind w:left="-5"/>
        <w:rPr>
          <w:rFonts w:ascii="Arial" w:hAnsi="Arial" w:cs="Arial"/>
        </w:rPr>
      </w:pPr>
      <w:bookmarkStart w:id="19" w:name="_Toc228392495"/>
      <w:r w:rsidRPr="00CB0996">
        <w:rPr>
          <w:rFonts w:ascii="Arial" w:hAnsi="Arial" w:cs="Arial"/>
        </w:rPr>
        <w:t>Discharge Pathways and Coordination</w:t>
      </w:r>
      <w:bookmarkEnd w:id="19"/>
      <w:r w:rsidRPr="00CB0996">
        <w:rPr>
          <w:rFonts w:ascii="Arial" w:eastAsia="Arial" w:hAnsi="Arial" w:cs="Arial"/>
          <w:color w:val="000000"/>
          <w:sz w:val="22"/>
        </w:rPr>
        <w:t xml:space="preserve">  </w:t>
      </w:r>
    </w:p>
    <w:p w14:paraId="48FE5B5B" w14:textId="77777777" w:rsidR="00025E78" w:rsidRDefault="00000000">
      <w:pPr>
        <w:spacing w:after="0"/>
        <w:ind w:left="-5" w:right="2"/>
      </w:pPr>
      <w:r>
        <w:t xml:space="preserve">Discharge pathways and coordination between services were also identified as key factors influencing delayed hospital discharge. The findings of this review suggest that difficulties in coordinating care between hospital and community services may contribute to delays in patient discharge. </w:t>
      </w:r>
      <w:proofErr w:type="gramStart"/>
      <w:r>
        <w:t>In particular, challenges</w:t>
      </w:r>
      <w:proofErr w:type="gramEnd"/>
      <w:r>
        <w:t xml:space="preserve"> in arranging appropriate care placements and ensuring continuity of care were highlighted across the included studies. This is supported by wider evidence, which indicates that effective coordination between health and social care services is essential for timely and safe discharge (Foster, 2023). These findings suggest that improving integration and communication between services may enhance discharge processes and reduce delays. </w:t>
      </w:r>
    </w:p>
    <w:p w14:paraId="61039EA1" w14:textId="77777777" w:rsidR="00025E78" w:rsidRPr="00CB0996" w:rsidRDefault="00000000">
      <w:pPr>
        <w:pStyle w:val="Heading2"/>
        <w:spacing w:after="228"/>
        <w:ind w:left="-5"/>
        <w:rPr>
          <w:rFonts w:ascii="Arial" w:hAnsi="Arial" w:cs="Arial"/>
        </w:rPr>
      </w:pPr>
      <w:bookmarkStart w:id="20" w:name="_Toc228392496"/>
      <w:r w:rsidRPr="00CB0996">
        <w:rPr>
          <w:rFonts w:ascii="Arial" w:hAnsi="Arial" w:cs="Arial"/>
        </w:rPr>
        <w:lastRenderedPageBreak/>
        <w:t>Importance of the Findings</w:t>
      </w:r>
      <w:bookmarkEnd w:id="20"/>
      <w:r w:rsidRPr="00CB0996">
        <w:rPr>
          <w:rFonts w:ascii="Arial" w:hAnsi="Arial" w:cs="Arial"/>
        </w:rPr>
        <w:t xml:space="preserve"> </w:t>
      </w:r>
    </w:p>
    <w:p w14:paraId="62E967E5" w14:textId="022E93EC" w:rsidR="00025E78" w:rsidRDefault="00000000">
      <w:pPr>
        <w:spacing w:after="329"/>
        <w:ind w:left="-5" w:right="2"/>
      </w:pPr>
      <w:r>
        <w:t xml:space="preserve">The findings of this review have important implications for health and social care practice within the UK. Delayed hospital discharge not only affects hospital capacity and efficiency but also has significant consequences for patient wellbeing, particularly among older adults who may be at increased risk of physical decline and loss of independence during prolonged hospital stays. The identification of key factors such as limited social care capacity, organisational pressures and communication challenges highlights the need for a more integrated and coordinated approach to discharge planning. Improving collaboration between health and social care services, alongside increased investment in </w:t>
      </w:r>
      <w:r w:rsidR="0081276D">
        <w:t>communit</w:t>
      </w:r>
      <w:r w:rsidR="00552A13">
        <w:t>y-</w:t>
      </w:r>
      <w:r w:rsidR="0081276D">
        <w:t>based</w:t>
      </w:r>
      <w:r>
        <w:t xml:space="preserve"> support, may help to reduce delays and improve patient outcomes. Furthermore, enhancing patient involvement in discharge decisions may contribute to more </w:t>
      </w:r>
      <w:r w:rsidR="00552A13">
        <w:t>person-centred</w:t>
      </w:r>
      <w:r>
        <w:t xml:space="preserve"> care and improved confidence among patients transitioning from hospital to home.</w:t>
      </w:r>
      <w:r>
        <w:rPr>
          <w:rFonts w:ascii="Cambria" w:eastAsia="Cambria" w:hAnsi="Cambria" w:cs="Cambria"/>
          <w:sz w:val="27"/>
        </w:rPr>
        <w:tab/>
      </w:r>
      <w:r>
        <w:t xml:space="preserve">These findings also have important implications for practice, particularly in relation to improving multidisciplinary working and strengthening communication between services. Enhancing collaboration may support more efficient discharge planning and reduce the likelihood of delays. </w:t>
      </w:r>
    </w:p>
    <w:p w14:paraId="2F439B20" w14:textId="77777777" w:rsidR="00025E78" w:rsidRPr="00CB0996" w:rsidRDefault="00000000">
      <w:pPr>
        <w:pStyle w:val="Heading2"/>
        <w:spacing w:after="228"/>
        <w:ind w:left="-5"/>
        <w:rPr>
          <w:rFonts w:ascii="Arial" w:hAnsi="Arial" w:cs="Arial"/>
        </w:rPr>
      </w:pPr>
      <w:bookmarkStart w:id="21" w:name="_Toc228392497"/>
      <w:r w:rsidRPr="00CB0996">
        <w:rPr>
          <w:rFonts w:ascii="Arial" w:hAnsi="Arial" w:cs="Arial"/>
        </w:rPr>
        <w:t>Limitations of the Research</w:t>
      </w:r>
      <w:bookmarkEnd w:id="21"/>
      <w:r w:rsidRPr="00CB0996">
        <w:rPr>
          <w:rFonts w:ascii="Arial" w:hAnsi="Arial" w:cs="Arial"/>
        </w:rPr>
        <w:t xml:space="preserve"> </w:t>
      </w:r>
    </w:p>
    <w:p w14:paraId="4FA2F9C9" w14:textId="77777777" w:rsidR="00025E78" w:rsidRDefault="00000000">
      <w:pPr>
        <w:ind w:left="-5" w:right="2"/>
      </w:pPr>
      <w:r>
        <w:t xml:space="preserve">This review has several limitations that should be considered when interpreting the findings. Firstly, the review included a small number of studies, which may limit the generalisability of the findings. In addition, the included studies were primarily qualitative in nature, meaning that the findings are based on experiences and perceptions rather than quantitative measures of delay. While this provides valuable insight into the complexity of discharge processes, it may not fully capture the scale of the issue across the wider healthcare system. Furthermore, the review focused only on UK based studies, which, although appropriate for the research aim, may limit the applicability of the findings to other healthcare contexts. Finally, as this was a scoping review, the quality of the included studies was not formally assessed, which may affect the overall reliability of the conclusions. </w:t>
      </w:r>
    </w:p>
    <w:p w14:paraId="3A5561B9" w14:textId="77777777" w:rsidR="00025E78" w:rsidRDefault="00000000">
      <w:pPr>
        <w:spacing w:after="156"/>
        <w:ind w:left="-5" w:right="2"/>
      </w:pPr>
      <w:r>
        <w:t>Overall, the findings of this review suggest that delayed hospital discharge among older adults is influenced by a combination of social care limitations, organisational pressures, communication challenges and system-level coordination issues. Addressing these factors is essential to improve patient flow and support more effective discharge processes within the UK health and social care system.</w:t>
      </w:r>
      <w:r>
        <w:rPr>
          <w:b/>
        </w:rPr>
        <w:t xml:space="preserve"> </w:t>
      </w:r>
    </w:p>
    <w:p w14:paraId="7892B78B" w14:textId="77777777" w:rsidR="00025E78" w:rsidRDefault="00000000">
      <w:pPr>
        <w:spacing w:after="0" w:line="259" w:lineRule="auto"/>
        <w:ind w:left="0" w:firstLine="0"/>
      </w:pPr>
      <w:r>
        <w:t xml:space="preserve"> </w:t>
      </w:r>
    </w:p>
    <w:p w14:paraId="2F983852" w14:textId="77777777" w:rsidR="00025E78" w:rsidRDefault="00000000">
      <w:pPr>
        <w:spacing w:after="0" w:line="259" w:lineRule="auto"/>
        <w:ind w:left="0" w:firstLine="0"/>
      </w:pPr>
      <w:r>
        <w:rPr>
          <w:rFonts w:ascii="Aptos Display" w:eastAsia="Aptos Display" w:hAnsi="Aptos Display" w:cs="Aptos Display"/>
          <w:color w:val="0F4761"/>
          <w:sz w:val="40"/>
        </w:rPr>
        <w:t xml:space="preserve"> </w:t>
      </w:r>
    </w:p>
    <w:p w14:paraId="7DB5801F" w14:textId="77777777" w:rsidR="00025E78" w:rsidRDefault="00000000">
      <w:pPr>
        <w:spacing w:after="511" w:line="259" w:lineRule="auto"/>
        <w:ind w:left="0" w:firstLine="0"/>
      </w:pPr>
      <w:r>
        <w:rPr>
          <w:rFonts w:ascii="Times New Roman" w:eastAsia="Times New Roman" w:hAnsi="Times New Roman" w:cs="Times New Roman"/>
          <w:sz w:val="24"/>
        </w:rPr>
        <w:lastRenderedPageBreak/>
        <w:t xml:space="preserve"> </w:t>
      </w:r>
    </w:p>
    <w:p w14:paraId="37011967" w14:textId="77777777" w:rsidR="00025E78" w:rsidRPr="00CB0996" w:rsidRDefault="00000000">
      <w:pPr>
        <w:pStyle w:val="Heading1"/>
        <w:spacing w:after="46"/>
        <w:ind w:left="370" w:hanging="385"/>
        <w:rPr>
          <w:rFonts w:ascii="Arial" w:hAnsi="Arial" w:cs="Arial"/>
        </w:rPr>
      </w:pPr>
      <w:bookmarkStart w:id="22" w:name="_Toc228392498"/>
      <w:r w:rsidRPr="00CB0996">
        <w:rPr>
          <w:rFonts w:ascii="Arial" w:hAnsi="Arial" w:cs="Arial"/>
        </w:rPr>
        <w:t>Conclusion and Recommendations</w:t>
      </w:r>
      <w:bookmarkEnd w:id="22"/>
      <w:r w:rsidRPr="00CB0996">
        <w:rPr>
          <w:rFonts w:ascii="Arial" w:hAnsi="Arial" w:cs="Arial"/>
        </w:rPr>
        <w:t xml:space="preserve"> </w:t>
      </w:r>
    </w:p>
    <w:p w14:paraId="40384CB9" w14:textId="77777777" w:rsidR="00025E78" w:rsidRPr="00CB0996" w:rsidRDefault="00000000">
      <w:pPr>
        <w:pStyle w:val="Heading2"/>
        <w:spacing w:after="228"/>
        <w:ind w:left="-5"/>
        <w:rPr>
          <w:rFonts w:ascii="Arial" w:hAnsi="Arial" w:cs="Arial"/>
        </w:rPr>
      </w:pPr>
      <w:bookmarkStart w:id="23" w:name="_Toc228392499"/>
      <w:r w:rsidRPr="00CB0996">
        <w:rPr>
          <w:rFonts w:ascii="Arial" w:hAnsi="Arial" w:cs="Arial"/>
        </w:rPr>
        <w:t>Conclusion</w:t>
      </w:r>
      <w:bookmarkEnd w:id="23"/>
      <w:r w:rsidRPr="00CB0996">
        <w:rPr>
          <w:rFonts w:ascii="Arial" w:hAnsi="Arial" w:cs="Arial"/>
        </w:rPr>
        <w:t xml:space="preserve"> </w:t>
      </w:r>
    </w:p>
    <w:p w14:paraId="4AE439E9" w14:textId="77777777" w:rsidR="00025E78" w:rsidRDefault="00000000">
      <w:pPr>
        <w:ind w:left="-5" w:right="2"/>
      </w:pPr>
      <w:r>
        <w:t xml:space="preserve">This scoping review explored factors contributing to delayed hospital discharge among older adults within the UK. The findings identified that delays are influenced by a combination of interconnected factors, including limited social care capacity, organisational and workforce pressures, communication challenges and issues related to coordination between services. </w:t>
      </w:r>
    </w:p>
    <w:p w14:paraId="308E7E48" w14:textId="77777777" w:rsidR="00025E78" w:rsidRDefault="00000000">
      <w:pPr>
        <w:ind w:left="-5" w:right="2"/>
      </w:pPr>
      <w:r>
        <w:t xml:space="preserve">The review highlights that delays in discharge are not caused by a single issue but rather reflect wider pressures across both health and social care systems. </w:t>
      </w:r>
      <w:proofErr w:type="gramStart"/>
      <w:r>
        <w:t>In particular, difficulties</w:t>
      </w:r>
      <w:proofErr w:type="gramEnd"/>
      <w:r>
        <w:t xml:space="preserve"> in accessing community-based care and coordinating services were consistently identified as key barriers to timely discharge. These findings emphasise the complexity of discharge processes and the need for a more integrated approach to care. </w:t>
      </w:r>
    </w:p>
    <w:p w14:paraId="658F5371" w14:textId="1F958649" w:rsidR="00025E78" w:rsidRPr="0079554C" w:rsidRDefault="00000000">
      <w:pPr>
        <w:spacing w:after="329"/>
        <w:ind w:left="-5" w:right="2"/>
        <w:rPr>
          <w:szCs w:val="22"/>
        </w:rPr>
      </w:pPr>
      <w:r>
        <w:t xml:space="preserve">Addressing delayed hospital discharge is essential not only to improve patient flow within hospitals but also to enhance patient outcomes, particularly for older adults who may be vulnerable to the effects of prolonged hospital stays. Overall, improving discharge processes requires greater collaboration between services, increased capacity within social care and a stronger focus on patient-centred care. In addition, addressing delayed hospital discharge requires a whole-system approach that recognises the interdependence between health and social care services. Without sufficient investment in community-based care and workforce capacity, efforts to improve discharge processes are likely to remain limited. This highlights the need for long-term strategic planning to ensure that services </w:t>
      </w:r>
      <w:proofErr w:type="gramStart"/>
      <w:r>
        <w:t>are able to</w:t>
      </w:r>
      <w:proofErr w:type="gramEnd"/>
      <w:r>
        <w:t xml:space="preserve"> meet the needs of an ageing population. </w:t>
      </w:r>
      <w:r w:rsidR="0079554C" w:rsidRPr="0079554C">
        <w:rPr>
          <w:szCs w:val="22"/>
        </w:rPr>
        <w:t>Overall, addressing delayed hospital discharge remains a key priority for the UK health and social care system, requiring sustained collaboration, investment and long-term strategic planning to meet the needs of an ageing population.</w:t>
      </w:r>
    </w:p>
    <w:p w14:paraId="4680F43C" w14:textId="77777777" w:rsidR="00025E78" w:rsidRPr="00CB0996" w:rsidRDefault="00000000">
      <w:pPr>
        <w:pStyle w:val="Heading2"/>
        <w:spacing w:after="228"/>
        <w:ind w:left="-5"/>
        <w:rPr>
          <w:rFonts w:ascii="Arial" w:hAnsi="Arial" w:cs="Arial"/>
        </w:rPr>
      </w:pPr>
      <w:bookmarkStart w:id="24" w:name="_Toc228392500"/>
      <w:r w:rsidRPr="00CB0996">
        <w:rPr>
          <w:rFonts w:ascii="Arial" w:hAnsi="Arial" w:cs="Arial"/>
        </w:rPr>
        <w:t>Recommendations</w:t>
      </w:r>
      <w:bookmarkEnd w:id="24"/>
      <w:r w:rsidRPr="00CB0996">
        <w:rPr>
          <w:rFonts w:ascii="Arial" w:hAnsi="Arial" w:cs="Arial"/>
        </w:rPr>
        <w:t xml:space="preserve"> </w:t>
      </w:r>
    </w:p>
    <w:p w14:paraId="5C2687FF" w14:textId="77777777" w:rsidR="00025E78" w:rsidRDefault="00000000">
      <w:pPr>
        <w:ind w:left="-5" w:right="2"/>
      </w:pPr>
      <w:r>
        <w:t xml:space="preserve">Based on the findings of this review, several recommendations can be made for policy and practice. Firstly, there is a need for increased investment in social care services to address workforce shortages and improve access to community-based support. Secondly, strengthening coordination between health and social care services is essential to ensure smoother transitions from hospital to home or other care settings. </w:t>
      </w:r>
    </w:p>
    <w:p w14:paraId="4D3C388C" w14:textId="77777777" w:rsidR="00025E78" w:rsidRDefault="00000000">
      <w:pPr>
        <w:spacing w:after="531"/>
        <w:ind w:left="-5" w:right="2"/>
      </w:pPr>
      <w:r>
        <w:lastRenderedPageBreak/>
        <w:t xml:space="preserve">In addition, improving communication and involving patients more actively in discharge planning may enhance patient confidence and support more effective discharge processes. Finally, future research should explore delayed discharge using a wider range of study designs, including quantitative approaches, to better understand the scale and impact of the issue across the UK. </w:t>
      </w:r>
    </w:p>
    <w:p w14:paraId="1AE3FC71" w14:textId="77777777" w:rsidR="00EB765F" w:rsidRDefault="00EB765F">
      <w:pPr>
        <w:pStyle w:val="Heading1"/>
        <w:numPr>
          <w:ilvl w:val="0"/>
          <w:numId w:val="0"/>
        </w:numPr>
        <w:ind w:left="-5"/>
      </w:pPr>
    </w:p>
    <w:p w14:paraId="515630AA" w14:textId="77777777" w:rsidR="00EB765F" w:rsidRDefault="00EB765F">
      <w:pPr>
        <w:pStyle w:val="Heading1"/>
        <w:numPr>
          <w:ilvl w:val="0"/>
          <w:numId w:val="0"/>
        </w:numPr>
        <w:ind w:left="-5"/>
      </w:pPr>
    </w:p>
    <w:p w14:paraId="1A5236D1" w14:textId="37584B86" w:rsidR="00025E78" w:rsidRPr="00CB0996" w:rsidRDefault="00000000">
      <w:pPr>
        <w:pStyle w:val="Heading1"/>
        <w:numPr>
          <w:ilvl w:val="0"/>
          <w:numId w:val="0"/>
        </w:numPr>
        <w:ind w:left="-5"/>
        <w:rPr>
          <w:rFonts w:ascii="Arial" w:hAnsi="Arial" w:cs="Arial"/>
        </w:rPr>
      </w:pPr>
      <w:bookmarkStart w:id="25" w:name="_Toc228392501"/>
      <w:r w:rsidRPr="00CB0996">
        <w:rPr>
          <w:rFonts w:ascii="Arial" w:hAnsi="Arial" w:cs="Arial"/>
        </w:rPr>
        <w:t>References</w:t>
      </w:r>
      <w:bookmarkEnd w:id="25"/>
      <w:r w:rsidRPr="00CB0996">
        <w:rPr>
          <w:rFonts w:ascii="Arial" w:hAnsi="Arial" w:cs="Arial"/>
        </w:rPr>
        <w:t xml:space="preserve"> </w:t>
      </w:r>
    </w:p>
    <w:p w14:paraId="5F0DAF3D" w14:textId="77777777" w:rsidR="00025E78" w:rsidRDefault="00000000">
      <w:pPr>
        <w:spacing w:after="263" w:line="259" w:lineRule="auto"/>
        <w:ind w:left="0" w:firstLine="0"/>
      </w:pPr>
      <w:r>
        <w:t xml:space="preserve"> </w:t>
      </w:r>
    </w:p>
    <w:p w14:paraId="2B08A3A8" w14:textId="4FED7DD4" w:rsidR="00025E78" w:rsidRDefault="00000000">
      <w:pPr>
        <w:spacing w:after="287" w:line="365" w:lineRule="auto"/>
        <w:ind w:left="-5"/>
      </w:pPr>
      <w:r>
        <w:t xml:space="preserve">Age UK (2025) </w:t>
      </w:r>
      <w:r>
        <w:rPr>
          <w:i/>
        </w:rPr>
        <w:t>Hospital discharge and recovery (Factsheet 37)</w:t>
      </w:r>
      <w:r>
        <w:t xml:space="preserve">. Available at: </w:t>
      </w:r>
      <w:r>
        <w:rPr>
          <w:color w:val="0000FF"/>
          <w:u w:val="single" w:color="0000FF"/>
        </w:rPr>
        <w:t>https://www.ageuk.org.uk/siteassets/documents/factsheets/fs37_hospital_discharge_fcs.pdf</w:t>
      </w:r>
      <w:r>
        <w:t xml:space="preserve"> (Accessed: 24</w:t>
      </w:r>
      <w:r>
        <w:rPr>
          <w:vertAlign w:val="superscript"/>
        </w:rPr>
        <w:t>th</w:t>
      </w:r>
      <w:r>
        <w:t xml:space="preserve"> March 2026) </w:t>
      </w:r>
    </w:p>
    <w:p w14:paraId="057B3E79" w14:textId="77777777" w:rsidR="00025E78" w:rsidRDefault="00000000">
      <w:pPr>
        <w:ind w:left="-5" w:right="111"/>
      </w:pPr>
      <w:r>
        <w:t xml:space="preserve">Arksey, H. and O’Malley, L. (2005) ‘Scoping studies: Towards a methodological framework’, </w:t>
      </w:r>
      <w:r>
        <w:rPr>
          <w:i/>
        </w:rPr>
        <w:t>International Journal of Social Research Methodology</w:t>
      </w:r>
      <w:r>
        <w:t xml:space="preserve">, 8(1), pp. 19–32. Available at: </w:t>
      </w:r>
      <w:r>
        <w:rPr>
          <w:color w:val="0000FF"/>
          <w:u w:val="single" w:color="0000FF"/>
        </w:rPr>
        <w:t>https://doi.org/10.1080/1364557032000119616</w:t>
      </w:r>
      <w:r>
        <w:t xml:space="preserve"> (Accessed: 20</w:t>
      </w:r>
      <w:r>
        <w:rPr>
          <w:vertAlign w:val="superscript"/>
        </w:rPr>
        <w:t>th</w:t>
      </w:r>
      <w:r>
        <w:t xml:space="preserve"> March 2026) </w:t>
      </w:r>
    </w:p>
    <w:p w14:paraId="641864A6" w14:textId="77777777" w:rsidR="00025E78" w:rsidRDefault="00000000">
      <w:pPr>
        <w:spacing w:after="283" w:line="365" w:lineRule="auto"/>
        <w:ind w:left="-5" w:right="248"/>
      </w:pPr>
      <w:r>
        <w:t xml:space="preserve">British Medical Association (2025) </w:t>
      </w:r>
      <w:r>
        <w:rPr>
          <w:i/>
        </w:rPr>
        <w:t>NHS hospital beds data analysis</w:t>
      </w:r>
      <w:r>
        <w:t xml:space="preserve">. Available at: </w:t>
      </w:r>
      <w:r>
        <w:rPr>
          <w:color w:val="0000FF"/>
          <w:u w:val="single" w:color="0000FF"/>
        </w:rPr>
        <w:t>https://www.bma.org.uk/advice-and-support/nhs-delivery-and-workforce/pressures/nhshospital-beds-data-analysis</w:t>
      </w:r>
      <w:r>
        <w:t xml:space="preserve"> (Accessed: 5</w:t>
      </w:r>
      <w:r>
        <w:rPr>
          <w:vertAlign w:val="superscript"/>
        </w:rPr>
        <w:t>th</w:t>
      </w:r>
      <w:r>
        <w:t xml:space="preserve"> March 2026) </w:t>
      </w:r>
    </w:p>
    <w:p w14:paraId="16DA1318" w14:textId="77777777" w:rsidR="00025E78" w:rsidRDefault="00000000">
      <w:pPr>
        <w:spacing w:after="116" w:line="259" w:lineRule="auto"/>
        <w:ind w:left="-5"/>
      </w:pPr>
      <w:r>
        <w:t xml:space="preserve">Care Quality Commission (2024) </w:t>
      </w:r>
      <w:r>
        <w:rPr>
          <w:i/>
        </w:rPr>
        <w:t>The state of health care and adult social care in England</w:t>
      </w:r>
      <w:r>
        <w:t xml:space="preserve">. </w:t>
      </w:r>
    </w:p>
    <w:p w14:paraId="471B2A94" w14:textId="77777777" w:rsidR="00025E78" w:rsidRDefault="00000000">
      <w:pPr>
        <w:spacing w:after="271" w:line="365" w:lineRule="auto"/>
        <w:ind w:left="-5"/>
      </w:pPr>
      <w:r>
        <w:t xml:space="preserve">Available at: </w:t>
      </w:r>
      <w:r>
        <w:rPr>
          <w:color w:val="0000FF"/>
          <w:u w:val="single" w:color="0000FF"/>
        </w:rPr>
        <w:t>https://www.cqc.org.uk/publications/major-report/state-care</w:t>
      </w:r>
      <w:r>
        <w:t xml:space="preserve"> (Accessed: 7</w:t>
      </w:r>
      <w:r>
        <w:rPr>
          <w:vertAlign w:val="superscript"/>
        </w:rPr>
        <w:t>th</w:t>
      </w:r>
      <w:r>
        <w:t xml:space="preserve"> February 2026) </w:t>
      </w:r>
    </w:p>
    <w:p w14:paraId="783D45B5" w14:textId="77777777" w:rsidR="00025E78" w:rsidRDefault="00000000">
      <w:pPr>
        <w:spacing w:after="0"/>
        <w:ind w:left="-5" w:right="2"/>
      </w:pPr>
      <w:r>
        <w:t xml:space="preserve">Department of Health and Social Care and NHS England (2024) </w:t>
      </w:r>
      <w:r>
        <w:rPr>
          <w:i/>
        </w:rPr>
        <w:t>Hospital discharge and community support guidance</w:t>
      </w:r>
      <w:r>
        <w:t xml:space="preserve">. Available </w:t>
      </w:r>
    </w:p>
    <w:p w14:paraId="61A817B4" w14:textId="77777777" w:rsidR="00025E78" w:rsidRDefault="00000000">
      <w:pPr>
        <w:spacing w:after="280" w:line="365" w:lineRule="auto"/>
        <w:ind w:left="-5"/>
      </w:pPr>
      <w:r>
        <w:t xml:space="preserve">at: </w:t>
      </w:r>
      <w:r>
        <w:rPr>
          <w:color w:val="0000FF"/>
          <w:u w:val="single" w:color="0000FF"/>
        </w:rPr>
        <w:t>https://www.gov.uk/government/publications/hospital-discharge-and-community-supportguidance/hospital-discharge-and-community-support-guidance</w:t>
      </w:r>
      <w:r>
        <w:t xml:space="preserve"> (Accessed: 24</w:t>
      </w:r>
      <w:r>
        <w:rPr>
          <w:vertAlign w:val="superscript"/>
        </w:rPr>
        <w:t>th</w:t>
      </w:r>
      <w:r>
        <w:t xml:space="preserve"> March 2026) </w:t>
      </w:r>
    </w:p>
    <w:p w14:paraId="08A24443" w14:textId="77777777" w:rsidR="00025E78" w:rsidRDefault="00000000">
      <w:pPr>
        <w:spacing w:after="159" w:line="365" w:lineRule="auto"/>
        <w:ind w:left="-5"/>
      </w:pPr>
      <w:r>
        <w:t xml:space="preserve">Foster, D. (2023) </w:t>
      </w:r>
      <w:r>
        <w:rPr>
          <w:i/>
        </w:rPr>
        <w:t>Delayed hospital discharges and adult social care</w:t>
      </w:r>
      <w:r>
        <w:t xml:space="preserve">. House of Commons Library. Available at: </w:t>
      </w:r>
      <w:r>
        <w:rPr>
          <w:color w:val="0000FF"/>
          <w:u w:val="single" w:color="0000FF"/>
        </w:rPr>
        <w:t>https://commonslibrary.parliament.uk/delayed-hospital-discharges-andadult-social-care/</w:t>
      </w:r>
      <w:r>
        <w:t xml:space="preserve"> (Accessed: 8</w:t>
      </w:r>
      <w:r>
        <w:rPr>
          <w:vertAlign w:val="superscript"/>
        </w:rPr>
        <w:t>th</w:t>
      </w:r>
      <w:r>
        <w:t xml:space="preserve"> February 2026) </w:t>
      </w:r>
    </w:p>
    <w:p w14:paraId="54217915" w14:textId="77777777" w:rsidR="00025E78" w:rsidRDefault="00000000">
      <w:pPr>
        <w:ind w:left="-5" w:right="223"/>
      </w:pPr>
      <w:r>
        <w:lastRenderedPageBreak/>
        <w:t xml:space="preserve">Gridley, K., Baxter, K., Birks, Y., Newbould, L., Allan, S., Roland, D., </w:t>
      </w:r>
      <w:proofErr w:type="spellStart"/>
      <w:r>
        <w:t>Malisauskaite</w:t>
      </w:r>
      <w:proofErr w:type="spellEnd"/>
      <w:r>
        <w:t xml:space="preserve">, G. and Jones, K. (2022) ‘Social care causes of delayed transfer of care from hospital for older people in England’, </w:t>
      </w:r>
      <w:r>
        <w:rPr>
          <w:i/>
        </w:rPr>
        <w:t>Health &amp; Social Care in the Community</w:t>
      </w:r>
      <w:r>
        <w:t xml:space="preserve">, 30(6), pp. e4959– e4968. </w:t>
      </w:r>
      <w:r>
        <w:rPr>
          <w:color w:val="0000FF"/>
          <w:u w:val="single" w:color="0000FF"/>
        </w:rPr>
        <w:t>https://doi.org/10.1111/hsc.13911</w:t>
      </w:r>
      <w:r>
        <w:t xml:space="preserve"> (Accessed: 7</w:t>
      </w:r>
      <w:r>
        <w:rPr>
          <w:vertAlign w:val="superscript"/>
        </w:rPr>
        <w:t>th</w:t>
      </w:r>
      <w:r>
        <w:t xml:space="preserve"> February 2026) </w:t>
      </w:r>
    </w:p>
    <w:p w14:paraId="232F040E" w14:textId="77777777" w:rsidR="00025E78" w:rsidRDefault="00000000">
      <w:pPr>
        <w:spacing w:after="8"/>
        <w:ind w:left="-5" w:right="2"/>
      </w:pPr>
      <w:r>
        <w:t xml:space="preserve">Heenan, D. (2021) ‘Hospital social work and discharge planning for older people: Challenges of working in a clinical setting’, </w:t>
      </w:r>
      <w:r>
        <w:rPr>
          <w:i/>
        </w:rPr>
        <w:t>Ageing and Society</w:t>
      </w:r>
      <w:r>
        <w:t>, 41(10), pp. 2335–</w:t>
      </w:r>
    </w:p>
    <w:p w14:paraId="5DBB565D" w14:textId="77777777" w:rsidR="00025E78" w:rsidRDefault="00000000">
      <w:pPr>
        <w:spacing w:after="277" w:line="259" w:lineRule="auto"/>
        <w:ind w:left="-5"/>
      </w:pPr>
      <w:r>
        <w:t xml:space="preserve">2353. </w:t>
      </w:r>
      <w:r>
        <w:rPr>
          <w:color w:val="0000FF"/>
          <w:u w:val="single" w:color="0000FF"/>
        </w:rPr>
        <w:t>https://doi.org/10.1017/S0144686X21001124</w:t>
      </w:r>
      <w:r>
        <w:t xml:space="preserve"> (Accessed: 7</w:t>
      </w:r>
      <w:r>
        <w:rPr>
          <w:vertAlign w:val="superscript"/>
        </w:rPr>
        <w:t>th</w:t>
      </w:r>
      <w:r>
        <w:t xml:space="preserve"> February 2026) </w:t>
      </w:r>
    </w:p>
    <w:p w14:paraId="76ED2059" w14:textId="77777777" w:rsidR="00025E78" w:rsidRDefault="00000000">
      <w:pPr>
        <w:spacing w:after="159" w:line="365" w:lineRule="auto"/>
        <w:ind w:left="-5"/>
      </w:pPr>
      <w:r>
        <w:t xml:space="preserve">House of Commons Library (2024) </w:t>
      </w:r>
      <w:r>
        <w:rPr>
          <w:i/>
        </w:rPr>
        <w:t>Capacity pressures in health and social care in England</w:t>
      </w:r>
      <w:r>
        <w:t xml:space="preserve">. Available at: </w:t>
      </w:r>
      <w:r>
        <w:rPr>
          <w:color w:val="0000FF"/>
          <w:u w:val="single" w:color="0000FF"/>
        </w:rPr>
        <w:t>https://commonslibrary.parliament.uk/capacity-pressures-in-health-and-socialcare-in-england/</w:t>
      </w:r>
      <w:r>
        <w:t xml:space="preserve"> (Accessed: 18</w:t>
      </w:r>
      <w:r>
        <w:rPr>
          <w:vertAlign w:val="superscript"/>
        </w:rPr>
        <w:t>th</w:t>
      </w:r>
      <w:r>
        <w:t xml:space="preserve"> February 2026) </w:t>
      </w:r>
    </w:p>
    <w:p w14:paraId="01FEEC20" w14:textId="77777777" w:rsidR="00025E78" w:rsidRDefault="00000000">
      <w:pPr>
        <w:ind w:left="-5" w:right="2"/>
      </w:pPr>
      <w:r>
        <w:t xml:space="preserve">Naick, M. and Jones, K. (2025) ‘The availability and supply of short-term care beds in </w:t>
      </w:r>
      <w:proofErr w:type="spellStart"/>
      <w:r>
        <w:t>longterm</w:t>
      </w:r>
      <w:proofErr w:type="spellEnd"/>
      <w:r>
        <w:t xml:space="preserve"> care facilities: A mechanism to ensure timely transfers out of hospital for older patients in England’, </w:t>
      </w:r>
      <w:r>
        <w:rPr>
          <w:i/>
        </w:rPr>
        <w:t>Journal of Long-Term Care</w:t>
      </w:r>
      <w:r>
        <w:t xml:space="preserve">. </w:t>
      </w:r>
      <w:r>
        <w:rPr>
          <w:color w:val="0000FF"/>
          <w:u w:val="single" w:color="0000FF"/>
        </w:rPr>
        <w:t>https://doi.org/10.31389/jltc.337</w:t>
      </w:r>
      <w:r>
        <w:t xml:space="preserve"> (Accessed: 5</w:t>
      </w:r>
      <w:r>
        <w:rPr>
          <w:vertAlign w:val="superscript"/>
        </w:rPr>
        <w:t>th</w:t>
      </w:r>
      <w:r>
        <w:t xml:space="preserve"> March 2026) </w:t>
      </w:r>
    </w:p>
    <w:p w14:paraId="2BB5296B" w14:textId="77777777" w:rsidR="00025E78" w:rsidRDefault="00000000">
      <w:pPr>
        <w:spacing w:after="271" w:line="365" w:lineRule="auto"/>
        <w:ind w:left="-5" w:right="169"/>
      </w:pPr>
      <w:r>
        <w:t xml:space="preserve">National Audit Office (2016) </w:t>
      </w:r>
      <w:r>
        <w:rPr>
          <w:i/>
        </w:rPr>
        <w:t>Discharging older patients from hospital</w:t>
      </w:r>
      <w:r>
        <w:t xml:space="preserve">. Available at: </w:t>
      </w:r>
      <w:r>
        <w:rPr>
          <w:color w:val="0000FF"/>
          <w:u w:val="single" w:color="0000FF"/>
        </w:rPr>
        <w:t>https://www.nao.org.uk/reports/discharging-older-patients-from-hospital/</w:t>
      </w:r>
      <w:r>
        <w:t xml:space="preserve"> (Accessed: 20</w:t>
      </w:r>
      <w:r>
        <w:rPr>
          <w:vertAlign w:val="superscript"/>
        </w:rPr>
        <w:t>th</w:t>
      </w:r>
      <w:r>
        <w:t xml:space="preserve"> March 2026) </w:t>
      </w:r>
    </w:p>
    <w:p w14:paraId="6002C4A4" w14:textId="77777777" w:rsidR="00025E78" w:rsidRDefault="00000000">
      <w:pPr>
        <w:spacing w:after="159" w:line="365" w:lineRule="auto"/>
        <w:ind w:left="-5" w:right="1764"/>
      </w:pPr>
      <w:r>
        <w:t xml:space="preserve">NHS England (2024) </w:t>
      </w:r>
      <w:r>
        <w:rPr>
          <w:i/>
        </w:rPr>
        <w:t>Improving hospital discharge</w:t>
      </w:r>
      <w:r>
        <w:t xml:space="preserve">. Available at: </w:t>
      </w:r>
      <w:r>
        <w:rPr>
          <w:color w:val="0000FF"/>
          <w:u w:val="single" w:color="0000FF"/>
        </w:rPr>
        <w:t>https://www.england.nhs.uk/urgent-emergency-care/improving-hospitaldischarge/</w:t>
      </w:r>
      <w:r>
        <w:t xml:space="preserve"> (Accessed 28</w:t>
      </w:r>
      <w:r>
        <w:rPr>
          <w:vertAlign w:val="superscript"/>
        </w:rPr>
        <w:t>th</w:t>
      </w:r>
      <w:r>
        <w:t xml:space="preserve"> April 2026) </w:t>
      </w:r>
    </w:p>
    <w:p w14:paraId="653E9F18" w14:textId="77777777" w:rsidR="00025E78" w:rsidRDefault="00000000">
      <w:pPr>
        <w:spacing w:after="159" w:line="365" w:lineRule="auto"/>
        <w:ind w:left="-5" w:right="591"/>
      </w:pPr>
      <w:r>
        <w:t xml:space="preserve">NHS England (2025) </w:t>
      </w:r>
      <w:r>
        <w:rPr>
          <w:i/>
        </w:rPr>
        <w:t>Discharge delays (acute data)</w:t>
      </w:r>
      <w:r>
        <w:t xml:space="preserve">. Available at: </w:t>
      </w:r>
      <w:r>
        <w:rPr>
          <w:color w:val="0000FF"/>
          <w:u w:val="single" w:color="0000FF"/>
        </w:rPr>
        <w:t>https://www.england.nhs.uk/statistics/statistical-work-areas/discharge-delays-acutedata/</w:t>
      </w:r>
      <w:r>
        <w:t xml:space="preserve"> (Accessed: 7</w:t>
      </w:r>
      <w:r>
        <w:rPr>
          <w:vertAlign w:val="superscript"/>
        </w:rPr>
        <w:t>th</w:t>
      </w:r>
      <w:r>
        <w:t xml:space="preserve"> February 2026) </w:t>
      </w:r>
    </w:p>
    <w:p w14:paraId="2E6A3B8E" w14:textId="77777777" w:rsidR="00025E78" w:rsidRDefault="00000000">
      <w:pPr>
        <w:spacing w:after="11" w:line="358" w:lineRule="auto"/>
        <w:ind w:left="-5"/>
      </w:pPr>
      <w:r>
        <w:t xml:space="preserve">NICE (2021) </w:t>
      </w:r>
      <w:r>
        <w:rPr>
          <w:i/>
        </w:rPr>
        <w:t>Transition between inpatient hospital settings and community or care home settings for adults with social care needs (NG27)</w:t>
      </w:r>
      <w:r>
        <w:t xml:space="preserve">. Available </w:t>
      </w:r>
    </w:p>
    <w:p w14:paraId="3C7B7647" w14:textId="77777777" w:rsidR="00025E78" w:rsidRDefault="00000000">
      <w:pPr>
        <w:spacing w:after="396" w:line="259" w:lineRule="auto"/>
        <w:ind w:left="-5"/>
      </w:pPr>
      <w:r>
        <w:t xml:space="preserve">at: </w:t>
      </w:r>
      <w:r>
        <w:rPr>
          <w:color w:val="0000FF"/>
          <w:u w:val="single" w:color="0000FF"/>
        </w:rPr>
        <w:t>https://www.nice.org.uk/guidance/ng27</w:t>
      </w:r>
      <w:r>
        <w:t xml:space="preserve"> (Accessed: 18</w:t>
      </w:r>
      <w:r>
        <w:rPr>
          <w:vertAlign w:val="superscript"/>
        </w:rPr>
        <w:t>th</w:t>
      </w:r>
      <w:r>
        <w:t xml:space="preserve"> February 2026) </w:t>
      </w:r>
    </w:p>
    <w:p w14:paraId="67754467" w14:textId="77777777" w:rsidR="00025E78" w:rsidRDefault="00000000">
      <w:pPr>
        <w:spacing w:after="292" w:line="365" w:lineRule="auto"/>
        <w:ind w:left="-5" w:right="334"/>
      </w:pPr>
      <w:r>
        <w:t xml:space="preserve">Nuffield Trust (2025) </w:t>
      </w:r>
      <w:r>
        <w:rPr>
          <w:i/>
        </w:rPr>
        <w:t>Delayed discharges from hospital</w:t>
      </w:r>
      <w:r>
        <w:t xml:space="preserve">. Available at: </w:t>
      </w:r>
      <w:r>
        <w:rPr>
          <w:color w:val="0000FF"/>
          <w:u w:val="single" w:color="0000FF"/>
        </w:rPr>
        <w:t>https://www.nuffieldtrust.org.uk/resource/delayed-discharges-from-hospital</w:t>
      </w:r>
      <w:r>
        <w:t xml:space="preserve"> (Accessed: 20</w:t>
      </w:r>
      <w:r>
        <w:rPr>
          <w:vertAlign w:val="superscript"/>
        </w:rPr>
        <w:t>th</w:t>
      </w:r>
      <w:r>
        <w:t xml:space="preserve"> March 2026) </w:t>
      </w:r>
    </w:p>
    <w:p w14:paraId="18CE0F9E" w14:textId="77777777" w:rsidR="00025E78" w:rsidRDefault="00000000">
      <w:pPr>
        <w:spacing w:after="116" w:line="259" w:lineRule="auto"/>
        <w:ind w:left="-5" w:right="2"/>
      </w:pPr>
      <w:r>
        <w:t xml:space="preserve">Nuffield Trust (2025) </w:t>
      </w:r>
      <w:r>
        <w:rPr>
          <w:i/>
        </w:rPr>
        <w:t>Hospital bed occupancy</w:t>
      </w:r>
      <w:r>
        <w:t xml:space="preserve">. Available </w:t>
      </w:r>
    </w:p>
    <w:p w14:paraId="3439DEF7" w14:textId="77777777" w:rsidR="00025E78" w:rsidRDefault="00000000">
      <w:pPr>
        <w:spacing w:after="159" w:line="365" w:lineRule="auto"/>
        <w:ind w:left="-5"/>
      </w:pPr>
      <w:r>
        <w:lastRenderedPageBreak/>
        <w:t xml:space="preserve">at: </w:t>
      </w:r>
      <w:r>
        <w:rPr>
          <w:color w:val="0000FF"/>
          <w:u w:val="single" w:color="0000FF"/>
        </w:rPr>
        <w:t>https://www.nuffieldtrust.org.uk/resource/hospital-bed-occupancy</w:t>
      </w:r>
      <w:r>
        <w:t xml:space="preserve"> (Accessed: 20</w:t>
      </w:r>
      <w:r>
        <w:rPr>
          <w:vertAlign w:val="superscript"/>
        </w:rPr>
        <w:t>th</w:t>
      </w:r>
      <w:r>
        <w:t xml:space="preserve"> February 2026) </w:t>
      </w:r>
    </w:p>
    <w:p w14:paraId="2B2B76E9" w14:textId="77777777" w:rsidR="00025E78" w:rsidRDefault="00000000">
      <w:pPr>
        <w:ind w:left="-5" w:right="823"/>
      </w:pPr>
      <w:r>
        <w:t xml:space="preserve">Patel, R., Edwards, H. and Hussein, S. (2024) ‘The psychological impact of hospital discharge on older adults: A systematic review’, </w:t>
      </w:r>
      <w:r>
        <w:rPr>
          <w:i/>
        </w:rPr>
        <w:t>Geriatrics</w:t>
      </w:r>
      <w:r>
        <w:t xml:space="preserve">, 9(6), p. 167. Available at: </w:t>
      </w:r>
      <w:r>
        <w:rPr>
          <w:color w:val="0000FF"/>
          <w:u w:val="single" w:color="0000FF"/>
        </w:rPr>
        <w:t>https://www.mdpi.com/2308-3417/9/6/167</w:t>
      </w:r>
      <w:r>
        <w:t xml:space="preserve"> (Accessed: 5</w:t>
      </w:r>
      <w:r>
        <w:rPr>
          <w:vertAlign w:val="superscript"/>
        </w:rPr>
        <w:t>th</w:t>
      </w:r>
      <w:r>
        <w:t xml:space="preserve"> March 2026) </w:t>
      </w:r>
    </w:p>
    <w:p w14:paraId="3D7D7F91" w14:textId="77777777" w:rsidR="00025E78" w:rsidRDefault="00000000">
      <w:pPr>
        <w:spacing w:after="284" w:line="365" w:lineRule="auto"/>
        <w:ind w:left="-5"/>
      </w:pPr>
      <w:r>
        <w:t xml:space="preserve">Skills for Care (2025) </w:t>
      </w:r>
      <w:r>
        <w:rPr>
          <w:i/>
        </w:rPr>
        <w:t>The state of the adult social care sector and workforce in England</w:t>
      </w:r>
      <w:r>
        <w:t xml:space="preserve">. Available at: </w:t>
      </w:r>
      <w:proofErr w:type="gramStart"/>
      <w:r>
        <w:rPr>
          <w:color w:val="0000FF"/>
          <w:u w:val="single" w:color="0000FF"/>
        </w:rPr>
        <w:t>https://www.skillsforcare.org.uk/adult-social-care-workforce-data/Workforceintelligence/publications/national-information/The-state-of-the-adult-social-care-sector-andworkforce-in-England.aspx</w:t>
      </w:r>
      <w:r>
        <w:t xml:space="preserve">  (</w:t>
      </w:r>
      <w:proofErr w:type="gramEnd"/>
      <w:r>
        <w:t>Accessed: 18</w:t>
      </w:r>
      <w:r>
        <w:rPr>
          <w:vertAlign w:val="superscript"/>
        </w:rPr>
        <w:t>th</w:t>
      </w:r>
      <w:r>
        <w:t xml:space="preserve"> February 2026) </w:t>
      </w:r>
    </w:p>
    <w:p w14:paraId="1293BCFD" w14:textId="77777777" w:rsidR="00025E78" w:rsidRDefault="00000000">
      <w:pPr>
        <w:ind w:left="-5" w:right="2"/>
      </w:pPr>
      <w:r>
        <w:t xml:space="preserve">Smith, H., Grindey, C., Hague, I., Newbould, L., Brown, L., Clegg, A., Thompson, C. and Lawton, R. (2022) ‘Reducing delayed transfer of care in older people: A qualitative study of barriers and facilitators to shorter hospital stays’, </w:t>
      </w:r>
      <w:r>
        <w:rPr>
          <w:i/>
        </w:rPr>
        <w:t>Health Expectations</w:t>
      </w:r>
      <w:r>
        <w:t xml:space="preserve">, 25(6), pp. 2628– 2644. </w:t>
      </w:r>
      <w:r>
        <w:rPr>
          <w:color w:val="0000FF"/>
          <w:u w:val="single" w:color="0000FF"/>
        </w:rPr>
        <w:t>https://doi.org/10.1111/hex.13588</w:t>
      </w:r>
      <w:r>
        <w:t xml:space="preserve"> (Accessed: 5</w:t>
      </w:r>
      <w:r>
        <w:rPr>
          <w:vertAlign w:val="superscript"/>
        </w:rPr>
        <w:t>th</w:t>
      </w:r>
      <w:r>
        <w:t xml:space="preserve"> March 2026) </w:t>
      </w:r>
    </w:p>
    <w:p w14:paraId="48C5EB2F" w14:textId="77777777" w:rsidR="00025E78" w:rsidRDefault="00000000">
      <w:pPr>
        <w:spacing w:after="11"/>
        <w:ind w:left="-5" w:right="2"/>
      </w:pPr>
      <w:r>
        <w:t xml:space="preserve">The Health Foundation (2025) </w:t>
      </w:r>
      <w:r>
        <w:rPr>
          <w:i/>
        </w:rPr>
        <w:t>Delayed discharges from hospital: Comparing performance</w:t>
      </w:r>
      <w:r>
        <w:t xml:space="preserve"> this year and last. Available at: </w:t>
      </w:r>
      <w:r>
        <w:rPr>
          <w:color w:val="96607D"/>
          <w:u w:val="single" w:color="96607D"/>
        </w:rPr>
        <w:t>https://www.health.org.uk/reports-and-</w:t>
      </w:r>
    </w:p>
    <w:p w14:paraId="6BDC4988" w14:textId="77777777" w:rsidR="00025E78" w:rsidRDefault="00000000">
      <w:pPr>
        <w:spacing w:after="277" w:line="364" w:lineRule="auto"/>
        <w:ind w:left="0" w:firstLine="0"/>
      </w:pPr>
      <w:r>
        <w:rPr>
          <w:color w:val="96607D"/>
          <w:u w:val="single" w:color="96607D"/>
        </w:rPr>
        <w:t>analysis/analysis/delayed-discharges-from-hospital-comparing-performance</w:t>
      </w:r>
      <w:r>
        <w:rPr>
          <w:color w:val="0000FF"/>
          <w:u w:val="single" w:color="96607D"/>
        </w:rPr>
        <w:t xml:space="preserve"> </w:t>
      </w:r>
      <w:r>
        <w:rPr>
          <w:u w:val="single" w:color="96607D"/>
        </w:rPr>
        <w:t>(</w:t>
      </w:r>
      <w:r>
        <w:t>Accessed: 20</w:t>
      </w:r>
      <w:r>
        <w:rPr>
          <w:vertAlign w:val="superscript"/>
        </w:rPr>
        <w:t>th</w:t>
      </w:r>
      <w:r>
        <w:t xml:space="preserve"> March 2026) </w:t>
      </w:r>
    </w:p>
    <w:p w14:paraId="7CFDCFFA" w14:textId="77777777" w:rsidR="00025E78" w:rsidRDefault="00000000">
      <w:pPr>
        <w:spacing w:after="159" w:line="365" w:lineRule="auto"/>
        <w:ind w:left="-5" w:right="138"/>
      </w:pPr>
      <w:r>
        <w:t xml:space="preserve">The King’s Fund (2025) </w:t>
      </w:r>
      <w:r>
        <w:rPr>
          <w:i/>
        </w:rPr>
        <w:t>Delayed discharges and social care capacity</w:t>
      </w:r>
      <w:r>
        <w:t xml:space="preserve">. Available at: </w:t>
      </w:r>
      <w:r>
        <w:rPr>
          <w:color w:val="0000FF"/>
          <w:u w:val="single" w:color="0000FF"/>
        </w:rPr>
        <w:t>https://www.kingsfund.org.uk/insight-and-analysis/blogs/delayed-discharges-social-carecapacity</w:t>
      </w:r>
      <w:r>
        <w:t xml:space="preserve"> (Accessed: 10</w:t>
      </w:r>
      <w:r>
        <w:rPr>
          <w:vertAlign w:val="superscript"/>
        </w:rPr>
        <w:t>th</w:t>
      </w:r>
      <w:r>
        <w:t xml:space="preserve"> February 2026) </w:t>
      </w:r>
    </w:p>
    <w:p w14:paraId="3020A77A" w14:textId="77777777" w:rsidR="00025E78" w:rsidRDefault="00000000">
      <w:pPr>
        <w:spacing w:after="175" w:line="259" w:lineRule="auto"/>
        <w:ind w:left="0" w:firstLine="0"/>
      </w:pPr>
      <w:r>
        <w:rPr>
          <w:rFonts w:ascii="Times New Roman" w:eastAsia="Times New Roman" w:hAnsi="Times New Roman" w:cs="Times New Roman"/>
        </w:rPr>
        <w:t xml:space="preserve"> </w:t>
      </w:r>
    </w:p>
    <w:p w14:paraId="6FC5BE52" w14:textId="77777777" w:rsidR="00025E78" w:rsidRDefault="00000000">
      <w:pPr>
        <w:spacing w:after="0" w:line="259" w:lineRule="auto"/>
        <w:ind w:left="0" w:firstLine="0"/>
      </w:pPr>
      <w:r>
        <w:rPr>
          <w:rFonts w:ascii="Times New Roman" w:eastAsia="Times New Roman" w:hAnsi="Times New Roman" w:cs="Times New Roman"/>
          <w:sz w:val="24"/>
        </w:rPr>
        <w:t xml:space="preserve"> </w:t>
      </w:r>
    </w:p>
    <w:sectPr w:rsidR="00025E78">
      <w:footerReference w:type="even" r:id="rId8"/>
      <w:footerReference w:type="default" r:id="rId9"/>
      <w:footerReference w:type="first" r:id="rId10"/>
      <w:pgSz w:w="11906" w:h="16838"/>
      <w:pgMar w:top="1452" w:right="1426" w:bottom="1515" w:left="14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976C1" w14:textId="77777777" w:rsidR="009B4AB4" w:rsidRDefault="009B4AB4">
      <w:pPr>
        <w:spacing w:after="0" w:line="240" w:lineRule="auto"/>
      </w:pPr>
      <w:r>
        <w:separator/>
      </w:r>
    </w:p>
  </w:endnote>
  <w:endnote w:type="continuationSeparator" w:id="0">
    <w:p w14:paraId="57695F51" w14:textId="77777777" w:rsidR="009B4AB4" w:rsidRDefault="009B4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4F818" w14:textId="77777777" w:rsidR="00025E78" w:rsidRDefault="00000000">
    <w:pPr>
      <w:spacing w:after="0" w:line="259" w:lineRule="auto"/>
      <w:ind w:left="0" w:right="1"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5D6EA6E1" w14:textId="77777777" w:rsidR="00025E78" w:rsidRDefault="00000000">
    <w:pPr>
      <w:spacing w:after="0" w:line="259" w:lineRule="auto"/>
      <w:ind w:left="0" w:firstLine="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444D2" w14:textId="77777777" w:rsidR="00025E78" w:rsidRDefault="00000000">
    <w:pPr>
      <w:spacing w:after="0" w:line="259" w:lineRule="auto"/>
      <w:ind w:left="0" w:right="1"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C21151D" w14:textId="77777777" w:rsidR="00025E78" w:rsidRDefault="00000000">
    <w:pPr>
      <w:spacing w:after="0" w:line="259" w:lineRule="auto"/>
      <w:ind w:left="0" w:firstLine="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A73EA" w14:textId="77777777" w:rsidR="00025E78" w:rsidRDefault="00025E78">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698E4" w14:textId="77777777" w:rsidR="009B4AB4" w:rsidRDefault="009B4AB4">
      <w:pPr>
        <w:spacing w:after="0" w:line="240" w:lineRule="auto"/>
      </w:pPr>
      <w:r>
        <w:separator/>
      </w:r>
    </w:p>
  </w:footnote>
  <w:footnote w:type="continuationSeparator" w:id="0">
    <w:p w14:paraId="77E8AFC4" w14:textId="77777777" w:rsidR="009B4AB4" w:rsidRDefault="009B4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95776B"/>
    <w:multiLevelType w:val="hybridMultilevel"/>
    <w:tmpl w:val="BCFCB360"/>
    <w:lvl w:ilvl="0" w:tplc="DCB6ACAC">
      <w:start w:val="2"/>
      <w:numFmt w:val="decimal"/>
      <w:pStyle w:val="Heading1"/>
      <w:lvlText w:val="%1."/>
      <w:lvlJc w:val="left"/>
      <w:pPr>
        <w:ind w:left="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1" w:tplc="C9EC1488">
      <w:start w:val="1"/>
      <w:numFmt w:val="lowerLetter"/>
      <w:lvlText w:val="%2"/>
      <w:lvlJc w:val="left"/>
      <w:pPr>
        <w:ind w:left="108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2" w:tplc="27B0DB24">
      <w:start w:val="1"/>
      <w:numFmt w:val="lowerRoman"/>
      <w:lvlText w:val="%3"/>
      <w:lvlJc w:val="left"/>
      <w:pPr>
        <w:ind w:left="180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3" w:tplc="7E341756">
      <w:start w:val="1"/>
      <w:numFmt w:val="decimal"/>
      <w:lvlText w:val="%4"/>
      <w:lvlJc w:val="left"/>
      <w:pPr>
        <w:ind w:left="252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4" w:tplc="AC0CB5FE">
      <w:start w:val="1"/>
      <w:numFmt w:val="lowerLetter"/>
      <w:lvlText w:val="%5"/>
      <w:lvlJc w:val="left"/>
      <w:pPr>
        <w:ind w:left="324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5" w:tplc="5EFC4756">
      <w:start w:val="1"/>
      <w:numFmt w:val="lowerRoman"/>
      <w:lvlText w:val="%6"/>
      <w:lvlJc w:val="left"/>
      <w:pPr>
        <w:ind w:left="396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6" w:tplc="FA18F2B2">
      <w:start w:val="1"/>
      <w:numFmt w:val="decimal"/>
      <w:lvlText w:val="%7"/>
      <w:lvlJc w:val="left"/>
      <w:pPr>
        <w:ind w:left="468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7" w:tplc="2ABE2FE4">
      <w:start w:val="1"/>
      <w:numFmt w:val="lowerLetter"/>
      <w:lvlText w:val="%8"/>
      <w:lvlJc w:val="left"/>
      <w:pPr>
        <w:ind w:left="540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lvl w:ilvl="8" w:tplc="96B88E94">
      <w:start w:val="1"/>
      <w:numFmt w:val="lowerRoman"/>
      <w:lvlText w:val="%9"/>
      <w:lvlJc w:val="left"/>
      <w:pPr>
        <w:ind w:left="6120"/>
      </w:pPr>
      <w:rPr>
        <w:rFonts w:ascii="Aptos Display" w:eastAsia="Aptos Display" w:hAnsi="Aptos Display" w:cs="Aptos Display"/>
        <w:b w:val="0"/>
        <w:i w:val="0"/>
        <w:strike w:val="0"/>
        <w:dstrike w:val="0"/>
        <w:color w:val="0F4761"/>
        <w:sz w:val="40"/>
        <w:szCs w:val="40"/>
        <w:u w:val="none" w:color="000000"/>
        <w:bdr w:val="none" w:sz="0" w:space="0" w:color="auto"/>
        <w:shd w:val="clear" w:color="auto" w:fill="auto"/>
        <w:vertAlign w:val="baseline"/>
      </w:rPr>
    </w:lvl>
  </w:abstractNum>
  <w:num w:numId="1" w16cid:durableId="2095006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E78"/>
    <w:rsid w:val="00014BF1"/>
    <w:rsid w:val="000153F6"/>
    <w:rsid w:val="00025E78"/>
    <w:rsid w:val="00053AE5"/>
    <w:rsid w:val="0020118A"/>
    <w:rsid w:val="0021506F"/>
    <w:rsid w:val="00215C34"/>
    <w:rsid w:val="002A7AC3"/>
    <w:rsid w:val="00552A13"/>
    <w:rsid w:val="00671335"/>
    <w:rsid w:val="00671D21"/>
    <w:rsid w:val="007841D3"/>
    <w:rsid w:val="0079554C"/>
    <w:rsid w:val="007B3A13"/>
    <w:rsid w:val="007E17B1"/>
    <w:rsid w:val="0081276D"/>
    <w:rsid w:val="009155FC"/>
    <w:rsid w:val="009B4AB4"/>
    <w:rsid w:val="00B85D02"/>
    <w:rsid w:val="00CB0996"/>
    <w:rsid w:val="00D361E2"/>
    <w:rsid w:val="00EB7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62905D"/>
  <w15:docId w15:val="{E34DC8CE-AFBA-FD44-B446-3AF29CE08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1" w:line="361"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numPr>
        <w:numId w:val="1"/>
      </w:numPr>
      <w:spacing w:after="0" w:line="259" w:lineRule="auto"/>
      <w:ind w:left="10" w:hanging="10"/>
      <w:outlineLvl w:val="0"/>
    </w:pPr>
    <w:rPr>
      <w:rFonts w:ascii="Aptos Display" w:eastAsia="Aptos Display" w:hAnsi="Aptos Display" w:cs="Aptos Display"/>
      <w:color w:val="0F4761"/>
      <w:sz w:val="40"/>
    </w:rPr>
  </w:style>
  <w:style w:type="paragraph" w:styleId="Heading2">
    <w:name w:val="heading 2"/>
    <w:next w:val="Normal"/>
    <w:link w:val="Heading2Char"/>
    <w:uiPriority w:val="9"/>
    <w:unhideWhenUsed/>
    <w:qFormat/>
    <w:pPr>
      <w:keepNext/>
      <w:keepLines/>
      <w:spacing w:after="26" w:line="259" w:lineRule="auto"/>
      <w:ind w:left="10" w:hanging="10"/>
      <w:outlineLvl w:val="1"/>
    </w:pPr>
    <w:rPr>
      <w:rFonts w:ascii="Times New Roman" w:eastAsia="Times New Roman" w:hAnsi="Times New Roman" w:cs="Times New Roman"/>
      <w:color w:val="0F4761"/>
      <w:sz w:val="28"/>
    </w:rPr>
  </w:style>
  <w:style w:type="paragraph" w:styleId="Heading3">
    <w:name w:val="heading 3"/>
    <w:basedOn w:val="Normal"/>
    <w:next w:val="Normal"/>
    <w:link w:val="Heading3Char"/>
    <w:uiPriority w:val="9"/>
    <w:unhideWhenUsed/>
    <w:qFormat/>
    <w:rsid w:val="002A7AC3"/>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F4761"/>
      <w:sz w:val="28"/>
    </w:rPr>
  </w:style>
  <w:style w:type="character" w:customStyle="1" w:styleId="Heading1Char">
    <w:name w:val="Heading 1 Char"/>
    <w:link w:val="Heading1"/>
    <w:rPr>
      <w:rFonts w:ascii="Aptos Display" w:eastAsia="Aptos Display" w:hAnsi="Aptos Display" w:cs="Aptos Display"/>
      <w:color w:val="0F4761"/>
      <w:sz w:val="40"/>
    </w:rPr>
  </w:style>
  <w:style w:type="paragraph" w:styleId="TOC1">
    <w:name w:val="toc 1"/>
    <w:hidden/>
    <w:uiPriority w:val="39"/>
    <w:pPr>
      <w:spacing w:after="0" w:line="259" w:lineRule="auto"/>
      <w:ind w:left="25" w:right="21" w:hanging="10"/>
    </w:pPr>
    <w:rPr>
      <w:rFonts w:ascii="Aptos" w:eastAsia="Aptos" w:hAnsi="Aptos" w:cs="Aptos"/>
      <w:b/>
      <w:i/>
      <w:color w:val="000000"/>
    </w:rPr>
  </w:style>
  <w:style w:type="paragraph" w:styleId="TOC2">
    <w:name w:val="toc 2"/>
    <w:hidden/>
    <w:uiPriority w:val="39"/>
    <w:pPr>
      <w:spacing w:after="0" w:line="259" w:lineRule="auto"/>
      <w:ind w:left="505" w:right="21" w:hanging="10"/>
    </w:pPr>
    <w:rPr>
      <w:rFonts w:ascii="Aptos" w:eastAsia="Aptos" w:hAnsi="Aptos" w:cs="Aptos"/>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2A7AC3"/>
    <w:rPr>
      <w:rFonts w:asciiTheme="majorHAnsi" w:eastAsiaTheme="majorEastAsia" w:hAnsiTheme="majorHAnsi" w:cstheme="majorBidi"/>
      <w:color w:val="0A2F40" w:themeColor="accent1" w:themeShade="7F"/>
    </w:rPr>
  </w:style>
  <w:style w:type="character" w:styleId="Hyperlink">
    <w:name w:val="Hyperlink"/>
    <w:basedOn w:val="DefaultParagraphFont"/>
    <w:uiPriority w:val="99"/>
    <w:unhideWhenUsed/>
    <w:rsid w:val="000153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16</Pages>
  <Words>4672</Words>
  <Characters>26636</Characters>
  <Application>Microsoft Office Word</Application>
  <DocSecurity>0</DocSecurity>
  <Lines>221</Lines>
  <Paragraphs>62</Paragraphs>
  <ScaleCrop>false</ScaleCrop>
  <Company/>
  <LinksUpToDate>false</LinksUpToDate>
  <CharactersWithSpaces>31246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Document2</dc:title>
  <dc:subject/>
  <dc:creator>jade terrelonge</dc:creator>
  <cp:keywords/>
  <cp:lastModifiedBy>jade terrelonge</cp:lastModifiedBy>
  <cp:revision>20</cp:revision>
  <dcterms:created xsi:type="dcterms:W3CDTF">2026-04-29T20:16:00Z</dcterms:created>
  <dcterms:modified xsi:type="dcterms:W3CDTF">2026-04-29T21:01:00Z</dcterms:modified>
</cp:coreProperties>
</file>