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E0ADE" w14:textId="77777777" w:rsidR="00EF28B1" w:rsidRDefault="00000000">
      <w:pPr>
        <w:spacing w:line="360" w:lineRule="auto"/>
        <w:jc w:val="center"/>
        <w:rPr>
          <w:rFonts w:ascii="Arial" w:hAnsi="Arial" w:cs="Calibri"/>
          <w:b/>
          <w:bCs/>
        </w:rPr>
      </w:pPr>
      <w:r>
        <w:rPr>
          <w:rFonts w:ascii="Arial" w:hAnsi="Arial" w:cs="Calibri"/>
          <w:b/>
          <w:bCs/>
          <w:noProof/>
        </w:rPr>
        <w:drawing>
          <wp:anchor distT="0" distB="0" distL="0" distR="0" simplePos="0" relativeHeight="2" behindDoc="0" locked="0" layoutInCell="1" allowOverlap="1" wp14:anchorId="01AD1C22" wp14:editId="691D011E">
            <wp:simplePos x="0" y="0"/>
            <wp:positionH relativeFrom="column">
              <wp:posOffset>28575</wp:posOffset>
            </wp:positionH>
            <wp:positionV relativeFrom="paragraph">
              <wp:posOffset>-39370</wp:posOffset>
            </wp:positionV>
            <wp:extent cx="1767205" cy="1008380"/>
            <wp:effectExtent l="0" t="0" r="0" b="0"/>
            <wp:wrapNone/>
            <wp:docPr id="1"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pic:blipFill>
                  <pic:spPr>
                    <a:xfrm>
                      <a:off x="0" y="0"/>
                      <a:ext cx="1767240" cy="1008360"/>
                    </a:xfrm>
                    <a:prstGeom prst="rect">
                      <a:avLst/>
                    </a:prstGeom>
                    <a:ln w="0">
                      <a:noFill/>
                    </a:ln>
                  </pic:spPr>
                </pic:pic>
              </a:graphicData>
            </a:graphic>
          </wp:anchor>
        </w:drawing>
      </w:r>
    </w:p>
    <w:p w14:paraId="44338991" w14:textId="77777777" w:rsidR="00EF28B1" w:rsidRDefault="00EF28B1">
      <w:pPr>
        <w:spacing w:line="360" w:lineRule="auto"/>
        <w:jc w:val="center"/>
        <w:rPr>
          <w:rFonts w:ascii="Arial" w:hAnsi="Arial" w:cs="Calibri"/>
          <w:b/>
          <w:bCs/>
        </w:rPr>
      </w:pPr>
    </w:p>
    <w:p w14:paraId="08314BE2" w14:textId="77777777" w:rsidR="00EF28B1" w:rsidRDefault="00EF28B1">
      <w:pPr>
        <w:spacing w:line="360" w:lineRule="auto"/>
        <w:rPr>
          <w:rFonts w:ascii="Arial" w:hAnsi="Arial" w:cs="Calibri"/>
          <w:b/>
          <w:bCs/>
        </w:rPr>
      </w:pPr>
    </w:p>
    <w:p w14:paraId="6638D1A0" w14:textId="77777777" w:rsidR="00EF28B1" w:rsidRDefault="00EF28B1">
      <w:pPr>
        <w:spacing w:line="360" w:lineRule="auto"/>
        <w:rPr>
          <w:rFonts w:ascii="Arial" w:hAnsi="Arial" w:cs="Calibri"/>
          <w:b/>
          <w:bCs/>
        </w:rPr>
      </w:pPr>
    </w:p>
    <w:p w14:paraId="2CCECDA1" w14:textId="77777777" w:rsidR="00EF28B1" w:rsidRDefault="00000000">
      <w:pPr>
        <w:spacing w:line="360" w:lineRule="auto"/>
        <w:rPr>
          <w:rFonts w:ascii="Arial" w:hAnsi="Arial" w:cs="Calibri"/>
          <w:b/>
          <w:bCs/>
        </w:rPr>
      </w:pPr>
      <w:r>
        <w:rPr>
          <w:rFonts w:ascii="Arial" w:hAnsi="Arial" w:cs="Calibri"/>
          <w:b/>
          <w:bCs/>
        </w:rPr>
        <w:t>Student Name: Patricia Kelly-Lambo</w:t>
      </w:r>
    </w:p>
    <w:p w14:paraId="14B35F8D" w14:textId="77777777" w:rsidR="00EF28B1" w:rsidRDefault="00000000">
      <w:pPr>
        <w:spacing w:line="360" w:lineRule="auto"/>
        <w:rPr>
          <w:rFonts w:ascii="Arial" w:hAnsi="Arial" w:cs="Calibri"/>
          <w:b/>
          <w:bCs/>
        </w:rPr>
      </w:pPr>
      <w:r>
        <w:rPr>
          <w:rFonts w:ascii="Arial" w:hAnsi="Arial" w:cs="Calibri"/>
          <w:b/>
          <w:bCs/>
        </w:rPr>
        <w:t>Student ID:2215117</w:t>
      </w:r>
    </w:p>
    <w:p w14:paraId="40655154" w14:textId="77777777" w:rsidR="00EF28B1" w:rsidRDefault="00000000">
      <w:pPr>
        <w:spacing w:line="360" w:lineRule="auto"/>
        <w:rPr>
          <w:rFonts w:ascii="Arial" w:hAnsi="Arial" w:cs="Calibri"/>
          <w:b/>
          <w:bCs/>
        </w:rPr>
      </w:pPr>
      <w:r>
        <w:rPr>
          <w:rFonts w:ascii="Arial" w:hAnsi="Arial" w:cs="Calibri"/>
          <w:b/>
          <w:bCs/>
        </w:rPr>
        <w:t>Module Code: LCHS7005_LON</w:t>
      </w:r>
    </w:p>
    <w:p w14:paraId="09EDEAB2" w14:textId="77777777" w:rsidR="00EF28B1" w:rsidRDefault="00000000">
      <w:pPr>
        <w:spacing w:line="360" w:lineRule="auto"/>
        <w:rPr>
          <w:rFonts w:ascii="Arial" w:hAnsi="Arial" w:cs="Calibri"/>
          <w:b/>
          <w:bCs/>
        </w:rPr>
      </w:pPr>
      <w:r>
        <w:rPr>
          <w:rFonts w:ascii="Arial" w:hAnsi="Arial" w:cs="Calibri"/>
          <w:b/>
          <w:bCs/>
        </w:rPr>
        <w:t>Module Title: Service Integration and Partnership Working</w:t>
      </w:r>
    </w:p>
    <w:p w14:paraId="075166B7" w14:textId="77777777" w:rsidR="00EF28B1" w:rsidRDefault="00000000">
      <w:pPr>
        <w:spacing w:line="360" w:lineRule="auto"/>
        <w:rPr>
          <w:rFonts w:ascii="Arial" w:hAnsi="Arial" w:cs="Calibri"/>
          <w:b/>
          <w:bCs/>
        </w:rPr>
      </w:pPr>
      <w:r>
        <w:rPr>
          <w:rFonts w:ascii="Arial" w:hAnsi="Arial" w:cs="Calibri"/>
          <w:b/>
          <w:bCs/>
        </w:rPr>
        <w:t xml:space="preserve">Lecturer Name: Dr Diola </w:t>
      </w:r>
      <w:proofErr w:type="spellStart"/>
      <w:r>
        <w:rPr>
          <w:rFonts w:ascii="Arial" w:hAnsi="Arial" w:cs="Calibri"/>
          <w:b/>
          <w:bCs/>
        </w:rPr>
        <w:t>Bijlhout</w:t>
      </w:r>
      <w:proofErr w:type="spellEnd"/>
    </w:p>
    <w:p w14:paraId="58DE28DC" w14:textId="77777777" w:rsidR="00EF28B1" w:rsidRDefault="00000000">
      <w:pPr>
        <w:spacing w:line="360" w:lineRule="auto"/>
        <w:rPr>
          <w:rFonts w:ascii="Arial" w:hAnsi="Arial" w:cs="Calibri"/>
          <w:b/>
          <w:bCs/>
        </w:rPr>
      </w:pPr>
      <w:r>
        <w:rPr>
          <w:rFonts w:ascii="Arial" w:hAnsi="Arial" w:cs="Calibri"/>
          <w:b/>
          <w:bCs/>
        </w:rPr>
        <w:t>Report Title: Reflective Evaluation of Integrated Care Partnership for SEND Services</w:t>
      </w:r>
    </w:p>
    <w:p w14:paraId="5DD26A78" w14:textId="77777777" w:rsidR="00EF28B1" w:rsidRDefault="00EF28B1">
      <w:pPr>
        <w:spacing w:line="360" w:lineRule="auto"/>
        <w:rPr>
          <w:rFonts w:ascii="Arial" w:hAnsi="Arial" w:cs="Calibri"/>
        </w:rPr>
      </w:pPr>
    </w:p>
    <w:p w14:paraId="6C4B62AB" w14:textId="77777777" w:rsidR="00EF28B1" w:rsidRDefault="00EF28B1">
      <w:pPr>
        <w:spacing w:line="360" w:lineRule="auto"/>
        <w:jc w:val="both"/>
        <w:rPr>
          <w:rFonts w:ascii="Arial" w:hAnsi="Arial" w:cs="Calibri"/>
        </w:rPr>
      </w:pPr>
    </w:p>
    <w:p w14:paraId="23153B99" w14:textId="77777777" w:rsidR="00EF28B1" w:rsidRDefault="00EF28B1">
      <w:pPr>
        <w:spacing w:line="360" w:lineRule="auto"/>
        <w:jc w:val="both"/>
        <w:rPr>
          <w:rFonts w:ascii="Arial" w:hAnsi="Arial" w:cs="Calibri"/>
        </w:rPr>
      </w:pPr>
    </w:p>
    <w:p w14:paraId="009C31A1" w14:textId="77777777" w:rsidR="00EF28B1" w:rsidRDefault="00EF28B1">
      <w:pPr>
        <w:spacing w:line="360" w:lineRule="auto"/>
        <w:jc w:val="both"/>
        <w:rPr>
          <w:rFonts w:ascii="Arial" w:hAnsi="Arial" w:cs="Calibri"/>
        </w:rPr>
      </w:pPr>
    </w:p>
    <w:p w14:paraId="0328A730" w14:textId="77777777" w:rsidR="00EF28B1" w:rsidRDefault="00EF28B1">
      <w:pPr>
        <w:spacing w:line="360" w:lineRule="auto"/>
        <w:jc w:val="both"/>
        <w:rPr>
          <w:rFonts w:ascii="Arial" w:hAnsi="Arial" w:cs="Calibri"/>
        </w:rPr>
      </w:pPr>
    </w:p>
    <w:p w14:paraId="49A28AAB" w14:textId="77777777" w:rsidR="00EF28B1" w:rsidRDefault="00EF28B1">
      <w:pPr>
        <w:spacing w:line="360" w:lineRule="auto"/>
        <w:jc w:val="both"/>
        <w:rPr>
          <w:rFonts w:ascii="Arial" w:hAnsi="Arial" w:cs="Calibri"/>
        </w:rPr>
      </w:pPr>
    </w:p>
    <w:p w14:paraId="7BAEAA3A" w14:textId="77777777" w:rsidR="00EF28B1" w:rsidRDefault="00EF28B1">
      <w:pPr>
        <w:spacing w:line="360" w:lineRule="auto"/>
        <w:jc w:val="both"/>
        <w:rPr>
          <w:rFonts w:ascii="Arial" w:hAnsi="Arial" w:cs="Calibri"/>
        </w:rPr>
      </w:pPr>
    </w:p>
    <w:p w14:paraId="76C57E6F" w14:textId="77777777" w:rsidR="00EF28B1" w:rsidRDefault="00EF28B1">
      <w:pPr>
        <w:spacing w:line="360" w:lineRule="auto"/>
        <w:jc w:val="both"/>
        <w:rPr>
          <w:rFonts w:ascii="Arial" w:hAnsi="Arial" w:cs="Calibri"/>
        </w:rPr>
      </w:pPr>
    </w:p>
    <w:p w14:paraId="119062D6" w14:textId="77777777" w:rsidR="00EF28B1" w:rsidRDefault="00EF28B1">
      <w:pPr>
        <w:spacing w:line="360" w:lineRule="auto"/>
        <w:jc w:val="both"/>
        <w:rPr>
          <w:rFonts w:ascii="Arial" w:hAnsi="Arial" w:cs="Calibri"/>
        </w:rPr>
      </w:pPr>
    </w:p>
    <w:p w14:paraId="6B2C5E9E" w14:textId="77777777" w:rsidR="00EF28B1" w:rsidRDefault="00EF28B1">
      <w:pPr>
        <w:spacing w:line="360" w:lineRule="auto"/>
        <w:jc w:val="both"/>
        <w:rPr>
          <w:rFonts w:ascii="Arial" w:hAnsi="Arial" w:cs="Calibri"/>
        </w:rPr>
      </w:pPr>
    </w:p>
    <w:p w14:paraId="2036BA0D" w14:textId="77777777" w:rsidR="00EF28B1" w:rsidRDefault="00EF28B1">
      <w:pPr>
        <w:spacing w:line="360" w:lineRule="auto"/>
        <w:jc w:val="both"/>
        <w:rPr>
          <w:rFonts w:ascii="Arial" w:hAnsi="Arial" w:cs="Calibri"/>
        </w:rPr>
      </w:pPr>
    </w:p>
    <w:p w14:paraId="6E8C58DD" w14:textId="77777777" w:rsidR="00EF28B1" w:rsidRDefault="00EF28B1">
      <w:pPr>
        <w:spacing w:line="360" w:lineRule="auto"/>
        <w:jc w:val="both"/>
        <w:rPr>
          <w:rFonts w:ascii="Arial" w:hAnsi="Arial" w:cs="Calibri"/>
        </w:rPr>
      </w:pPr>
    </w:p>
    <w:p w14:paraId="193A15D1" w14:textId="77777777" w:rsidR="00EF28B1" w:rsidRDefault="00EF28B1">
      <w:pPr>
        <w:spacing w:line="360" w:lineRule="auto"/>
        <w:jc w:val="both"/>
        <w:rPr>
          <w:rFonts w:ascii="Arial" w:hAnsi="Arial" w:cs="Calibri"/>
        </w:rPr>
      </w:pPr>
    </w:p>
    <w:p w14:paraId="6463AC65" w14:textId="77777777" w:rsidR="00EF28B1" w:rsidRDefault="00EF28B1">
      <w:pPr>
        <w:spacing w:line="360" w:lineRule="auto"/>
        <w:jc w:val="both"/>
        <w:rPr>
          <w:rFonts w:ascii="Arial" w:hAnsi="Arial" w:cs="Calibri"/>
        </w:rPr>
      </w:pPr>
    </w:p>
    <w:sdt>
      <w:sdtPr>
        <w:rPr>
          <w:rFonts w:ascii="Calibri" w:hAnsi="Calibri"/>
          <w:color w:val="auto"/>
          <w:sz w:val="22"/>
          <w:szCs w:val="22"/>
        </w:rPr>
        <w:id w:val="-1157219486"/>
        <w:docPartObj>
          <w:docPartGallery w:val="Table of Contents"/>
          <w:docPartUnique/>
        </w:docPartObj>
      </w:sdtPr>
      <w:sdtContent>
        <w:p w14:paraId="28DE03D6" w14:textId="77777777" w:rsidR="00EF28B1" w:rsidRDefault="00000000">
          <w:pPr>
            <w:pStyle w:val="TOCHeading"/>
            <w:jc w:val="center"/>
            <w:rPr>
              <w:rFonts w:ascii="Arial" w:hAnsi="Arial" w:cs="Calibri"/>
              <w:b/>
              <w:bCs/>
              <w:color w:val="auto"/>
              <w:sz w:val="22"/>
              <w:szCs w:val="22"/>
            </w:rPr>
          </w:pPr>
          <w:r>
            <w:rPr>
              <w:rFonts w:ascii="Arial" w:hAnsi="Arial" w:cs="Calibri"/>
              <w:b/>
              <w:bCs/>
              <w:color w:val="000000"/>
              <w:sz w:val="22"/>
              <w:szCs w:val="22"/>
            </w:rPr>
            <w:t>Table of Contents</w:t>
          </w:r>
        </w:p>
        <w:p w14:paraId="471082BA" w14:textId="333CA09E" w:rsidR="002E5408" w:rsidRDefault="00000000">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fldChar w:fldCharType="begin"/>
          </w:r>
          <w:r>
            <w:rPr>
              <w:rStyle w:val="IndexLink"/>
              <w:rFonts w:ascii="Arial" w:hAnsi="Arial" w:cs="Calibri"/>
              <w:color w:val="000000"/>
            </w:rPr>
            <w:instrText xml:space="preserve"> TOC \o "1-3" \h</w:instrText>
          </w:r>
          <w:r>
            <w:rPr>
              <w:rStyle w:val="IndexLink"/>
              <w:color w:val="000000"/>
            </w:rPr>
            <w:fldChar w:fldCharType="separate"/>
          </w:r>
          <w:hyperlink w:anchor="_Toc225769856" w:history="1">
            <w:r w:rsidR="002E5408" w:rsidRPr="00F10B5A">
              <w:rPr>
                <w:rStyle w:val="Hyperlink"/>
                <w:rFonts w:ascii="Arial" w:hAnsi="Arial" w:cs="Calibri"/>
                <w:b/>
                <w:bCs/>
                <w:noProof/>
              </w:rPr>
              <w:t>1.0 Introduction</w:t>
            </w:r>
            <w:r w:rsidR="002E5408">
              <w:rPr>
                <w:noProof/>
              </w:rPr>
              <w:tab/>
            </w:r>
            <w:r w:rsidR="002E5408">
              <w:rPr>
                <w:noProof/>
              </w:rPr>
              <w:fldChar w:fldCharType="begin"/>
            </w:r>
            <w:r w:rsidR="002E5408">
              <w:rPr>
                <w:noProof/>
              </w:rPr>
              <w:instrText xml:space="preserve"> PAGEREF _Toc225769856 \h </w:instrText>
            </w:r>
            <w:r w:rsidR="002E5408">
              <w:rPr>
                <w:noProof/>
              </w:rPr>
            </w:r>
            <w:r w:rsidR="002E5408">
              <w:rPr>
                <w:noProof/>
              </w:rPr>
              <w:fldChar w:fldCharType="separate"/>
            </w:r>
            <w:r w:rsidR="002E5408">
              <w:rPr>
                <w:noProof/>
              </w:rPr>
              <w:t>2</w:t>
            </w:r>
            <w:r w:rsidR="002E5408">
              <w:rPr>
                <w:noProof/>
              </w:rPr>
              <w:fldChar w:fldCharType="end"/>
            </w:r>
          </w:hyperlink>
        </w:p>
        <w:p w14:paraId="5F73E6E5" w14:textId="3FD9A3F0"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57" w:history="1">
            <w:r w:rsidRPr="00F10B5A">
              <w:rPr>
                <w:rStyle w:val="Hyperlink"/>
                <w:rFonts w:ascii="Arial" w:hAnsi="Arial" w:cs="Calibri"/>
                <w:b/>
                <w:bCs/>
                <w:noProof/>
              </w:rPr>
              <w:t>2.0 Context: Identifying Needs &amp; Planning</w:t>
            </w:r>
            <w:r>
              <w:rPr>
                <w:noProof/>
              </w:rPr>
              <w:tab/>
            </w:r>
            <w:r>
              <w:rPr>
                <w:noProof/>
              </w:rPr>
              <w:fldChar w:fldCharType="begin"/>
            </w:r>
            <w:r>
              <w:rPr>
                <w:noProof/>
              </w:rPr>
              <w:instrText xml:space="preserve"> PAGEREF _Toc225769857 \h </w:instrText>
            </w:r>
            <w:r>
              <w:rPr>
                <w:noProof/>
              </w:rPr>
            </w:r>
            <w:r>
              <w:rPr>
                <w:noProof/>
              </w:rPr>
              <w:fldChar w:fldCharType="separate"/>
            </w:r>
            <w:r>
              <w:rPr>
                <w:noProof/>
              </w:rPr>
              <w:t>3</w:t>
            </w:r>
            <w:r>
              <w:rPr>
                <w:noProof/>
              </w:rPr>
              <w:fldChar w:fldCharType="end"/>
            </w:r>
          </w:hyperlink>
        </w:p>
        <w:p w14:paraId="7C6DCA69" w14:textId="2489A2ED"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58" w:history="1">
            <w:r w:rsidRPr="00F10B5A">
              <w:rPr>
                <w:rStyle w:val="Hyperlink"/>
                <w:rFonts w:ascii="Arial" w:hAnsi="Arial" w:cs="Calibri"/>
                <w:b/>
                <w:bCs/>
                <w:noProof/>
              </w:rPr>
              <w:t>2.1 Identifying Needs of Target Population</w:t>
            </w:r>
            <w:r>
              <w:rPr>
                <w:noProof/>
              </w:rPr>
              <w:tab/>
            </w:r>
            <w:r>
              <w:rPr>
                <w:noProof/>
              </w:rPr>
              <w:fldChar w:fldCharType="begin"/>
            </w:r>
            <w:r>
              <w:rPr>
                <w:noProof/>
              </w:rPr>
              <w:instrText xml:space="preserve"> PAGEREF _Toc225769858 \h </w:instrText>
            </w:r>
            <w:r>
              <w:rPr>
                <w:noProof/>
              </w:rPr>
            </w:r>
            <w:r>
              <w:rPr>
                <w:noProof/>
              </w:rPr>
              <w:fldChar w:fldCharType="separate"/>
            </w:r>
            <w:r>
              <w:rPr>
                <w:noProof/>
              </w:rPr>
              <w:t>3</w:t>
            </w:r>
            <w:r>
              <w:rPr>
                <w:noProof/>
              </w:rPr>
              <w:fldChar w:fldCharType="end"/>
            </w:r>
          </w:hyperlink>
        </w:p>
        <w:p w14:paraId="1AFB1B94" w14:textId="53494EB9"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59" w:history="1">
            <w:r w:rsidRPr="00F10B5A">
              <w:rPr>
                <w:rStyle w:val="Hyperlink"/>
                <w:rFonts w:ascii="Arial" w:hAnsi="Arial" w:cs="Calibri"/>
                <w:b/>
                <w:bCs/>
                <w:noProof/>
              </w:rPr>
              <w:t>2.2 Opportunities for Service Integration</w:t>
            </w:r>
            <w:r>
              <w:rPr>
                <w:noProof/>
              </w:rPr>
              <w:tab/>
            </w:r>
            <w:r>
              <w:rPr>
                <w:noProof/>
              </w:rPr>
              <w:fldChar w:fldCharType="begin"/>
            </w:r>
            <w:r>
              <w:rPr>
                <w:noProof/>
              </w:rPr>
              <w:instrText xml:space="preserve"> PAGEREF _Toc225769859 \h </w:instrText>
            </w:r>
            <w:r>
              <w:rPr>
                <w:noProof/>
              </w:rPr>
            </w:r>
            <w:r>
              <w:rPr>
                <w:noProof/>
              </w:rPr>
              <w:fldChar w:fldCharType="separate"/>
            </w:r>
            <w:r>
              <w:rPr>
                <w:noProof/>
              </w:rPr>
              <w:t>3</w:t>
            </w:r>
            <w:r>
              <w:rPr>
                <w:noProof/>
              </w:rPr>
              <w:fldChar w:fldCharType="end"/>
            </w:r>
          </w:hyperlink>
        </w:p>
        <w:p w14:paraId="2E5DB2F1" w14:textId="33D38242"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0" w:history="1">
            <w:r w:rsidRPr="00F10B5A">
              <w:rPr>
                <w:rStyle w:val="Hyperlink"/>
                <w:rFonts w:ascii="Arial" w:hAnsi="Arial" w:cs="Calibri"/>
                <w:b/>
                <w:bCs/>
                <w:noProof/>
              </w:rPr>
              <w:t>2.3 Aims and Objectives</w:t>
            </w:r>
            <w:r>
              <w:rPr>
                <w:noProof/>
              </w:rPr>
              <w:tab/>
            </w:r>
            <w:r>
              <w:rPr>
                <w:noProof/>
              </w:rPr>
              <w:fldChar w:fldCharType="begin"/>
            </w:r>
            <w:r>
              <w:rPr>
                <w:noProof/>
              </w:rPr>
              <w:instrText xml:space="preserve"> PAGEREF _Toc225769860 \h </w:instrText>
            </w:r>
            <w:r>
              <w:rPr>
                <w:noProof/>
              </w:rPr>
            </w:r>
            <w:r>
              <w:rPr>
                <w:noProof/>
              </w:rPr>
              <w:fldChar w:fldCharType="separate"/>
            </w:r>
            <w:r>
              <w:rPr>
                <w:noProof/>
              </w:rPr>
              <w:t>4</w:t>
            </w:r>
            <w:r>
              <w:rPr>
                <w:noProof/>
              </w:rPr>
              <w:fldChar w:fldCharType="end"/>
            </w:r>
          </w:hyperlink>
        </w:p>
        <w:p w14:paraId="5BA6878A" w14:textId="24C20A0E"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1" w:history="1">
            <w:r w:rsidRPr="00F10B5A">
              <w:rPr>
                <w:rStyle w:val="Hyperlink"/>
                <w:rFonts w:ascii="Arial" w:hAnsi="Arial" w:cs="Calibri"/>
                <w:b/>
                <w:bCs/>
                <w:noProof/>
              </w:rPr>
              <w:t>3.0 Input: Integration, Partners &amp; Barriers</w:t>
            </w:r>
            <w:r>
              <w:rPr>
                <w:noProof/>
              </w:rPr>
              <w:tab/>
            </w:r>
            <w:r>
              <w:rPr>
                <w:noProof/>
              </w:rPr>
              <w:fldChar w:fldCharType="begin"/>
            </w:r>
            <w:r>
              <w:rPr>
                <w:noProof/>
              </w:rPr>
              <w:instrText xml:space="preserve"> PAGEREF _Toc225769861 \h </w:instrText>
            </w:r>
            <w:r>
              <w:rPr>
                <w:noProof/>
              </w:rPr>
            </w:r>
            <w:r>
              <w:rPr>
                <w:noProof/>
              </w:rPr>
              <w:fldChar w:fldCharType="separate"/>
            </w:r>
            <w:r>
              <w:rPr>
                <w:noProof/>
              </w:rPr>
              <w:t>4</w:t>
            </w:r>
            <w:r>
              <w:rPr>
                <w:noProof/>
              </w:rPr>
              <w:fldChar w:fldCharType="end"/>
            </w:r>
          </w:hyperlink>
        </w:p>
        <w:p w14:paraId="1EAA979F" w14:textId="35FF168E"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2" w:history="1">
            <w:r w:rsidRPr="00F10B5A">
              <w:rPr>
                <w:rStyle w:val="Hyperlink"/>
                <w:rFonts w:ascii="Arial" w:hAnsi="Arial" w:cs="Calibri"/>
                <w:b/>
                <w:bCs/>
                <w:noProof/>
              </w:rPr>
              <w:t>3.1 Key Partners in Service Integration</w:t>
            </w:r>
            <w:r>
              <w:rPr>
                <w:noProof/>
              </w:rPr>
              <w:tab/>
            </w:r>
            <w:r>
              <w:rPr>
                <w:noProof/>
              </w:rPr>
              <w:fldChar w:fldCharType="begin"/>
            </w:r>
            <w:r>
              <w:rPr>
                <w:noProof/>
              </w:rPr>
              <w:instrText xml:space="preserve"> PAGEREF _Toc225769862 \h </w:instrText>
            </w:r>
            <w:r>
              <w:rPr>
                <w:noProof/>
              </w:rPr>
            </w:r>
            <w:r>
              <w:rPr>
                <w:noProof/>
              </w:rPr>
              <w:fldChar w:fldCharType="separate"/>
            </w:r>
            <w:r>
              <w:rPr>
                <w:noProof/>
              </w:rPr>
              <w:t>4</w:t>
            </w:r>
            <w:r>
              <w:rPr>
                <w:noProof/>
              </w:rPr>
              <w:fldChar w:fldCharType="end"/>
            </w:r>
          </w:hyperlink>
        </w:p>
        <w:p w14:paraId="1187641D" w14:textId="26ED0CEE"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3" w:history="1">
            <w:r w:rsidRPr="00F10B5A">
              <w:rPr>
                <w:rStyle w:val="Hyperlink"/>
                <w:rFonts w:ascii="Arial" w:hAnsi="Arial" w:cs="Calibri"/>
                <w:b/>
                <w:bCs/>
                <w:noProof/>
              </w:rPr>
              <w:t>3.2 Principles &amp; Frameworks of Integration</w:t>
            </w:r>
            <w:r>
              <w:rPr>
                <w:noProof/>
              </w:rPr>
              <w:tab/>
            </w:r>
            <w:r>
              <w:rPr>
                <w:noProof/>
              </w:rPr>
              <w:fldChar w:fldCharType="begin"/>
            </w:r>
            <w:r>
              <w:rPr>
                <w:noProof/>
              </w:rPr>
              <w:instrText xml:space="preserve"> PAGEREF _Toc225769863 \h </w:instrText>
            </w:r>
            <w:r>
              <w:rPr>
                <w:noProof/>
              </w:rPr>
            </w:r>
            <w:r>
              <w:rPr>
                <w:noProof/>
              </w:rPr>
              <w:fldChar w:fldCharType="separate"/>
            </w:r>
            <w:r>
              <w:rPr>
                <w:noProof/>
              </w:rPr>
              <w:t>5</w:t>
            </w:r>
            <w:r>
              <w:rPr>
                <w:noProof/>
              </w:rPr>
              <w:fldChar w:fldCharType="end"/>
            </w:r>
          </w:hyperlink>
        </w:p>
        <w:p w14:paraId="12186C9A" w14:textId="34030A64"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4" w:history="1">
            <w:r w:rsidRPr="00F10B5A">
              <w:rPr>
                <w:rStyle w:val="Hyperlink"/>
                <w:rFonts w:ascii="Arial" w:hAnsi="Arial" w:cs="Calibri"/>
                <w:b/>
                <w:bCs/>
                <w:noProof/>
              </w:rPr>
              <w:t>3.3 Resources Required</w:t>
            </w:r>
            <w:r>
              <w:rPr>
                <w:noProof/>
              </w:rPr>
              <w:tab/>
            </w:r>
            <w:r>
              <w:rPr>
                <w:noProof/>
              </w:rPr>
              <w:fldChar w:fldCharType="begin"/>
            </w:r>
            <w:r>
              <w:rPr>
                <w:noProof/>
              </w:rPr>
              <w:instrText xml:space="preserve"> PAGEREF _Toc225769864 \h </w:instrText>
            </w:r>
            <w:r>
              <w:rPr>
                <w:noProof/>
              </w:rPr>
            </w:r>
            <w:r>
              <w:rPr>
                <w:noProof/>
              </w:rPr>
              <w:fldChar w:fldCharType="separate"/>
            </w:r>
            <w:r>
              <w:rPr>
                <w:noProof/>
              </w:rPr>
              <w:t>5</w:t>
            </w:r>
            <w:r>
              <w:rPr>
                <w:noProof/>
              </w:rPr>
              <w:fldChar w:fldCharType="end"/>
            </w:r>
          </w:hyperlink>
        </w:p>
        <w:p w14:paraId="4E0B0F09" w14:textId="1C520DFE"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5" w:history="1">
            <w:r w:rsidRPr="00F10B5A">
              <w:rPr>
                <w:rStyle w:val="Hyperlink"/>
                <w:rFonts w:ascii="Arial" w:hAnsi="Arial" w:cs="Calibri"/>
                <w:b/>
                <w:bCs/>
                <w:noProof/>
              </w:rPr>
              <w:t>3.4 Barriers to Integration</w:t>
            </w:r>
            <w:r>
              <w:rPr>
                <w:noProof/>
              </w:rPr>
              <w:tab/>
            </w:r>
            <w:r>
              <w:rPr>
                <w:noProof/>
              </w:rPr>
              <w:fldChar w:fldCharType="begin"/>
            </w:r>
            <w:r>
              <w:rPr>
                <w:noProof/>
              </w:rPr>
              <w:instrText xml:space="preserve"> PAGEREF _Toc225769865 \h </w:instrText>
            </w:r>
            <w:r>
              <w:rPr>
                <w:noProof/>
              </w:rPr>
            </w:r>
            <w:r>
              <w:rPr>
                <w:noProof/>
              </w:rPr>
              <w:fldChar w:fldCharType="separate"/>
            </w:r>
            <w:r>
              <w:rPr>
                <w:noProof/>
              </w:rPr>
              <w:t>6</w:t>
            </w:r>
            <w:r>
              <w:rPr>
                <w:noProof/>
              </w:rPr>
              <w:fldChar w:fldCharType="end"/>
            </w:r>
          </w:hyperlink>
        </w:p>
        <w:p w14:paraId="194CA3DD" w14:textId="09271CB3"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6" w:history="1">
            <w:r w:rsidRPr="00F10B5A">
              <w:rPr>
                <w:rStyle w:val="Hyperlink"/>
                <w:rFonts w:ascii="Arial" w:hAnsi="Arial" w:cs="Calibri"/>
                <w:b/>
                <w:bCs/>
                <w:noProof/>
              </w:rPr>
              <w:t>3.5 Recommendations &amp; Solutions</w:t>
            </w:r>
            <w:r>
              <w:rPr>
                <w:noProof/>
              </w:rPr>
              <w:tab/>
            </w:r>
            <w:r>
              <w:rPr>
                <w:noProof/>
              </w:rPr>
              <w:fldChar w:fldCharType="begin"/>
            </w:r>
            <w:r>
              <w:rPr>
                <w:noProof/>
              </w:rPr>
              <w:instrText xml:space="preserve"> PAGEREF _Toc225769866 \h </w:instrText>
            </w:r>
            <w:r>
              <w:rPr>
                <w:noProof/>
              </w:rPr>
            </w:r>
            <w:r>
              <w:rPr>
                <w:noProof/>
              </w:rPr>
              <w:fldChar w:fldCharType="separate"/>
            </w:r>
            <w:r>
              <w:rPr>
                <w:noProof/>
              </w:rPr>
              <w:t>6</w:t>
            </w:r>
            <w:r>
              <w:rPr>
                <w:noProof/>
              </w:rPr>
              <w:fldChar w:fldCharType="end"/>
            </w:r>
          </w:hyperlink>
        </w:p>
        <w:p w14:paraId="2C3715BA" w14:textId="4C10F5E5"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7" w:history="1">
            <w:r w:rsidRPr="00F10B5A">
              <w:rPr>
                <w:rStyle w:val="Hyperlink"/>
                <w:rFonts w:ascii="Arial" w:hAnsi="Arial" w:cs="Calibri"/>
                <w:b/>
                <w:bCs/>
                <w:noProof/>
              </w:rPr>
              <w:t>4.0 Process: Group Work Reflection</w:t>
            </w:r>
            <w:r>
              <w:rPr>
                <w:noProof/>
              </w:rPr>
              <w:tab/>
            </w:r>
            <w:r>
              <w:rPr>
                <w:noProof/>
              </w:rPr>
              <w:fldChar w:fldCharType="begin"/>
            </w:r>
            <w:r>
              <w:rPr>
                <w:noProof/>
              </w:rPr>
              <w:instrText xml:space="preserve"> PAGEREF _Toc225769867 \h </w:instrText>
            </w:r>
            <w:r>
              <w:rPr>
                <w:noProof/>
              </w:rPr>
            </w:r>
            <w:r>
              <w:rPr>
                <w:noProof/>
              </w:rPr>
              <w:fldChar w:fldCharType="separate"/>
            </w:r>
            <w:r>
              <w:rPr>
                <w:noProof/>
              </w:rPr>
              <w:t>7</w:t>
            </w:r>
            <w:r>
              <w:rPr>
                <w:noProof/>
              </w:rPr>
              <w:fldChar w:fldCharType="end"/>
            </w:r>
          </w:hyperlink>
        </w:p>
        <w:p w14:paraId="58493C23" w14:textId="03F509E5"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8" w:history="1">
            <w:r w:rsidRPr="00F10B5A">
              <w:rPr>
                <w:rStyle w:val="Hyperlink"/>
                <w:rFonts w:ascii="Arial" w:hAnsi="Arial" w:cs="Calibri"/>
                <w:b/>
                <w:bCs/>
                <w:noProof/>
              </w:rPr>
              <w:t>4.1 Group Collaboration</w:t>
            </w:r>
            <w:r>
              <w:rPr>
                <w:noProof/>
              </w:rPr>
              <w:tab/>
            </w:r>
            <w:r>
              <w:rPr>
                <w:noProof/>
              </w:rPr>
              <w:fldChar w:fldCharType="begin"/>
            </w:r>
            <w:r>
              <w:rPr>
                <w:noProof/>
              </w:rPr>
              <w:instrText xml:space="preserve"> PAGEREF _Toc225769868 \h </w:instrText>
            </w:r>
            <w:r>
              <w:rPr>
                <w:noProof/>
              </w:rPr>
            </w:r>
            <w:r>
              <w:rPr>
                <w:noProof/>
              </w:rPr>
              <w:fldChar w:fldCharType="separate"/>
            </w:r>
            <w:r>
              <w:rPr>
                <w:noProof/>
              </w:rPr>
              <w:t>7</w:t>
            </w:r>
            <w:r>
              <w:rPr>
                <w:noProof/>
              </w:rPr>
              <w:fldChar w:fldCharType="end"/>
            </w:r>
          </w:hyperlink>
        </w:p>
        <w:p w14:paraId="0C94F411" w14:textId="2E43C929"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69" w:history="1">
            <w:r w:rsidRPr="00F10B5A">
              <w:rPr>
                <w:rStyle w:val="Hyperlink"/>
                <w:rFonts w:ascii="Arial" w:hAnsi="Arial" w:cs="Calibri"/>
                <w:b/>
                <w:bCs/>
                <w:noProof/>
              </w:rPr>
              <w:t>4.2 Group Collaboration</w:t>
            </w:r>
            <w:r>
              <w:rPr>
                <w:noProof/>
              </w:rPr>
              <w:tab/>
            </w:r>
            <w:r>
              <w:rPr>
                <w:noProof/>
              </w:rPr>
              <w:fldChar w:fldCharType="begin"/>
            </w:r>
            <w:r>
              <w:rPr>
                <w:noProof/>
              </w:rPr>
              <w:instrText xml:space="preserve"> PAGEREF _Toc225769869 \h </w:instrText>
            </w:r>
            <w:r>
              <w:rPr>
                <w:noProof/>
              </w:rPr>
            </w:r>
            <w:r>
              <w:rPr>
                <w:noProof/>
              </w:rPr>
              <w:fldChar w:fldCharType="separate"/>
            </w:r>
            <w:r>
              <w:rPr>
                <w:noProof/>
              </w:rPr>
              <w:t>7</w:t>
            </w:r>
            <w:r>
              <w:rPr>
                <w:noProof/>
              </w:rPr>
              <w:fldChar w:fldCharType="end"/>
            </w:r>
          </w:hyperlink>
        </w:p>
        <w:p w14:paraId="4963F27D" w14:textId="1405C726"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0" w:history="1">
            <w:r w:rsidRPr="00F10B5A">
              <w:rPr>
                <w:rStyle w:val="Hyperlink"/>
                <w:rFonts w:ascii="Arial" w:hAnsi="Arial" w:cs="Calibri"/>
                <w:b/>
                <w:bCs/>
                <w:noProof/>
              </w:rPr>
              <w:t>4.3 Roles and Responsibilities</w:t>
            </w:r>
            <w:r>
              <w:rPr>
                <w:noProof/>
              </w:rPr>
              <w:tab/>
            </w:r>
            <w:r>
              <w:rPr>
                <w:noProof/>
              </w:rPr>
              <w:fldChar w:fldCharType="begin"/>
            </w:r>
            <w:r>
              <w:rPr>
                <w:noProof/>
              </w:rPr>
              <w:instrText xml:space="preserve"> PAGEREF _Toc225769870 \h </w:instrText>
            </w:r>
            <w:r>
              <w:rPr>
                <w:noProof/>
              </w:rPr>
            </w:r>
            <w:r>
              <w:rPr>
                <w:noProof/>
              </w:rPr>
              <w:fldChar w:fldCharType="separate"/>
            </w:r>
            <w:r>
              <w:rPr>
                <w:noProof/>
              </w:rPr>
              <w:t>7</w:t>
            </w:r>
            <w:r>
              <w:rPr>
                <w:noProof/>
              </w:rPr>
              <w:fldChar w:fldCharType="end"/>
            </w:r>
          </w:hyperlink>
        </w:p>
        <w:p w14:paraId="1A5A75BC" w14:textId="25155F58"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1" w:history="1">
            <w:r w:rsidRPr="00F10B5A">
              <w:rPr>
                <w:rStyle w:val="Hyperlink"/>
                <w:rFonts w:ascii="Arial" w:hAnsi="Arial" w:cs="Calibri"/>
                <w:b/>
                <w:bCs/>
                <w:noProof/>
              </w:rPr>
              <w:t>4.4 Challenges in Group Work</w:t>
            </w:r>
            <w:r>
              <w:rPr>
                <w:noProof/>
              </w:rPr>
              <w:tab/>
            </w:r>
            <w:r>
              <w:rPr>
                <w:noProof/>
              </w:rPr>
              <w:fldChar w:fldCharType="begin"/>
            </w:r>
            <w:r>
              <w:rPr>
                <w:noProof/>
              </w:rPr>
              <w:instrText xml:space="preserve"> PAGEREF _Toc225769871 \h </w:instrText>
            </w:r>
            <w:r>
              <w:rPr>
                <w:noProof/>
              </w:rPr>
            </w:r>
            <w:r>
              <w:rPr>
                <w:noProof/>
              </w:rPr>
              <w:fldChar w:fldCharType="separate"/>
            </w:r>
            <w:r>
              <w:rPr>
                <w:noProof/>
              </w:rPr>
              <w:t>8</w:t>
            </w:r>
            <w:r>
              <w:rPr>
                <w:noProof/>
              </w:rPr>
              <w:fldChar w:fldCharType="end"/>
            </w:r>
          </w:hyperlink>
        </w:p>
        <w:p w14:paraId="1B637C59" w14:textId="1155B2C3"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2" w:history="1">
            <w:r w:rsidRPr="00F10B5A">
              <w:rPr>
                <w:rStyle w:val="Hyperlink"/>
                <w:rFonts w:ascii="Arial" w:hAnsi="Arial" w:cs="Calibri"/>
                <w:b/>
                <w:bCs/>
                <w:noProof/>
              </w:rPr>
              <w:t>4.5 Personal Reflection</w:t>
            </w:r>
            <w:r>
              <w:rPr>
                <w:noProof/>
              </w:rPr>
              <w:tab/>
            </w:r>
            <w:r>
              <w:rPr>
                <w:noProof/>
              </w:rPr>
              <w:fldChar w:fldCharType="begin"/>
            </w:r>
            <w:r>
              <w:rPr>
                <w:noProof/>
              </w:rPr>
              <w:instrText xml:space="preserve"> PAGEREF _Toc225769872 \h </w:instrText>
            </w:r>
            <w:r>
              <w:rPr>
                <w:noProof/>
              </w:rPr>
            </w:r>
            <w:r>
              <w:rPr>
                <w:noProof/>
              </w:rPr>
              <w:fldChar w:fldCharType="separate"/>
            </w:r>
            <w:r>
              <w:rPr>
                <w:noProof/>
              </w:rPr>
              <w:t>8</w:t>
            </w:r>
            <w:r>
              <w:rPr>
                <w:noProof/>
              </w:rPr>
              <w:fldChar w:fldCharType="end"/>
            </w:r>
          </w:hyperlink>
        </w:p>
        <w:p w14:paraId="52A62E02" w14:textId="615EEF7A"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3" w:history="1">
            <w:r w:rsidRPr="00F10B5A">
              <w:rPr>
                <w:rStyle w:val="Hyperlink"/>
                <w:rFonts w:ascii="Arial" w:hAnsi="Arial" w:cs="Calibri"/>
                <w:b/>
                <w:bCs/>
                <w:noProof/>
              </w:rPr>
              <w:t>5.0 Product: Outcomes &amp; Skills Development</w:t>
            </w:r>
            <w:r>
              <w:rPr>
                <w:noProof/>
              </w:rPr>
              <w:tab/>
            </w:r>
            <w:r>
              <w:rPr>
                <w:noProof/>
              </w:rPr>
              <w:fldChar w:fldCharType="begin"/>
            </w:r>
            <w:r>
              <w:rPr>
                <w:noProof/>
              </w:rPr>
              <w:instrText xml:space="preserve"> PAGEREF _Toc225769873 \h </w:instrText>
            </w:r>
            <w:r>
              <w:rPr>
                <w:noProof/>
              </w:rPr>
            </w:r>
            <w:r>
              <w:rPr>
                <w:noProof/>
              </w:rPr>
              <w:fldChar w:fldCharType="separate"/>
            </w:r>
            <w:r>
              <w:rPr>
                <w:noProof/>
              </w:rPr>
              <w:t>8</w:t>
            </w:r>
            <w:r>
              <w:rPr>
                <w:noProof/>
              </w:rPr>
              <w:fldChar w:fldCharType="end"/>
            </w:r>
          </w:hyperlink>
        </w:p>
        <w:p w14:paraId="4C3FEE19" w14:textId="6F4E38DB"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4" w:history="1">
            <w:r w:rsidRPr="00F10B5A">
              <w:rPr>
                <w:rStyle w:val="Hyperlink"/>
                <w:rFonts w:ascii="Arial" w:hAnsi="Arial" w:cs="Calibri"/>
                <w:b/>
                <w:bCs/>
                <w:noProof/>
              </w:rPr>
              <w:t>5.1 Was the Task Successful?</w:t>
            </w:r>
            <w:r>
              <w:rPr>
                <w:noProof/>
              </w:rPr>
              <w:tab/>
            </w:r>
            <w:r>
              <w:rPr>
                <w:noProof/>
              </w:rPr>
              <w:fldChar w:fldCharType="begin"/>
            </w:r>
            <w:r>
              <w:rPr>
                <w:noProof/>
              </w:rPr>
              <w:instrText xml:space="preserve"> PAGEREF _Toc225769874 \h </w:instrText>
            </w:r>
            <w:r>
              <w:rPr>
                <w:noProof/>
              </w:rPr>
            </w:r>
            <w:r>
              <w:rPr>
                <w:noProof/>
              </w:rPr>
              <w:fldChar w:fldCharType="separate"/>
            </w:r>
            <w:r>
              <w:rPr>
                <w:noProof/>
              </w:rPr>
              <w:t>8</w:t>
            </w:r>
            <w:r>
              <w:rPr>
                <w:noProof/>
              </w:rPr>
              <w:fldChar w:fldCharType="end"/>
            </w:r>
          </w:hyperlink>
        </w:p>
        <w:p w14:paraId="4B9E1A16" w14:textId="33F2EB73" w:rsidR="002E5408" w:rsidRDefault="002E5408">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5" w:history="1">
            <w:r w:rsidRPr="00F10B5A">
              <w:rPr>
                <w:rStyle w:val="Hyperlink"/>
                <w:rFonts w:ascii="Arial" w:hAnsi="Arial" w:cs="Calibri"/>
                <w:b/>
                <w:bCs/>
                <w:noProof/>
              </w:rPr>
              <w:t>5.2 Skills and Competencies Developed</w:t>
            </w:r>
            <w:r>
              <w:rPr>
                <w:noProof/>
              </w:rPr>
              <w:tab/>
            </w:r>
            <w:r>
              <w:rPr>
                <w:noProof/>
              </w:rPr>
              <w:fldChar w:fldCharType="begin"/>
            </w:r>
            <w:r>
              <w:rPr>
                <w:noProof/>
              </w:rPr>
              <w:instrText xml:space="preserve"> PAGEREF _Toc225769875 \h </w:instrText>
            </w:r>
            <w:r>
              <w:rPr>
                <w:noProof/>
              </w:rPr>
            </w:r>
            <w:r>
              <w:rPr>
                <w:noProof/>
              </w:rPr>
              <w:fldChar w:fldCharType="separate"/>
            </w:r>
            <w:r>
              <w:rPr>
                <w:noProof/>
              </w:rPr>
              <w:t>9</w:t>
            </w:r>
            <w:r>
              <w:rPr>
                <w:noProof/>
              </w:rPr>
              <w:fldChar w:fldCharType="end"/>
            </w:r>
          </w:hyperlink>
        </w:p>
        <w:p w14:paraId="0B5B9224" w14:textId="60DFD4C9"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6" w:history="1">
            <w:r w:rsidRPr="00F10B5A">
              <w:rPr>
                <w:rStyle w:val="Hyperlink"/>
                <w:rFonts w:ascii="Arial" w:hAnsi="Arial" w:cs="Calibri"/>
                <w:b/>
                <w:bCs/>
                <w:noProof/>
              </w:rPr>
              <w:t>6.0 Conclusion</w:t>
            </w:r>
            <w:r>
              <w:rPr>
                <w:noProof/>
              </w:rPr>
              <w:tab/>
            </w:r>
            <w:r>
              <w:rPr>
                <w:noProof/>
              </w:rPr>
              <w:fldChar w:fldCharType="begin"/>
            </w:r>
            <w:r>
              <w:rPr>
                <w:noProof/>
              </w:rPr>
              <w:instrText xml:space="preserve"> PAGEREF _Toc225769876 \h </w:instrText>
            </w:r>
            <w:r>
              <w:rPr>
                <w:noProof/>
              </w:rPr>
            </w:r>
            <w:r>
              <w:rPr>
                <w:noProof/>
              </w:rPr>
              <w:fldChar w:fldCharType="separate"/>
            </w:r>
            <w:r>
              <w:rPr>
                <w:noProof/>
              </w:rPr>
              <w:t>9</w:t>
            </w:r>
            <w:r>
              <w:rPr>
                <w:noProof/>
              </w:rPr>
              <w:fldChar w:fldCharType="end"/>
            </w:r>
          </w:hyperlink>
        </w:p>
        <w:p w14:paraId="530221E1" w14:textId="59E906E8" w:rsidR="002E5408" w:rsidRDefault="002E5408">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5769877" w:history="1">
            <w:r w:rsidRPr="00F10B5A">
              <w:rPr>
                <w:rStyle w:val="Hyperlink"/>
                <w:rFonts w:ascii="Arial" w:hAnsi="Arial" w:cs="Calibri"/>
                <w:b/>
                <w:bCs/>
                <w:noProof/>
              </w:rPr>
              <w:t>References</w:t>
            </w:r>
            <w:r>
              <w:rPr>
                <w:noProof/>
              </w:rPr>
              <w:tab/>
            </w:r>
            <w:r>
              <w:rPr>
                <w:noProof/>
              </w:rPr>
              <w:fldChar w:fldCharType="begin"/>
            </w:r>
            <w:r>
              <w:rPr>
                <w:noProof/>
              </w:rPr>
              <w:instrText xml:space="preserve"> PAGEREF _Toc225769877 \h </w:instrText>
            </w:r>
            <w:r>
              <w:rPr>
                <w:noProof/>
              </w:rPr>
            </w:r>
            <w:r>
              <w:rPr>
                <w:noProof/>
              </w:rPr>
              <w:fldChar w:fldCharType="separate"/>
            </w:r>
            <w:r>
              <w:rPr>
                <w:noProof/>
              </w:rPr>
              <w:t>10</w:t>
            </w:r>
            <w:r>
              <w:rPr>
                <w:noProof/>
              </w:rPr>
              <w:fldChar w:fldCharType="end"/>
            </w:r>
          </w:hyperlink>
        </w:p>
        <w:p w14:paraId="37061519" w14:textId="13DA946D" w:rsidR="00EF28B1" w:rsidRDefault="00000000">
          <w:pPr>
            <w:rPr>
              <w:rFonts w:ascii="Arial" w:hAnsi="Arial" w:cs="Calibri"/>
            </w:rPr>
          </w:pPr>
          <w:r>
            <w:rPr>
              <w:rFonts w:ascii="Arial" w:hAnsi="Arial" w:cs="Calibri"/>
            </w:rPr>
            <w:fldChar w:fldCharType="end"/>
          </w:r>
        </w:p>
      </w:sdtContent>
    </w:sdt>
    <w:p w14:paraId="7F641E45" w14:textId="77777777" w:rsidR="00EF28B1" w:rsidRDefault="00EF28B1">
      <w:pPr>
        <w:spacing w:line="360" w:lineRule="auto"/>
        <w:jc w:val="both"/>
        <w:rPr>
          <w:rFonts w:ascii="Arial" w:hAnsi="Arial" w:cs="Calibri"/>
        </w:rPr>
      </w:pPr>
    </w:p>
    <w:p w14:paraId="3EEA3421" w14:textId="77777777" w:rsidR="00EF28B1" w:rsidRDefault="00EF28B1">
      <w:pPr>
        <w:spacing w:line="360" w:lineRule="auto"/>
        <w:jc w:val="both"/>
        <w:rPr>
          <w:rFonts w:ascii="Arial" w:hAnsi="Arial" w:cs="Calibri"/>
        </w:rPr>
      </w:pPr>
    </w:p>
    <w:p w14:paraId="39DEA197" w14:textId="77777777" w:rsidR="00EF28B1" w:rsidRDefault="00EF28B1">
      <w:pPr>
        <w:spacing w:line="360" w:lineRule="auto"/>
        <w:jc w:val="both"/>
        <w:rPr>
          <w:rFonts w:ascii="Arial" w:hAnsi="Arial" w:cs="Calibri"/>
        </w:rPr>
      </w:pPr>
    </w:p>
    <w:p w14:paraId="2CEA0243" w14:textId="77777777" w:rsidR="00EF28B1" w:rsidRDefault="00EF28B1">
      <w:pPr>
        <w:spacing w:line="360" w:lineRule="auto"/>
        <w:jc w:val="both"/>
        <w:rPr>
          <w:rFonts w:ascii="Arial" w:hAnsi="Arial" w:cs="Calibri"/>
        </w:rPr>
      </w:pPr>
    </w:p>
    <w:p w14:paraId="2865871A" w14:textId="77777777" w:rsidR="00EF28B1" w:rsidRDefault="00EF28B1">
      <w:pPr>
        <w:spacing w:line="360" w:lineRule="auto"/>
        <w:jc w:val="both"/>
        <w:rPr>
          <w:rFonts w:ascii="Arial" w:hAnsi="Arial" w:cs="Calibri"/>
        </w:rPr>
      </w:pPr>
    </w:p>
    <w:p w14:paraId="59FCC437" w14:textId="77777777" w:rsidR="00EF28B1" w:rsidRDefault="00000000">
      <w:pPr>
        <w:pStyle w:val="Heading1"/>
        <w:spacing w:line="360" w:lineRule="auto"/>
        <w:rPr>
          <w:rFonts w:ascii="Arial" w:hAnsi="Arial"/>
          <w:sz w:val="22"/>
          <w:szCs w:val="22"/>
        </w:rPr>
      </w:pPr>
      <w:bookmarkStart w:id="0" w:name="_Toc225769856"/>
      <w:r>
        <w:rPr>
          <w:rFonts w:ascii="Arial" w:hAnsi="Arial" w:cs="Calibri"/>
          <w:b/>
          <w:bCs/>
          <w:sz w:val="22"/>
          <w:szCs w:val="22"/>
        </w:rPr>
        <w:lastRenderedPageBreak/>
        <w:t>1.0 Introduction</w:t>
      </w:r>
      <w:bookmarkEnd w:id="0"/>
      <w:r>
        <w:rPr>
          <w:rFonts w:ascii="Arial" w:hAnsi="Arial" w:cs="Calibri"/>
          <w:b/>
          <w:bCs/>
          <w:sz w:val="22"/>
          <w:szCs w:val="22"/>
        </w:rPr>
        <w:t xml:space="preserve"> </w:t>
      </w:r>
    </w:p>
    <w:p w14:paraId="51004EAB" w14:textId="77777777" w:rsidR="00EF28B1" w:rsidRDefault="00000000">
      <w:pPr>
        <w:spacing w:line="360" w:lineRule="auto"/>
        <w:jc w:val="both"/>
        <w:rPr>
          <w:rFonts w:ascii="Arial" w:hAnsi="Arial" w:cs="Calibri"/>
        </w:rPr>
      </w:pPr>
      <w:r>
        <w:rPr>
          <w:rFonts w:ascii="Arial" w:hAnsi="Arial" w:cs="Calibri"/>
        </w:rPr>
        <w:t xml:space="preserve">This report critically reflects on my learning and awareness of service integration and partnership within the health and social care (HSC) practice. The reflection is informed by a group project, known as Delivery Plan for Partnership and Service Integration: Integrated Care Partnership (ICP) to Secondary School-Age Children and Young People with SEND in Southend-on-Sea, which aimed to consider the issue of fragmentation especially in the area of education and health and social care provision to the youths with Special Educational Needs and Disabilities (SEND). </w:t>
      </w:r>
    </w:p>
    <w:p w14:paraId="13D6C40D" w14:textId="2BBA32F9" w:rsidR="00EF28B1" w:rsidRDefault="00000000">
      <w:pPr>
        <w:spacing w:line="360" w:lineRule="auto"/>
        <w:jc w:val="both"/>
        <w:rPr>
          <w:rFonts w:ascii="Arial" w:hAnsi="Arial"/>
        </w:rPr>
      </w:pPr>
      <w:r>
        <w:rPr>
          <w:rFonts w:ascii="Arial" w:hAnsi="Arial" w:cs="Calibri"/>
        </w:rPr>
        <w:t xml:space="preserve">According to Bolton and </w:t>
      </w:r>
      <w:proofErr w:type="spellStart"/>
      <w:r>
        <w:rPr>
          <w:rFonts w:ascii="Arial" w:hAnsi="Arial" w:cs="Calibri"/>
        </w:rPr>
        <w:t>Delderfield</w:t>
      </w:r>
      <w:proofErr w:type="spellEnd"/>
      <w:r>
        <w:rPr>
          <w:rFonts w:ascii="Arial" w:hAnsi="Arial" w:cs="Calibri"/>
        </w:rPr>
        <w:t xml:space="preserve">, (2018) reflective practice plays a critical role in the establishment of professional competence and enhanced service delivery in HSC environments. Hendricks (2017) states that reflective practice helps a person properly </w:t>
      </w:r>
      <w:proofErr w:type="spellStart"/>
      <w:r>
        <w:rPr>
          <w:rFonts w:ascii="Arial" w:hAnsi="Arial" w:cs="Calibri"/>
        </w:rPr>
        <w:t>analy</w:t>
      </w:r>
      <w:r w:rsidR="00BE3281">
        <w:rPr>
          <w:rFonts w:ascii="Arial" w:hAnsi="Arial" w:cs="Calibri"/>
        </w:rPr>
        <w:t>s</w:t>
      </w:r>
      <w:r>
        <w:rPr>
          <w:rFonts w:ascii="Arial" w:hAnsi="Arial" w:cs="Calibri"/>
        </w:rPr>
        <w:t>e</w:t>
      </w:r>
      <w:proofErr w:type="spellEnd"/>
      <w:r>
        <w:rPr>
          <w:rFonts w:ascii="Arial" w:hAnsi="Arial" w:cs="Calibri"/>
        </w:rPr>
        <w:t xml:space="preserve"> his or her actions and be able to change the future results due to the constant learning process. On the same note, according to Johnston (2017), reflection helps to understand experiences and make better decisions in work-related situations. What is more, according to Mann and Walsh (2017), reflective practice allows filling the gap between theory and practice since it prompts critical evaluation of real-life scenarios. </w:t>
      </w:r>
    </w:p>
    <w:p w14:paraId="312BD69A" w14:textId="77777777" w:rsidR="00EF28B1" w:rsidRDefault="00000000">
      <w:pPr>
        <w:pStyle w:val="Heading1"/>
        <w:spacing w:line="360" w:lineRule="auto"/>
        <w:rPr>
          <w:rFonts w:ascii="Arial" w:hAnsi="Arial" w:cs="Calibri"/>
          <w:b/>
          <w:bCs/>
          <w:sz w:val="22"/>
          <w:szCs w:val="22"/>
        </w:rPr>
      </w:pPr>
      <w:bookmarkStart w:id="1" w:name="_Toc225769857"/>
      <w:r>
        <w:rPr>
          <w:rFonts w:ascii="Arial" w:hAnsi="Arial" w:cs="Calibri"/>
          <w:b/>
          <w:bCs/>
          <w:sz w:val="22"/>
          <w:szCs w:val="22"/>
        </w:rPr>
        <w:t>2.0 Context: Identifying Needs &amp; Planning</w:t>
      </w:r>
      <w:bookmarkEnd w:id="1"/>
    </w:p>
    <w:p w14:paraId="79D4AE67" w14:textId="77777777" w:rsidR="00EF28B1" w:rsidRDefault="00000000">
      <w:pPr>
        <w:pStyle w:val="Heading2"/>
        <w:spacing w:line="360" w:lineRule="auto"/>
        <w:rPr>
          <w:rFonts w:ascii="Arial" w:hAnsi="Arial" w:cs="Calibri"/>
          <w:b/>
          <w:bCs/>
          <w:sz w:val="22"/>
          <w:szCs w:val="22"/>
        </w:rPr>
      </w:pPr>
      <w:bookmarkStart w:id="2" w:name="_Toc225769858"/>
      <w:r>
        <w:rPr>
          <w:rFonts w:ascii="Arial" w:hAnsi="Arial" w:cs="Calibri"/>
          <w:b/>
          <w:bCs/>
          <w:sz w:val="22"/>
          <w:szCs w:val="22"/>
        </w:rPr>
        <w:t>2.1 Identifying Needs of Target Population</w:t>
      </w:r>
      <w:bookmarkEnd w:id="2"/>
    </w:p>
    <w:p w14:paraId="6F33AB2A" w14:textId="25462EF6" w:rsidR="00EF28B1" w:rsidRDefault="00000000">
      <w:pPr>
        <w:spacing w:line="360" w:lineRule="auto"/>
        <w:jc w:val="both"/>
        <w:rPr>
          <w:rFonts w:ascii="Arial" w:hAnsi="Arial" w:cs="Calibri"/>
        </w:rPr>
      </w:pPr>
      <w:r>
        <w:rPr>
          <w:rFonts w:ascii="Arial" w:hAnsi="Arial" w:cs="Calibri"/>
        </w:rPr>
        <w:t xml:space="preserve">The project was aimed at children and young people aged secondary school in the town of Southend-on-Sea and of Special Educational Needs and Disabilities (SEND). The group consists of those having </w:t>
      </w:r>
      <w:proofErr w:type="gramStart"/>
      <w:r>
        <w:rPr>
          <w:rFonts w:ascii="Arial" w:hAnsi="Arial" w:cs="Calibri"/>
        </w:rPr>
        <w:t>the</w:t>
      </w:r>
      <w:r w:rsidR="002E5408">
        <w:rPr>
          <w:rFonts w:ascii="Arial" w:hAnsi="Arial" w:cs="Calibri"/>
        </w:rPr>
        <w:t xml:space="preserve"> </w:t>
      </w:r>
      <w:r>
        <w:rPr>
          <w:rFonts w:ascii="Arial" w:hAnsi="Arial" w:cs="Calibri"/>
        </w:rPr>
        <w:t>conditions</w:t>
      </w:r>
      <w:proofErr w:type="gramEnd"/>
      <w:r>
        <w:rPr>
          <w:rFonts w:ascii="Arial" w:hAnsi="Arial" w:cs="Calibri"/>
        </w:rPr>
        <w:t xml:space="preserve"> of autism, speech and language issues, social, emotional and mental need (SEMH). I have found that these youths are undergoing considerable difficulties such as delays in assessments, discontinuous service delivery, and failure to offer consistent support to them in </w:t>
      </w:r>
      <w:proofErr w:type="gramStart"/>
      <w:r>
        <w:rPr>
          <w:rFonts w:ascii="Arial" w:hAnsi="Arial" w:cs="Calibri"/>
        </w:rPr>
        <w:t>the education</w:t>
      </w:r>
      <w:proofErr w:type="gramEnd"/>
      <w:r>
        <w:rPr>
          <w:rFonts w:ascii="Arial" w:hAnsi="Arial" w:cs="Calibri"/>
        </w:rPr>
        <w:t xml:space="preserve">, health, and social services. National Audit Office (2019) stated that such poor coordination of services between pupils with SEND leads to gaps in provision that adversely affect both the educational and developmental outcomes of such pupils. Furthermore, the growing demand and funding pressure in SEND services are mentioned in Farquharson et al. (2026). </w:t>
      </w:r>
    </w:p>
    <w:p w14:paraId="2C3A4CF1" w14:textId="77777777" w:rsidR="00EF28B1" w:rsidRDefault="00000000">
      <w:pPr>
        <w:pStyle w:val="Heading2"/>
        <w:spacing w:line="360" w:lineRule="auto"/>
        <w:rPr>
          <w:rFonts w:ascii="Arial" w:hAnsi="Arial" w:cs="Calibri"/>
          <w:b/>
          <w:bCs/>
          <w:sz w:val="22"/>
          <w:szCs w:val="22"/>
        </w:rPr>
      </w:pPr>
      <w:bookmarkStart w:id="3" w:name="_Toc225769859"/>
      <w:r>
        <w:rPr>
          <w:rFonts w:ascii="Arial" w:hAnsi="Arial" w:cs="Calibri"/>
          <w:b/>
          <w:bCs/>
          <w:sz w:val="22"/>
          <w:szCs w:val="22"/>
        </w:rPr>
        <w:t>2.2 Opportunities for Service Integration</w:t>
      </w:r>
      <w:bookmarkEnd w:id="3"/>
    </w:p>
    <w:p w14:paraId="53A67591" w14:textId="77777777" w:rsidR="00EF28B1" w:rsidRDefault="00000000">
      <w:pPr>
        <w:spacing w:line="360" w:lineRule="auto"/>
        <w:jc w:val="both"/>
        <w:rPr>
          <w:rFonts w:ascii="Arial" w:hAnsi="Arial"/>
        </w:rPr>
      </w:pPr>
      <w:r>
        <w:rPr>
          <w:rFonts w:ascii="Arial" w:hAnsi="Arial" w:cs="Calibri"/>
        </w:rPr>
        <w:t xml:space="preserve">When designing the integrated care partnership, there was a presented opportunity that was in the form of multidisciplinary team (MDT) meetings where professionals in education, health and </w:t>
      </w:r>
      <w:r>
        <w:rPr>
          <w:rFonts w:ascii="Arial" w:hAnsi="Arial" w:cs="Calibri"/>
        </w:rPr>
        <w:lastRenderedPageBreak/>
        <w:t>social care would come together to plan and provide care. Introduction of common digital systems, including the SEND passport, also provided the means to enhance the information exchange and continuity of care.</w:t>
      </w:r>
    </w:p>
    <w:p w14:paraId="33F92879" w14:textId="77777777" w:rsidR="00EF28B1" w:rsidRDefault="00000000">
      <w:pPr>
        <w:spacing w:line="360" w:lineRule="auto"/>
        <w:jc w:val="both"/>
        <w:rPr>
          <w:rFonts w:ascii="Arial" w:hAnsi="Arial" w:cs="Calibri"/>
        </w:rPr>
      </w:pPr>
      <w:r>
        <w:rPr>
          <w:rFonts w:ascii="Arial" w:hAnsi="Arial" w:cs="Calibri"/>
        </w:rPr>
        <w:t>Service integration can be a major step as it enhances coordinated and person-</w:t>
      </w:r>
      <w:proofErr w:type="spellStart"/>
      <w:r>
        <w:rPr>
          <w:rFonts w:ascii="Arial" w:hAnsi="Arial" w:cs="Calibri"/>
        </w:rPr>
        <w:t>centred</w:t>
      </w:r>
      <w:proofErr w:type="spellEnd"/>
      <w:r>
        <w:rPr>
          <w:rFonts w:ascii="Arial" w:hAnsi="Arial" w:cs="Calibri"/>
        </w:rPr>
        <w:t xml:space="preserve"> care. Van Duijn et al. (2018) assert that the cross-sector integration contributes to the efficiency of services and makes them relevant to the needs of users. Equally, Carlone et al. (2022) note that fragmentation may be </w:t>
      </w:r>
      <w:proofErr w:type="spellStart"/>
      <w:proofErr w:type="gramStart"/>
      <w:r>
        <w:rPr>
          <w:rFonts w:ascii="Arial" w:hAnsi="Arial" w:cs="Calibri"/>
        </w:rPr>
        <w:t>minimised</w:t>
      </w:r>
      <w:proofErr w:type="spellEnd"/>
      <w:proofErr w:type="gramEnd"/>
      <w:r>
        <w:rPr>
          <w:rFonts w:ascii="Arial" w:hAnsi="Arial" w:cs="Calibri"/>
        </w:rPr>
        <w:t xml:space="preserve"> and accessibility enhanced by integrated systems. </w:t>
      </w:r>
    </w:p>
    <w:p w14:paraId="789279E7" w14:textId="77777777" w:rsidR="00EF28B1" w:rsidRDefault="00000000">
      <w:pPr>
        <w:pStyle w:val="Heading2"/>
        <w:spacing w:line="360" w:lineRule="auto"/>
        <w:rPr>
          <w:rFonts w:ascii="Arial" w:hAnsi="Arial" w:cs="Calibri"/>
          <w:b/>
          <w:bCs/>
          <w:sz w:val="22"/>
          <w:szCs w:val="22"/>
        </w:rPr>
      </w:pPr>
      <w:bookmarkStart w:id="4" w:name="_Toc225769860"/>
      <w:r>
        <w:rPr>
          <w:rFonts w:ascii="Arial" w:hAnsi="Arial" w:cs="Calibri"/>
          <w:b/>
          <w:bCs/>
          <w:sz w:val="22"/>
          <w:szCs w:val="22"/>
        </w:rPr>
        <w:t>2.3 Aims and Objectives</w:t>
      </w:r>
      <w:bookmarkEnd w:id="4"/>
    </w:p>
    <w:p w14:paraId="265B8BDB" w14:textId="77777777" w:rsidR="00EF28B1" w:rsidRDefault="00000000">
      <w:pPr>
        <w:spacing w:line="360" w:lineRule="auto"/>
        <w:jc w:val="both"/>
        <w:rPr>
          <w:rFonts w:ascii="Arial" w:hAnsi="Arial"/>
        </w:rPr>
      </w:pPr>
      <w:r>
        <w:rPr>
          <w:rFonts w:ascii="Arial" w:hAnsi="Arial" w:cs="Calibri"/>
        </w:rPr>
        <w:t xml:space="preserve">The primary objective of our group project was to come up with a model of an effective Integrated Care Partnership (ICP) that would enhance coordination of education, health, and social care services to children and young people with SEND in secondary schools and Southend-on-Sea. </w:t>
      </w:r>
      <w:proofErr w:type="gramStart"/>
      <w:r>
        <w:rPr>
          <w:rFonts w:ascii="Arial" w:hAnsi="Arial" w:cs="Calibri"/>
        </w:rPr>
        <w:t>In particular, we</w:t>
      </w:r>
      <w:proofErr w:type="gramEnd"/>
      <w:r>
        <w:rPr>
          <w:rFonts w:ascii="Arial" w:hAnsi="Arial" w:cs="Calibri"/>
        </w:rPr>
        <w:t xml:space="preserve"> were to achieve better Education, Health and Care Plan (EHCP) assessment delays, professional-professional communication enhancement, and the overall service user and family experience and outcomes.</w:t>
      </w:r>
    </w:p>
    <w:p w14:paraId="21110AA1" w14:textId="77777777" w:rsidR="00EF28B1" w:rsidRDefault="00000000">
      <w:pPr>
        <w:spacing w:line="360" w:lineRule="auto"/>
        <w:jc w:val="both"/>
        <w:rPr>
          <w:rFonts w:ascii="Arial" w:hAnsi="Arial" w:cs="Calibri"/>
        </w:rPr>
      </w:pPr>
      <w:r>
        <w:rPr>
          <w:rFonts w:ascii="Arial" w:hAnsi="Arial" w:cs="Calibri"/>
        </w:rPr>
        <w:t xml:space="preserve">Reflectively, I think that these aims and objectives were realistic as well as relevant because they were in direct relation to the identified needs of the target population. They touched upon the major system-wide issues like the fragmentation of the services and the lack of efficiency </w:t>
      </w:r>
      <w:proofErr w:type="gramStart"/>
      <w:r>
        <w:rPr>
          <w:rFonts w:ascii="Arial" w:hAnsi="Arial" w:cs="Calibri"/>
        </w:rPr>
        <w:t>and also</w:t>
      </w:r>
      <w:proofErr w:type="gramEnd"/>
      <w:r>
        <w:rPr>
          <w:rFonts w:ascii="Arial" w:hAnsi="Arial" w:cs="Calibri"/>
        </w:rPr>
        <w:t xml:space="preserve"> paid attention to the attainable improvements using the integrated working practices.</w:t>
      </w:r>
    </w:p>
    <w:p w14:paraId="25D19390" w14:textId="77777777" w:rsidR="00EF28B1" w:rsidRDefault="00000000">
      <w:pPr>
        <w:pStyle w:val="Heading1"/>
        <w:spacing w:line="360" w:lineRule="auto"/>
        <w:rPr>
          <w:rFonts w:ascii="Arial" w:hAnsi="Arial" w:cs="Calibri"/>
          <w:b/>
          <w:bCs/>
          <w:sz w:val="22"/>
          <w:szCs w:val="22"/>
        </w:rPr>
      </w:pPr>
      <w:bookmarkStart w:id="5" w:name="_Toc225769861"/>
      <w:r>
        <w:rPr>
          <w:rFonts w:ascii="Arial" w:hAnsi="Arial" w:cs="Calibri"/>
          <w:b/>
          <w:bCs/>
          <w:sz w:val="22"/>
          <w:szCs w:val="22"/>
        </w:rPr>
        <w:t>3.0 Input: Integration, Partners &amp; Barriers</w:t>
      </w:r>
      <w:bookmarkEnd w:id="5"/>
    </w:p>
    <w:p w14:paraId="7416C351" w14:textId="77777777" w:rsidR="00EF28B1" w:rsidRDefault="00000000">
      <w:pPr>
        <w:pStyle w:val="Heading2"/>
        <w:spacing w:line="360" w:lineRule="auto"/>
        <w:rPr>
          <w:rFonts w:ascii="Arial" w:hAnsi="Arial" w:cs="Calibri"/>
          <w:b/>
          <w:bCs/>
          <w:sz w:val="22"/>
          <w:szCs w:val="22"/>
        </w:rPr>
      </w:pPr>
      <w:bookmarkStart w:id="6" w:name="_Toc225769862"/>
      <w:r>
        <w:rPr>
          <w:rFonts w:ascii="Arial" w:hAnsi="Arial" w:cs="Calibri"/>
          <w:b/>
          <w:bCs/>
          <w:sz w:val="22"/>
          <w:szCs w:val="22"/>
        </w:rPr>
        <w:t>3.1 Key Partners in Service Integration</w:t>
      </w:r>
      <w:bookmarkEnd w:id="6"/>
    </w:p>
    <w:p w14:paraId="284FE99F" w14:textId="285D94D9" w:rsidR="00EF28B1" w:rsidRDefault="002D5C46">
      <w:pPr>
        <w:spacing w:line="360" w:lineRule="auto"/>
        <w:jc w:val="both"/>
        <w:rPr>
          <w:rFonts w:ascii="Arial" w:hAnsi="Arial" w:cs="Calibri"/>
        </w:rPr>
      </w:pPr>
      <w:r w:rsidRPr="002D5C46">
        <w:rPr>
          <w:rFonts w:ascii="Arial" w:hAnsi="Arial" w:cs="Calibri"/>
          <w:highlight w:val="yellow"/>
        </w:rPr>
        <w:t>I have developed better understanding from</w:t>
      </w:r>
      <w:r>
        <w:rPr>
          <w:rFonts w:ascii="Arial" w:hAnsi="Arial" w:cs="Calibri"/>
        </w:rPr>
        <w:t xml:space="preserve"> Redwood et al., (2016) </w:t>
      </w:r>
      <w:r w:rsidRPr="002D5C46">
        <w:rPr>
          <w:rFonts w:ascii="Arial" w:hAnsi="Arial" w:cs="Calibri"/>
          <w:highlight w:val="yellow"/>
        </w:rPr>
        <w:t>who</w:t>
      </w:r>
      <w:r>
        <w:rPr>
          <w:rFonts w:ascii="Arial" w:hAnsi="Arial" w:cs="Calibri"/>
        </w:rPr>
        <w:t xml:space="preserve"> state that service integration in health and social care depends on the cooperation between various parties such as, health services, social care services, local authorities, and non-governmental </w:t>
      </w:r>
      <w:proofErr w:type="spellStart"/>
      <w:r>
        <w:rPr>
          <w:rFonts w:ascii="Arial" w:hAnsi="Arial" w:cs="Calibri"/>
        </w:rPr>
        <w:t>organisations</w:t>
      </w:r>
      <w:proofErr w:type="spellEnd"/>
      <w:r>
        <w:rPr>
          <w:rFonts w:ascii="Arial" w:hAnsi="Arial" w:cs="Calibri"/>
        </w:rPr>
        <w:t xml:space="preserve"> (NGOs). Clinicians and therapists are crucial in </w:t>
      </w:r>
      <w:proofErr w:type="gramStart"/>
      <w:r>
        <w:rPr>
          <w:rFonts w:ascii="Arial" w:hAnsi="Arial" w:cs="Calibri"/>
        </w:rPr>
        <w:t>the diagnosis</w:t>
      </w:r>
      <w:proofErr w:type="gramEnd"/>
      <w:r>
        <w:rPr>
          <w:rFonts w:ascii="Arial" w:hAnsi="Arial" w:cs="Calibri"/>
        </w:rPr>
        <w:t xml:space="preserve">, treatment, and long-term care, whereas social care services offer family support, defense, and welfare services (Cheng and Catallo, 2020). </w:t>
      </w:r>
      <w:r w:rsidRPr="002D5C46">
        <w:rPr>
          <w:rFonts w:ascii="Arial" w:hAnsi="Arial" w:cs="Calibri"/>
          <w:highlight w:val="yellow"/>
        </w:rPr>
        <w:t xml:space="preserve">I have learned that </w:t>
      </w:r>
      <w:r w:rsidR="00BE3281">
        <w:rPr>
          <w:rFonts w:ascii="Arial" w:hAnsi="Arial" w:cs="Calibri"/>
        </w:rPr>
        <w:t>t</w:t>
      </w:r>
      <w:r>
        <w:rPr>
          <w:rFonts w:ascii="Arial" w:hAnsi="Arial" w:cs="Calibri"/>
        </w:rPr>
        <w:t xml:space="preserve">he coordination of services, policies, and meeting statutory obligations are the responsibilities of local authorities, but NGOs also play an important role and provide </w:t>
      </w:r>
      <w:proofErr w:type="spellStart"/>
      <w:r>
        <w:rPr>
          <w:rFonts w:ascii="Arial" w:hAnsi="Arial" w:cs="Calibri"/>
        </w:rPr>
        <w:t>specialised</w:t>
      </w:r>
      <w:proofErr w:type="spellEnd"/>
      <w:r>
        <w:rPr>
          <w:rFonts w:ascii="Arial" w:hAnsi="Arial" w:cs="Calibri"/>
        </w:rPr>
        <w:t xml:space="preserve"> support, advocacy, and services at a local level (Loban et al., 2021; </w:t>
      </w:r>
      <w:proofErr w:type="spellStart"/>
      <w:r>
        <w:rPr>
          <w:rFonts w:ascii="Arial" w:hAnsi="Arial" w:cs="Calibri"/>
        </w:rPr>
        <w:t>Amarashingham</w:t>
      </w:r>
      <w:proofErr w:type="spellEnd"/>
      <w:r>
        <w:rPr>
          <w:rFonts w:ascii="Arial" w:hAnsi="Arial" w:cs="Calibri"/>
        </w:rPr>
        <w:t xml:space="preserve"> et al., 2018).</w:t>
      </w:r>
    </w:p>
    <w:p w14:paraId="1CC24185" w14:textId="77777777" w:rsidR="00EF28B1" w:rsidRDefault="00000000">
      <w:pPr>
        <w:spacing w:line="360" w:lineRule="auto"/>
        <w:jc w:val="both"/>
        <w:rPr>
          <w:rFonts w:ascii="Arial" w:hAnsi="Arial" w:cs="Calibri"/>
        </w:rPr>
      </w:pPr>
      <w:r>
        <w:rPr>
          <w:rFonts w:ascii="Arial" w:hAnsi="Arial" w:cs="Calibri"/>
        </w:rPr>
        <w:t>Van Duijn et al. (2018) say that to achieve successful integration, there must be cooperation among sectors to achieve user-</w:t>
      </w:r>
      <w:proofErr w:type="spellStart"/>
      <w:r>
        <w:rPr>
          <w:rFonts w:ascii="Arial" w:hAnsi="Arial" w:cs="Calibri"/>
        </w:rPr>
        <w:t>centred</w:t>
      </w:r>
      <w:proofErr w:type="spellEnd"/>
      <w:r>
        <w:rPr>
          <w:rFonts w:ascii="Arial" w:hAnsi="Arial" w:cs="Calibri"/>
        </w:rPr>
        <w:t xml:space="preserve"> and coordinated care. Likewise, </w:t>
      </w:r>
      <w:proofErr w:type="spellStart"/>
      <w:r>
        <w:rPr>
          <w:rFonts w:ascii="Arial" w:hAnsi="Arial" w:cs="Calibri"/>
        </w:rPr>
        <w:t>Heyeres</w:t>
      </w:r>
      <w:proofErr w:type="spellEnd"/>
      <w:r>
        <w:rPr>
          <w:rFonts w:ascii="Arial" w:hAnsi="Arial" w:cs="Calibri"/>
        </w:rPr>
        <w:t xml:space="preserve"> et al. (2016) </w:t>
      </w:r>
      <w:proofErr w:type="spellStart"/>
      <w:r>
        <w:rPr>
          <w:rFonts w:ascii="Arial" w:hAnsi="Arial" w:cs="Calibri"/>
        </w:rPr>
        <w:lastRenderedPageBreak/>
        <w:t>emphasise</w:t>
      </w:r>
      <w:proofErr w:type="spellEnd"/>
      <w:r>
        <w:rPr>
          <w:rFonts w:ascii="Arial" w:hAnsi="Arial" w:cs="Calibri"/>
        </w:rPr>
        <w:t xml:space="preserve"> that integrated services </w:t>
      </w:r>
      <w:proofErr w:type="gramStart"/>
      <w:r>
        <w:rPr>
          <w:rFonts w:ascii="Arial" w:hAnsi="Arial" w:cs="Calibri"/>
        </w:rPr>
        <w:t>rely on the</w:t>
      </w:r>
      <w:proofErr w:type="gramEnd"/>
      <w:r>
        <w:rPr>
          <w:rFonts w:ascii="Arial" w:hAnsi="Arial" w:cs="Calibri"/>
        </w:rPr>
        <w:t xml:space="preserve"> effective relationships between </w:t>
      </w:r>
      <w:proofErr w:type="spellStart"/>
      <w:r>
        <w:rPr>
          <w:rFonts w:ascii="Arial" w:hAnsi="Arial" w:cs="Calibri"/>
        </w:rPr>
        <w:t>organisations</w:t>
      </w:r>
      <w:proofErr w:type="spellEnd"/>
      <w:r>
        <w:rPr>
          <w:rFonts w:ascii="Arial" w:hAnsi="Arial" w:cs="Calibri"/>
        </w:rPr>
        <w:t xml:space="preserve">. I have worked in an environment of multiple partners in my group work, and this enhanced the thoroughness of our model proposal. Furthermore, Bustinza et al. (2019) underline that multi-agency working leads to better performance of the services, </w:t>
      </w:r>
      <w:proofErr w:type="spellStart"/>
      <w:r>
        <w:rPr>
          <w:rFonts w:ascii="Arial" w:hAnsi="Arial" w:cs="Calibri"/>
        </w:rPr>
        <w:t>emphasising</w:t>
      </w:r>
      <w:proofErr w:type="spellEnd"/>
      <w:r>
        <w:rPr>
          <w:rFonts w:ascii="Arial" w:hAnsi="Arial" w:cs="Calibri"/>
        </w:rPr>
        <w:t xml:space="preserve"> the significance of the joint work of agencies in the implementation of successful results.</w:t>
      </w:r>
    </w:p>
    <w:p w14:paraId="63584D1A" w14:textId="77777777" w:rsidR="00EF28B1" w:rsidRDefault="00000000">
      <w:pPr>
        <w:pStyle w:val="Heading2"/>
        <w:spacing w:line="360" w:lineRule="auto"/>
        <w:rPr>
          <w:rFonts w:ascii="Arial" w:hAnsi="Arial" w:cs="Calibri"/>
          <w:b/>
          <w:bCs/>
          <w:sz w:val="22"/>
          <w:szCs w:val="22"/>
        </w:rPr>
      </w:pPr>
      <w:bookmarkStart w:id="7" w:name="_Toc225769863"/>
      <w:r>
        <w:rPr>
          <w:rFonts w:ascii="Arial" w:hAnsi="Arial" w:cs="Calibri"/>
          <w:b/>
          <w:bCs/>
          <w:sz w:val="22"/>
          <w:szCs w:val="22"/>
        </w:rPr>
        <w:t>3.2 Principles &amp; Frameworks of Integration</w:t>
      </w:r>
      <w:bookmarkEnd w:id="7"/>
    </w:p>
    <w:p w14:paraId="4D92CAB7" w14:textId="77777777" w:rsidR="00EF28B1" w:rsidRDefault="00000000">
      <w:pPr>
        <w:spacing w:line="360" w:lineRule="auto"/>
        <w:jc w:val="both"/>
        <w:rPr>
          <w:rFonts w:ascii="Arial" w:hAnsi="Arial"/>
        </w:rPr>
      </w:pPr>
      <w:r>
        <w:rPr>
          <w:rFonts w:ascii="Arial" w:hAnsi="Arial" w:cs="Calibri"/>
        </w:rPr>
        <w:t xml:space="preserve">The main principles on which service integration is based include multi-agency </w:t>
      </w:r>
      <w:proofErr w:type="gramStart"/>
      <w:r>
        <w:rPr>
          <w:rFonts w:ascii="Arial" w:hAnsi="Arial" w:cs="Calibri"/>
        </w:rPr>
        <w:t>working</w:t>
      </w:r>
      <w:proofErr w:type="gramEnd"/>
      <w:r>
        <w:rPr>
          <w:rFonts w:ascii="Arial" w:hAnsi="Arial" w:cs="Calibri"/>
        </w:rPr>
        <w:t>, interprofessional collaboration, person-</w:t>
      </w:r>
      <w:proofErr w:type="spellStart"/>
      <w:r>
        <w:rPr>
          <w:rFonts w:ascii="Arial" w:hAnsi="Arial" w:cs="Calibri"/>
        </w:rPr>
        <w:t>centred</w:t>
      </w:r>
      <w:proofErr w:type="spellEnd"/>
      <w:r>
        <w:rPr>
          <w:rFonts w:ascii="Arial" w:hAnsi="Arial" w:cs="Calibri"/>
        </w:rPr>
        <w:t xml:space="preserve"> care as well as holistic care. Multi-agency </w:t>
      </w:r>
      <w:proofErr w:type="gramStart"/>
      <w:r>
        <w:rPr>
          <w:rFonts w:ascii="Arial" w:hAnsi="Arial" w:cs="Calibri"/>
        </w:rPr>
        <w:t>working</w:t>
      </w:r>
      <w:proofErr w:type="gramEnd"/>
      <w:r>
        <w:rPr>
          <w:rFonts w:ascii="Arial" w:hAnsi="Arial" w:cs="Calibri"/>
        </w:rPr>
        <w:t xml:space="preserve"> entails various </w:t>
      </w:r>
      <w:proofErr w:type="spellStart"/>
      <w:r>
        <w:rPr>
          <w:rFonts w:ascii="Arial" w:hAnsi="Arial" w:cs="Calibri"/>
        </w:rPr>
        <w:t>organisations</w:t>
      </w:r>
      <w:proofErr w:type="spellEnd"/>
      <w:r>
        <w:rPr>
          <w:rFonts w:ascii="Arial" w:hAnsi="Arial" w:cs="Calibri"/>
        </w:rPr>
        <w:t xml:space="preserve"> operating together to provide uninterrupted services, which is critical in meeting such complicated demands as </w:t>
      </w:r>
      <w:proofErr w:type="spellStart"/>
      <w:r>
        <w:rPr>
          <w:rFonts w:ascii="Arial" w:hAnsi="Arial" w:cs="Calibri"/>
        </w:rPr>
        <w:t>emphasised</w:t>
      </w:r>
      <w:proofErr w:type="spellEnd"/>
      <w:r>
        <w:rPr>
          <w:rFonts w:ascii="Arial" w:hAnsi="Arial" w:cs="Calibri"/>
        </w:rPr>
        <w:t xml:space="preserve"> by Piquer-Martinez et al. (2024). The practice is also supported by interprofessional collaboration, which allows professionals of various fields to exchange knowledge and make mutual decisions to enhance the quality of care (Bradford et al., 2019). Person-</w:t>
      </w:r>
      <w:proofErr w:type="spellStart"/>
      <w:r>
        <w:rPr>
          <w:rFonts w:ascii="Arial" w:hAnsi="Arial" w:cs="Calibri"/>
        </w:rPr>
        <w:t>centred</w:t>
      </w:r>
      <w:proofErr w:type="spellEnd"/>
      <w:r>
        <w:rPr>
          <w:rFonts w:ascii="Arial" w:hAnsi="Arial" w:cs="Calibri"/>
        </w:rPr>
        <w:t xml:space="preserve"> care is a strategy that makes service delivery to be responsive to the needs and preferences of the service users, enhancing more engagement and better results, whereas holistic care is a strategy that aims to support the physical, emotional, and social wellbeing of the service users (McKeown, 2023). </w:t>
      </w:r>
    </w:p>
    <w:p w14:paraId="1377BA61" w14:textId="510DEADA" w:rsidR="00EF28B1" w:rsidRDefault="00000000">
      <w:pPr>
        <w:spacing w:line="360" w:lineRule="auto"/>
        <w:jc w:val="both"/>
        <w:rPr>
          <w:rFonts w:ascii="Arial" w:hAnsi="Arial" w:cs="Calibri"/>
        </w:rPr>
      </w:pPr>
      <w:r>
        <w:rPr>
          <w:rFonts w:ascii="Arial" w:hAnsi="Arial" w:cs="Calibri"/>
        </w:rPr>
        <w:t xml:space="preserve">On reflection of my group work, I feel that we </w:t>
      </w:r>
      <w:proofErr w:type="spellStart"/>
      <w:r>
        <w:rPr>
          <w:rFonts w:ascii="Arial" w:hAnsi="Arial" w:cs="Calibri"/>
        </w:rPr>
        <w:t>utili</w:t>
      </w:r>
      <w:r w:rsidR="00BE3281">
        <w:rPr>
          <w:rFonts w:ascii="Arial" w:hAnsi="Arial" w:cs="Calibri"/>
        </w:rPr>
        <w:t>s</w:t>
      </w:r>
      <w:r>
        <w:rPr>
          <w:rFonts w:ascii="Arial" w:hAnsi="Arial" w:cs="Calibri"/>
        </w:rPr>
        <w:t>ed</w:t>
      </w:r>
      <w:proofErr w:type="spellEnd"/>
      <w:r>
        <w:rPr>
          <w:rFonts w:ascii="Arial" w:hAnsi="Arial" w:cs="Calibri"/>
        </w:rPr>
        <w:t xml:space="preserve"> these principles, since we suggested multidisciplinary collaboration, joint information systems and coordinated planning, which </w:t>
      </w:r>
      <w:proofErr w:type="gramStart"/>
      <w:r>
        <w:rPr>
          <w:rFonts w:ascii="Arial" w:hAnsi="Arial" w:cs="Calibri"/>
        </w:rPr>
        <w:t>as a whole helped</w:t>
      </w:r>
      <w:proofErr w:type="gramEnd"/>
      <w:r>
        <w:rPr>
          <w:rFonts w:ascii="Arial" w:hAnsi="Arial" w:cs="Calibri"/>
        </w:rPr>
        <w:t xml:space="preserve"> us to have a more integrated and user-friendly approach to care delivery.</w:t>
      </w:r>
    </w:p>
    <w:p w14:paraId="7335E44A" w14:textId="77777777" w:rsidR="00EF28B1" w:rsidRDefault="00000000">
      <w:pPr>
        <w:pStyle w:val="Heading2"/>
        <w:spacing w:line="360" w:lineRule="auto"/>
        <w:rPr>
          <w:rFonts w:ascii="Arial" w:hAnsi="Arial" w:cs="Calibri"/>
          <w:b/>
          <w:bCs/>
          <w:sz w:val="22"/>
          <w:szCs w:val="22"/>
        </w:rPr>
      </w:pPr>
      <w:bookmarkStart w:id="8" w:name="_Toc225769864"/>
      <w:r>
        <w:rPr>
          <w:rFonts w:ascii="Arial" w:hAnsi="Arial" w:cs="Calibri"/>
          <w:b/>
          <w:bCs/>
          <w:sz w:val="22"/>
          <w:szCs w:val="22"/>
        </w:rPr>
        <w:t>3.3 Resources Required</w:t>
      </w:r>
      <w:bookmarkEnd w:id="8"/>
    </w:p>
    <w:p w14:paraId="7583EEE7" w14:textId="77777777" w:rsidR="00EF28B1" w:rsidRDefault="00000000">
      <w:pPr>
        <w:spacing w:line="360" w:lineRule="auto"/>
        <w:jc w:val="both"/>
        <w:rPr>
          <w:rFonts w:ascii="Arial" w:hAnsi="Arial" w:cs="Calibri"/>
        </w:rPr>
      </w:pPr>
      <w:r>
        <w:rPr>
          <w:rFonts w:ascii="Arial" w:hAnsi="Arial" w:cs="Calibri"/>
        </w:rPr>
        <w:t xml:space="preserve">To guarantee sustainability and efficiency of service integration in health and social care, effective integration of services needs sufficient human, financial, and material resources (Stark et al., 2019). The use of coordinated care with the help of human resources, which include trained professionals, including clinicians, educators, and social workers, is inevitable, but workforce shortages continue to be a thorn in the flesh, especially in sophisticated systems, as noted by </w:t>
      </w:r>
      <w:proofErr w:type="spellStart"/>
      <w:r>
        <w:rPr>
          <w:rFonts w:ascii="Arial" w:hAnsi="Arial" w:cs="Calibri"/>
        </w:rPr>
        <w:t>Oleribe</w:t>
      </w:r>
      <w:proofErr w:type="spellEnd"/>
      <w:r>
        <w:rPr>
          <w:rFonts w:ascii="Arial" w:hAnsi="Arial" w:cs="Calibri"/>
        </w:rPr>
        <w:t xml:space="preserve"> et al. (2019). Funding is also an important factor since it is necessary to adequately fund staffing, training, and services provision, but limited financial resources frequently restrict the complete adoption of integrated models (Sharp et al., 2019). Material resources, including digital infrastructure and IT systems, are crucial in helping to communicate and exchange data between sectors, with </w:t>
      </w:r>
      <w:proofErr w:type="spellStart"/>
      <w:r>
        <w:rPr>
          <w:rFonts w:ascii="Arial" w:hAnsi="Arial" w:cs="Calibri"/>
        </w:rPr>
        <w:t>Manogaran</w:t>
      </w:r>
      <w:proofErr w:type="spellEnd"/>
      <w:r>
        <w:rPr>
          <w:rFonts w:ascii="Arial" w:hAnsi="Arial" w:cs="Calibri"/>
        </w:rPr>
        <w:t xml:space="preserve"> et al. (2018) highlighting the role of sophisticated technologies in enhancing the coordination of healthcare.</w:t>
      </w:r>
    </w:p>
    <w:p w14:paraId="61711637" w14:textId="77777777" w:rsidR="00EF28B1" w:rsidRDefault="00000000">
      <w:pPr>
        <w:spacing w:line="360" w:lineRule="auto"/>
        <w:jc w:val="both"/>
        <w:rPr>
          <w:rFonts w:ascii="Arial" w:hAnsi="Arial" w:cs="Calibri"/>
        </w:rPr>
      </w:pPr>
      <w:r>
        <w:rPr>
          <w:rFonts w:ascii="Arial" w:hAnsi="Arial" w:cs="Calibri"/>
        </w:rPr>
        <w:lastRenderedPageBreak/>
        <w:t xml:space="preserve">In reflection, the identified resources were realistic and to some extent </w:t>
      </w:r>
      <w:proofErr w:type="gramStart"/>
      <w:r>
        <w:rPr>
          <w:rFonts w:ascii="Arial" w:hAnsi="Arial" w:cs="Calibri"/>
        </w:rPr>
        <w:t>optimistic</w:t>
      </w:r>
      <w:proofErr w:type="gramEnd"/>
      <w:r>
        <w:rPr>
          <w:rFonts w:ascii="Arial" w:hAnsi="Arial" w:cs="Calibri"/>
        </w:rPr>
        <w:t xml:space="preserve"> especially in terms of funding and availability of workforce. Furthermore, continuity in staff development and maintenance of the system were not taken into serious consideration even though they are crucial in </w:t>
      </w:r>
      <w:proofErr w:type="gramStart"/>
      <w:r>
        <w:rPr>
          <w:rFonts w:ascii="Arial" w:hAnsi="Arial" w:cs="Calibri"/>
        </w:rPr>
        <w:t>long term</w:t>
      </w:r>
      <w:proofErr w:type="gramEnd"/>
      <w:r>
        <w:rPr>
          <w:rFonts w:ascii="Arial" w:hAnsi="Arial" w:cs="Calibri"/>
        </w:rPr>
        <w:t xml:space="preserve"> integration.</w:t>
      </w:r>
    </w:p>
    <w:p w14:paraId="4A6E3763" w14:textId="77777777" w:rsidR="00EF28B1" w:rsidRDefault="00000000">
      <w:pPr>
        <w:pStyle w:val="Heading2"/>
        <w:spacing w:line="360" w:lineRule="auto"/>
        <w:rPr>
          <w:rFonts w:ascii="Arial" w:hAnsi="Arial" w:cs="Calibri"/>
          <w:b/>
          <w:bCs/>
          <w:sz w:val="22"/>
          <w:szCs w:val="22"/>
        </w:rPr>
      </w:pPr>
      <w:bookmarkStart w:id="9" w:name="_Toc225769865"/>
      <w:r>
        <w:rPr>
          <w:rFonts w:ascii="Arial" w:hAnsi="Arial" w:cs="Calibri"/>
          <w:b/>
          <w:bCs/>
          <w:sz w:val="22"/>
          <w:szCs w:val="22"/>
        </w:rPr>
        <w:t>3.4 Barriers to Integration</w:t>
      </w:r>
      <w:bookmarkEnd w:id="9"/>
    </w:p>
    <w:p w14:paraId="014FB107" w14:textId="3EFDF3AC" w:rsidR="00EF28B1" w:rsidRDefault="00000000">
      <w:pPr>
        <w:spacing w:line="360" w:lineRule="auto"/>
        <w:jc w:val="both"/>
        <w:rPr>
          <w:rFonts w:ascii="Arial" w:hAnsi="Arial"/>
        </w:rPr>
      </w:pPr>
      <w:r>
        <w:rPr>
          <w:rFonts w:ascii="Arial" w:hAnsi="Arial" w:cs="Calibri"/>
        </w:rPr>
        <w:t xml:space="preserve">Various systemic and </w:t>
      </w:r>
      <w:proofErr w:type="spellStart"/>
      <w:r>
        <w:rPr>
          <w:rFonts w:ascii="Arial" w:hAnsi="Arial" w:cs="Calibri"/>
        </w:rPr>
        <w:t>organisational</w:t>
      </w:r>
      <w:proofErr w:type="spellEnd"/>
      <w:r>
        <w:rPr>
          <w:rFonts w:ascii="Arial" w:hAnsi="Arial" w:cs="Calibri"/>
        </w:rPr>
        <w:t xml:space="preserve"> hindrances frequently limit service integration and </w:t>
      </w:r>
      <w:proofErr w:type="gramStart"/>
      <w:r>
        <w:rPr>
          <w:rFonts w:ascii="Arial" w:hAnsi="Arial" w:cs="Calibri"/>
        </w:rPr>
        <w:t>the effective</w:t>
      </w:r>
      <w:proofErr w:type="gramEnd"/>
      <w:r>
        <w:rPr>
          <w:rFonts w:ascii="Arial" w:hAnsi="Arial" w:cs="Calibri"/>
        </w:rPr>
        <w:t xml:space="preserve"> implementation (</w:t>
      </w:r>
      <w:proofErr w:type="spellStart"/>
      <w:r>
        <w:rPr>
          <w:rFonts w:ascii="Arial" w:hAnsi="Arial" w:cs="Calibri"/>
        </w:rPr>
        <w:t>Auschra</w:t>
      </w:r>
      <w:proofErr w:type="spellEnd"/>
      <w:r>
        <w:rPr>
          <w:rFonts w:ascii="Arial" w:hAnsi="Arial" w:cs="Calibri"/>
        </w:rPr>
        <w:t xml:space="preserve">, 2018). The significant issue is poor communication among the agencies since the lack of similarity in professional language and information-sharing systems may restrict the collaboration (Wakida et al., 2018). Funding shortage also limits integration activities, limits the ability to hire workers, invest in facilities, and maintain </w:t>
      </w:r>
      <w:proofErr w:type="spellStart"/>
      <w:r>
        <w:rPr>
          <w:rFonts w:ascii="Arial" w:hAnsi="Arial" w:cs="Calibri"/>
        </w:rPr>
        <w:t>synchroni</w:t>
      </w:r>
      <w:r w:rsidR="00BE3281">
        <w:rPr>
          <w:rFonts w:ascii="Arial" w:hAnsi="Arial" w:cs="Calibri"/>
        </w:rPr>
        <w:t>s</w:t>
      </w:r>
      <w:r>
        <w:rPr>
          <w:rFonts w:ascii="Arial" w:hAnsi="Arial" w:cs="Calibri"/>
        </w:rPr>
        <w:t>ed</w:t>
      </w:r>
      <w:proofErr w:type="spellEnd"/>
      <w:r>
        <w:rPr>
          <w:rFonts w:ascii="Arial" w:hAnsi="Arial" w:cs="Calibri"/>
        </w:rPr>
        <w:t xml:space="preserve"> services (</w:t>
      </w:r>
      <w:proofErr w:type="spellStart"/>
      <w:r>
        <w:rPr>
          <w:rFonts w:ascii="Arial" w:hAnsi="Arial" w:cs="Calibri"/>
        </w:rPr>
        <w:t>Maruthappu</w:t>
      </w:r>
      <w:proofErr w:type="spellEnd"/>
      <w:r>
        <w:rPr>
          <w:rFonts w:ascii="Arial" w:hAnsi="Arial" w:cs="Calibri"/>
        </w:rPr>
        <w:t xml:space="preserve"> et al., 2015). Dissociation and lack of alignment between sectors are also caused by </w:t>
      </w:r>
      <w:proofErr w:type="spellStart"/>
      <w:r>
        <w:rPr>
          <w:rFonts w:ascii="Arial" w:hAnsi="Arial" w:cs="Calibri"/>
        </w:rPr>
        <w:t>organisational</w:t>
      </w:r>
      <w:proofErr w:type="spellEnd"/>
      <w:r>
        <w:rPr>
          <w:rFonts w:ascii="Arial" w:hAnsi="Arial" w:cs="Calibri"/>
        </w:rPr>
        <w:t xml:space="preserve"> differences, such as different priorities, cultures, and policies (Kozlowska et al., 2018). Moreover, task overlaps or service gaps may occur due to role confusion among the professionals and have an impact on overall efficiency (</w:t>
      </w:r>
      <w:proofErr w:type="spellStart"/>
      <w:r>
        <w:rPr>
          <w:rFonts w:ascii="Arial" w:hAnsi="Arial" w:cs="Calibri"/>
        </w:rPr>
        <w:t>Auschra</w:t>
      </w:r>
      <w:proofErr w:type="spellEnd"/>
      <w:r>
        <w:rPr>
          <w:rFonts w:ascii="Arial" w:hAnsi="Arial" w:cs="Calibri"/>
        </w:rPr>
        <w:t>, 2018). Another problematic obstacle is resistance to change because stakeholders might not wish to change their working methods (</w:t>
      </w:r>
      <w:proofErr w:type="spellStart"/>
      <w:r>
        <w:rPr>
          <w:rFonts w:ascii="Arial" w:hAnsi="Arial" w:cs="Calibri"/>
        </w:rPr>
        <w:t>Maruthappu</w:t>
      </w:r>
      <w:proofErr w:type="spellEnd"/>
      <w:r>
        <w:rPr>
          <w:rFonts w:ascii="Arial" w:hAnsi="Arial" w:cs="Calibri"/>
        </w:rPr>
        <w:t xml:space="preserve"> et al., 2015).</w:t>
      </w:r>
    </w:p>
    <w:p w14:paraId="694707C6" w14:textId="6FEBEC82" w:rsidR="00EF28B1" w:rsidRDefault="00000000">
      <w:pPr>
        <w:spacing w:line="360" w:lineRule="auto"/>
        <w:jc w:val="both"/>
        <w:rPr>
          <w:rFonts w:ascii="Arial" w:hAnsi="Arial" w:cs="Calibri"/>
        </w:rPr>
      </w:pPr>
      <w:r>
        <w:rPr>
          <w:rFonts w:ascii="Arial" w:hAnsi="Arial" w:cs="Calibri"/>
        </w:rPr>
        <w:t xml:space="preserve">Starting with the group project, we </w:t>
      </w:r>
      <w:proofErr w:type="spellStart"/>
      <w:r>
        <w:rPr>
          <w:rFonts w:ascii="Arial" w:hAnsi="Arial" w:cs="Calibri"/>
        </w:rPr>
        <w:t>recogni</w:t>
      </w:r>
      <w:r w:rsidR="00BE3281">
        <w:rPr>
          <w:rFonts w:ascii="Arial" w:hAnsi="Arial" w:cs="Calibri"/>
        </w:rPr>
        <w:t>s</w:t>
      </w:r>
      <w:r>
        <w:rPr>
          <w:rFonts w:ascii="Arial" w:hAnsi="Arial" w:cs="Calibri"/>
        </w:rPr>
        <w:t>ed</w:t>
      </w:r>
      <w:proofErr w:type="spellEnd"/>
      <w:r>
        <w:rPr>
          <w:rFonts w:ascii="Arial" w:hAnsi="Arial" w:cs="Calibri"/>
        </w:rPr>
        <w:t xml:space="preserve"> these impediments but did not delve into them, which can </w:t>
      </w:r>
      <w:proofErr w:type="gramStart"/>
      <w:r>
        <w:rPr>
          <w:rFonts w:ascii="Arial" w:hAnsi="Arial" w:cs="Calibri"/>
        </w:rPr>
        <w:t>as well</w:t>
      </w:r>
      <w:proofErr w:type="gramEnd"/>
      <w:r>
        <w:rPr>
          <w:rFonts w:ascii="Arial" w:hAnsi="Arial" w:cs="Calibri"/>
        </w:rPr>
        <w:t xml:space="preserve"> restrict the viability of our plan. A lack of proper attention to them may, therefore, influence the viability and sustainability of the integration model.</w:t>
      </w:r>
    </w:p>
    <w:p w14:paraId="6502138A" w14:textId="77777777" w:rsidR="00EF28B1" w:rsidRDefault="00000000">
      <w:pPr>
        <w:pStyle w:val="Heading2"/>
        <w:spacing w:line="360" w:lineRule="auto"/>
        <w:rPr>
          <w:rFonts w:ascii="Arial" w:hAnsi="Arial" w:cs="Calibri"/>
          <w:b/>
          <w:bCs/>
          <w:sz w:val="22"/>
          <w:szCs w:val="22"/>
        </w:rPr>
      </w:pPr>
      <w:bookmarkStart w:id="10" w:name="_Toc225769866"/>
      <w:r>
        <w:rPr>
          <w:rFonts w:ascii="Arial" w:hAnsi="Arial" w:cs="Calibri"/>
          <w:b/>
          <w:bCs/>
          <w:sz w:val="22"/>
          <w:szCs w:val="22"/>
        </w:rPr>
        <w:t>3.5 Recommendations &amp; Solutions</w:t>
      </w:r>
      <w:bookmarkEnd w:id="10"/>
    </w:p>
    <w:p w14:paraId="1BB48DEB" w14:textId="77777777" w:rsidR="00EF28B1" w:rsidRDefault="00000000">
      <w:pPr>
        <w:spacing w:line="360" w:lineRule="auto"/>
        <w:jc w:val="both"/>
        <w:rPr>
          <w:rFonts w:ascii="Arial" w:hAnsi="Arial" w:cs="Calibri"/>
        </w:rPr>
      </w:pPr>
      <w:r>
        <w:rPr>
          <w:rFonts w:ascii="Arial" w:hAnsi="Arial" w:cs="Calibri"/>
        </w:rPr>
        <w:t>Kozlowska et al., (2018) added that the barriers to service integration should be resolved through effective and realistic approaches that reinforce collaboration and efficacy of the system. It is necessary to enhance communication systems, especially common digital platforms and effective protocols of information sharing, which increase coordination between agencies (</w:t>
      </w:r>
      <w:proofErr w:type="spellStart"/>
      <w:r>
        <w:rPr>
          <w:rFonts w:ascii="Arial" w:hAnsi="Arial" w:cs="Calibri"/>
        </w:rPr>
        <w:t>Auschra</w:t>
      </w:r>
      <w:proofErr w:type="spellEnd"/>
      <w:r>
        <w:rPr>
          <w:rFonts w:ascii="Arial" w:hAnsi="Arial" w:cs="Calibri"/>
        </w:rPr>
        <w:t xml:space="preserve">, 2018). Moreover, the staff should receive continuous training and professional growth, which would enhance the knowledge about the roles, conflict reduction, and </w:t>
      </w:r>
      <w:proofErr w:type="gramStart"/>
      <w:r>
        <w:rPr>
          <w:rFonts w:ascii="Arial" w:hAnsi="Arial" w:cs="Calibri"/>
        </w:rPr>
        <w:t>the interprofessional</w:t>
      </w:r>
      <w:proofErr w:type="gramEnd"/>
      <w:r>
        <w:rPr>
          <w:rFonts w:ascii="Arial" w:hAnsi="Arial" w:cs="Calibri"/>
        </w:rPr>
        <w:t xml:space="preserve"> cooperation (</w:t>
      </w:r>
      <w:proofErr w:type="spellStart"/>
      <w:r>
        <w:rPr>
          <w:rFonts w:ascii="Arial" w:hAnsi="Arial" w:cs="Calibri"/>
        </w:rPr>
        <w:t>Maruthappu</w:t>
      </w:r>
      <w:proofErr w:type="spellEnd"/>
      <w:r>
        <w:rPr>
          <w:rFonts w:ascii="Arial" w:hAnsi="Arial" w:cs="Calibri"/>
        </w:rPr>
        <w:t xml:space="preserve"> et al., 2015). It is also important that policy support is present because well-set structures and guidelines can bring structure and responsibility to integrated working and make sure that it is consistent across </w:t>
      </w:r>
      <w:proofErr w:type="spellStart"/>
      <w:r>
        <w:rPr>
          <w:rFonts w:ascii="Arial" w:hAnsi="Arial" w:cs="Calibri"/>
        </w:rPr>
        <w:t>organisations</w:t>
      </w:r>
      <w:proofErr w:type="spellEnd"/>
      <w:r>
        <w:rPr>
          <w:rFonts w:ascii="Arial" w:hAnsi="Arial" w:cs="Calibri"/>
        </w:rPr>
        <w:t xml:space="preserve"> (Sharp et al., 2019).</w:t>
      </w:r>
    </w:p>
    <w:p w14:paraId="78B542B7" w14:textId="77777777" w:rsidR="00EF28B1" w:rsidRDefault="00000000">
      <w:pPr>
        <w:spacing w:line="360" w:lineRule="auto"/>
        <w:jc w:val="both"/>
        <w:rPr>
          <w:rFonts w:ascii="Arial" w:hAnsi="Arial" w:cs="Calibri"/>
        </w:rPr>
      </w:pPr>
      <w:r>
        <w:rPr>
          <w:rFonts w:ascii="Arial" w:hAnsi="Arial" w:cs="Calibri"/>
        </w:rPr>
        <w:t>Effective leadership is critical to the process of integration by means of developing a common vision, making change successful, and stimulating stakeholder involvement (</w:t>
      </w:r>
      <w:proofErr w:type="spellStart"/>
      <w:r>
        <w:rPr>
          <w:rFonts w:ascii="Arial" w:hAnsi="Arial" w:cs="Calibri"/>
        </w:rPr>
        <w:t>Maruthappu</w:t>
      </w:r>
      <w:proofErr w:type="spellEnd"/>
      <w:r>
        <w:rPr>
          <w:rFonts w:ascii="Arial" w:hAnsi="Arial" w:cs="Calibri"/>
        </w:rPr>
        <w:t xml:space="preserve"> et al., </w:t>
      </w:r>
      <w:r>
        <w:rPr>
          <w:rFonts w:ascii="Arial" w:hAnsi="Arial" w:cs="Calibri"/>
        </w:rPr>
        <w:lastRenderedPageBreak/>
        <w:t xml:space="preserve">2015; </w:t>
      </w:r>
      <w:proofErr w:type="spellStart"/>
      <w:r>
        <w:rPr>
          <w:rFonts w:ascii="Arial" w:hAnsi="Arial" w:cs="Calibri"/>
        </w:rPr>
        <w:t>Auschra</w:t>
      </w:r>
      <w:proofErr w:type="spellEnd"/>
      <w:r>
        <w:rPr>
          <w:rFonts w:ascii="Arial" w:hAnsi="Arial" w:cs="Calibri"/>
        </w:rPr>
        <w:t xml:space="preserve">, 2018). Considering the group project, it would be recommended to include these solutions to improve the viability and sustainability of the suggested model. Altogether, to attain </w:t>
      </w:r>
      <w:proofErr w:type="gramStart"/>
      <w:r>
        <w:rPr>
          <w:rFonts w:ascii="Arial" w:hAnsi="Arial" w:cs="Calibri"/>
        </w:rPr>
        <w:t>the successful</w:t>
      </w:r>
      <w:proofErr w:type="gramEnd"/>
      <w:r>
        <w:rPr>
          <w:rFonts w:ascii="Arial" w:hAnsi="Arial" w:cs="Calibri"/>
        </w:rPr>
        <w:t xml:space="preserve"> service integration, </w:t>
      </w:r>
      <w:proofErr w:type="spellStart"/>
      <w:r>
        <w:rPr>
          <w:rFonts w:ascii="Arial" w:hAnsi="Arial" w:cs="Calibri"/>
        </w:rPr>
        <w:t>organisational</w:t>
      </w:r>
      <w:proofErr w:type="spellEnd"/>
      <w:r>
        <w:rPr>
          <w:rFonts w:ascii="Arial" w:hAnsi="Arial" w:cs="Calibri"/>
        </w:rPr>
        <w:t xml:space="preserve"> support, skilled workforce, and effective governance should all be considered (Kozlowska et al., 2018; Sharp et al., 2019).</w:t>
      </w:r>
    </w:p>
    <w:p w14:paraId="5CCD5838" w14:textId="77777777" w:rsidR="00EF28B1" w:rsidRDefault="00000000">
      <w:pPr>
        <w:pStyle w:val="Heading1"/>
        <w:spacing w:line="360" w:lineRule="auto"/>
        <w:rPr>
          <w:rFonts w:ascii="Arial" w:hAnsi="Arial" w:cs="Calibri"/>
          <w:b/>
          <w:bCs/>
          <w:sz w:val="22"/>
          <w:szCs w:val="22"/>
        </w:rPr>
      </w:pPr>
      <w:bookmarkStart w:id="11" w:name="_Toc225769867"/>
      <w:r>
        <w:rPr>
          <w:rFonts w:ascii="Arial" w:hAnsi="Arial" w:cs="Calibri"/>
          <w:b/>
          <w:bCs/>
          <w:sz w:val="22"/>
          <w:szCs w:val="22"/>
        </w:rPr>
        <w:t>4.0 Process: Group Work Reflection</w:t>
      </w:r>
      <w:bookmarkEnd w:id="11"/>
    </w:p>
    <w:p w14:paraId="4CBE525B" w14:textId="77777777" w:rsidR="00EF28B1" w:rsidRDefault="00000000">
      <w:pPr>
        <w:pStyle w:val="Heading2"/>
        <w:spacing w:line="360" w:lineRule="auto"/>
        <w:rPr>
          <w:rFonts w:ascii="Arial" w:hAnsi="Arial" w:cs="Calibri"/>
          <w:b/>
          <w:bCs/>
          <w:sz w:val="22"/>
          <w:szCs w:val="22"/>
        </w:rPr>
      </w:pPr>
      <w:bookmarkStart w:id="12" w:name="_Toc225769868"/>
      <w:r>
        <w:rPr>
          <w:rFonts w:ascii="Arial" w:hAnsi="Arial" w:cs="Calibri"/>
          <w:b/>
          <w:bCs/>
          <w:sz w:val="22"/>
          <w:szCs w:val="22"/>
        </w:rPr>
        <w:t>4.1 Group Collaboration</w:t>
      </w:r>
      <w:bookmarkEnd w:id="12"/>
    </w:p>
    <w:p w14:paraId="3C6A4A1F" w14:textId="77777777" w:rsidR="00EF28B1" w:rsidRDefault="00000000">
      <w:pPr>
        <w:spacing w:line="360" w:lineRule="auto"/>
        <w:jc w:val="both"/>
        <w:rPr>
          <w:rFonts w:ascii="Arial" w:hAnsi="Arial"/>
        </w:rPr>
      </w:pPr>
      <w:r>
        <w:rPr>
          <w:rFonts w:ascii="Arial" w:hAnsi="Arial" w:cs="Calibri"/>
        </w:rPr>
        <w:t xml:space="preserve">In the development of the Delivery Plan of Partnership and Service Integration, my group showed a collaborative attitude, as a group to work together in designing the Integrated Care Partnership (ICP) model and SEND Integrated Support Hub. There was an overall effectiveness in communication supported by frequent discussions and coordination of tasks, which </w:t>
      </w:r>
      <w:proofErr w:type="gramStart"/>
      <w:r>
        <w:rPr>
          <w:rFonts w:ascii="Arial" w:hAnsi="Arial" w:cs="Calibri"/>
        </w:rPr>
        <w:t>allowed</w:t>
      </w:r>
      <w:proofErr w:type="gramEnd"/>
      <w:r>
        <w:rPr>
          <w:rFonts w:ascii="Arial" w:hAnsi="Arial" w:cs="Calibri"/>
        </w:rPr>
        <w:t xml:space="preserve"> to align with the project objectives. </w:t>
      </w:r>
      <w:proofErr w:type="spellStart"/>
      <w:r>
        <w:rPr>
          <w:rFonts w:ascii="Arial" w:hAnsi="Arial" w:cs="Calibri"/>
        </w:rPr>
        <w:t>Laililyah</w:t>
      </w:r>
      <w:proofErr w:type="spellEnd"/>
      <w:r>
        <w:rPr>
          <w:rFonts w:ascii="Arial" w:hAnsi="Arial" w:cs="Calibri"/>
        </w:rPr>
        <w:t xml:space="preserve"> et al. (2021) state that </w:t>
      </w:r>
      <w:proofErr w:type="gramStart"/>
      <w:r>
        <w:rPr>
          <w:rFonts w:ascii="Arial" w:hAnsi="Arial" w:cs="Calibri"/>
        </w:rPr>
        <w:t>the efficient</w:t>
      </w:r>
      <w:proofErr w:type="gramEnd"/>
      <w:r>
        <w:rPr>
          <w:rFonts w:ascii="Arial" w:hAnsi="Arial" w:cs="Calibri"/>
        </w:rPr>
        <w:t xml:space="preserve"> work in a group is only possible with common understanding and involvement, which we observed in our interaction. On the same note, Gratton (2019) emphasizes that collaborative learning improves knowledge sharing and critical thinking, which could be seen in the process of idea generation and procession in the group.</w:t>
      </w:r>
    </w:p>
    <w:p w14:paraId="54AA51AA" w14:textId="77777777" w:rsidR="00EF28B1" w:rsidRDefault="00000000">
      <w:pPr>
        <w:pStyle w:val="Heading2"/>
        <w:spacing w:line="360" w:lineRule="auto"/>
        <w:rPr>
          <w:rFonts w:ascii="Arial" w:hAnsi="Arial" w:cs="Calibri"/>
          <w:b/>
          <w:bCs/>
          <w:sz w:val="22"/>
          <w:szCs w:val="22"/>
        </w:rPr>
      </w:pPr>
      <w:bookmarkStart w:id="13" w:name="_Toc225769869"/>
      <w:r>
        <w:rPr>
          <w:rFonts w:ascii="Arial" w:hAnsi="Arial" w:cs="Calibri"/>
          <w:b/>
          <w:bCs/>
          <w:sz w:val="22"/>
          <w:szCs w:val="22"/>
        </w:rPr>
        <w:t>4.2 Group Collaboration</w:t>
      </w:r>
      <w:bookmarkEnd w:id="13"/>
    </w:p>
    <w:p w14:paraId="250BCEC3" w14:textId="77777777" w:rsidR="00EF28B1" w:rsidRDefault="00000000">
      <w:pPr>
        <w:spacing w:line="360" w:lineRule="auto"/>
        <w:jc w:val="both"/>
        <w:rPr>
          <w:rFonts w:ascii="Arial" w:hAnsi="Arial" w:cs="Calibri"/>
        </w:rPr>
      </w:pPr>
      <w:r>
        <w:rPr>
          <w:rFonts w:ascii="Arial" w:hAnsi="Arial" w:cs="Calibri"/>
        </w:rPr>
        <w:t xml:space="preserve">The group also showed </w:t>
      </w:r>
      <w:proofErr w:type="gramStart"/>
      <w:r>
        <w:rPr>
          <w:rFonts w:ascii="Arial" w:hAnsi="Arial" w:cs="Calibri"/>
        </w:rPr>
        <w:t>a collaborative</w:t>
      </w:r>
      <w:proofErr w:type="gramEnd"/>
      <w:r>
        <w:rPr>
          <w:rFonts w:ascii="Arial" w:hAnsi="Arial" w:cs="Calibri"/>
        </w:rPr>
        <w:t xml:space="preserve"> work in making the Delivery Plan of Partnership and Service Integration that they collectively work on developing the Integrated Care Partnership (ICP) model and SEND Integrated Support Hub. The overall level of communication was good, and it was facilitated by frequent discussions and coordination of tasks, which facilitated adherence to the project goals. </w:t>
      </w:r>
      <w:proofErr w:type="spellStart"/>
      <w:r>
        <w:rPr>
          <w:rFonts w:ascii="Arial" w:hAnsi="Arial" w:cs="Calibri"/>
        </w:rPr>
        <w:t>Lailiyah</w:t>
      </w:r>
      <w:proofErr w:type="spellEnd"/>
      <w:r>
        <w:rPr>
          <w:rFonts w:ascii="Arial" w:hAnsi="Arial" w:cs="Calibri"/>
        </w:rPr>
        <w:t xml:space="preserve"> et al. (2021) state that </w:t>
      </w:r>
      <w:proofErr w:type="gramStart"/>
      <w:r>
        <w:rPr>
          <w:rFonts w:ascii="Arial" w:hAnsi="Arial" w:cs="Calibri"/>
        </w:rPr>
        <w:t>a successful</w:t>
      </w:r>
      <w:proofErr w:type="gramEnd"/>
      <w:r>
        <w:rPr>
          <w:rFonts w:ascii="Arial" w:hAnsi="Arial" w:cs="Calibri"/>
        </w:rPr>
        <w:t xml:space="preserve"> group work requires common ground and engagement, which was reflected in our interaction. On the same note, Gratton (2019) points out that collaborative learning improves the exchange of knowledge and critical thinking, which was evident in the way the ideas were generated and perfected within the group.</w:t>
      </w:r>
    </w:p>
    <w:p w14:paraId="5107C6D0" w14:textId="77777777" w:rsidR="00EF28B1" w:rsidRDefault="00000000">
      <w:pPr>
        <w:pStyle w:val="Heading2"/>
        <w:spacing w:line="360" w:lineRule="auto"/>
        <w:rPr>
          <w:rFonts w:ascii="Arial" w:hAnsi="Arial" w:cs="Calibri"/>
          <w:b/>
          <w:bCs/>
          <w:sz w:val="22"/>
          <w:szCs w:val="22"/>
        </w:rPr>
      </w:pPr>
      <w:bookmarkStart w:id="14" w:name="_Toc225769870"/>
      <w:r>
        <w:rPr>
          <w:rFonts w:ascii="Arial" w:hAnsi="Arial" w:cs="Calibri"/>
          <w:b/>
          <w:bCs/>
          <w:sz w:val="22"/>
          <w:szCs w:val="22"/>
        </w:rPr>
        <w:t>4.3 Roles and Responsibilities</w:t>
      </w:r>
      <w:bookmarkEnd w:id="14"/>
    </w:p>
    <w:p w14:paraId="3262E757" w14:textId="77777777" w:rsidR="00EF28B1" w:rsidRDefault="00000000">
      <w:pPr>
        <w:spacing w:line="360" w:lineRule="auto"/>
        <w:jc w:val="both"/>
        <w:rPr>
          <w:rFonts w:ascii="Arial" w:hAnsi="Arial" w:cs="Calibri"/>
        </w:rPr>
      </w:pPr>
      <w:r>
        <w:rPr>
          <w:rFonts w:ascii="Arial" w:hAnsi="Arial" w:cs="Calibri"/>
        </w:rPr>
        <w:t xml:space="preserve">My role in the group project was mostly working on the Leadership and Management section, where I worked on policy frameworks, management system, and financial planning of the SEND Integrated Support Hub. This included the examination of such significant legislations </w:t>
      </w:r>
      <w:proofErr w:type="gramStart"/>
      <w:r>
        <w:rPr>
          <w:rFonts w:ascii="Arial" w:hAnsi="Arial" w:cs="Calibri"/>
        </w:rPr>
        <w:t>like</w:t>
      </w:r>
      <w:proofErr w:type="gramEnd"/>
      <w:r>
        <w:rPr>
          <w:rFonts w:ascii="Arial" w:hAnsi="Arial" w:cs="Calibri"/>
        </w:rPr>
        <w:t xml:space="preserve"> the Health and Care Act </w:t>
      </w:r>
      <w:proofErr w:type="gramStart"/>
      <w:r>
        <w:rPr>
          <w:rFonts w:ascii="Arial" w:hAnsi="Arial" w:cs="Calibri"/>
        </w:rPr>
        <w:t>2022</w:t>
      </w:r>
      <w:proofErr w:type="gramEnd"/>
      <w:r>
        <w:rPr>
          <w:rFonts w:ascii="Arial" w:hAnsi="Arial" w:cs="Calibri"/>
        </w:rPr>
        <w:t xml:space="preserve"> and the Children and Families Act 2014 and the construction of the cost structure and leadership strategies to facilitate integration. Forslund and Hammar (2018) </w:t>
      </w:r>
      <w:r>
        <w:rPr>
          <w:rFonts w:ascii="Arial" w:hAnsi="Arial" w:cs="Calibri"/>
        </w:rPr>
        <w:lastRenderedPageBreak/>
        <w:t xml:space="preserve">state that group work presupposes the allocation of roles and active engagement, which was attained in our team in </w:t>
      </w:r>
      <w:proofErr w:type="gramStart"/>
      <w:r>
        <w:rPr>
          <w:rFonts w:ascii="Arial" w:hAnsi="Arial" w:cs="Calibri"/>
        </w:rPr>
        <w:t>the majority of</w:t>
      </w:r>
      <w:proofErr w:type="gramEnd"/>
      <w:r>
        <w:rPr>
          <w:rFonts w:ascii="Arial" w:hAnsi="Arial" w:cs="Calibri"/>
        </w:rPr>
        <w:t xml:space="preserve"> cases. Nevertheless, not all the members contributed equally and one or the other was more active. According to </w:t>
      </w:r>
      <w:proofErr w:type="spellStart"/>
      <w:r>
        <w:rPr>
          <w:rFonts w:ascii="Arial" w:hAnsi="Arial" w:cs="Calibri"/>
        </w:rPr>
        <w:t>Razmerita</w:t>
      </w:r>
      <w:proofErr w:type="spellEnd"/>
      <w:r>
        <w:rPr>
          <w:rFonts w:ascii="Arial" w:hAnsi="Arial" w:cs="Calibri"/>
        </w:rPr>
        <w:t xml:space="preserve"> and Kirchner (2015), the lack of equal participation may have an impact on the performance of a certain group; in this case, it was observed that there were delays and gaps in communications.</w:t>
      </w:r>
    </w:p>
    <w:p w14:paraId="1751BCEA" w14:textId="77777777" w:rsidR="00EF28B1" w:rsidRDefault="00000000">
      <w:pPr>
        <w:pStyle w:val="Heading2"/>
        <w:spacing w:line="360" w:lineRule="auto"/>
        <w:rPr>
          <w:rFonts w:ascii="Arial" w:hAnsi="Arial" w:cs="Calibri"/>
          <w:b/>
          <w:bCs/>
          <w:sz w:val="22"/>
          <w:szCs w:val="22"/>
        </w:rPr>
      </w:pPr>
      <w:bookmarkStart w:id="15" w:name="_Toc225769871"/>
      <w:r>
        <w:rPr>
          <w:rFonts w:ascii="Arial" w:hAnsi="Arial" w:cs="Calibri"/>
          <w:b/>
          <w:bCs/>
          <w:sz w:val="22"/>
          <w:szCs w:val="22"/>
        </w:rPr>
        <w:t>4.4 Challenges in Group Work</w:t>
      </w:r>
      <w:bookmarkEnd w:id="15"/>
    </w:p>
    <w:p w14:paraId="35C91B59" w14:textId="5C662F94" w:rsidR="00EF28B1" w:rsidRDefault="00000000">
      <w:pPr>
        <w:spacing w:line="360" w:lineRule="auto"/>
        <w:jc w:val="both"/>
        <w:rPr>
          <w:rFonts w:ascii="Arial" w:hAnsi="Arial"/>
        </w:rPr>
      </w:pPr>
      <w:r>
        <w:rPr>
          <w:rFonts w:ascii="Arial" w:hAnsi="Arial" w:cs="Calibri"/>
        </w:rPr>
        <w:t xml:space="preserve">My group also had </w:t>
      </w:r>
      <w:proofErr w:type="gramStart"/>
      <w:r>
        <w:rPr>
          <w:rFonts w:ascii="Arial" w:hAnsi="Arial" w:cs="Calibri"/>
        </w:rPr>
        <w:t>a number of</w:t>
      </w:r>
      <w:proofErr w:type="gramEnd"/>
      <w:r>
        <w:rPr>
          <w:rFonts w:ascii="Arial" w:hAnsi="Arial" w:cs="Calibri"/>
        </w:rPr>
        <w:t xml:space="preserve"> issues such as poor coordination and content development. The failure to achieve timely communication also influenced project progress at times especially in coordinating various project segments. Lin et al. (2021) have concluded that the level of engagement of individuals and the dynamic of decision-making can affect group collaboration, and it was clear in our case. Also, Le et al. (2018) indicate that inadequate coordination and the lack of clear expectations may result in poor collaboration. The challenges were addressed by follow-up discussions</w:t>
      </w:r>
      <w:r w:rsidR="00F754FE">
        <w:rPr>
          <w:rFonts w:ascii="Arial" w:hAnsi="Arial" w:cs="Calibri"/>
        </w:rPr>
        <w:t xml:space="preserve"> and</w:t>
      </w:r>
      <w:r>
        <w:rPr>
          <w:rFonts w:ascii="Arial" w:hAnsi="Arial" w:cs="Calibri"/>
        </w:rPr>
        <w:t xml:space="preserve"> clarification of the tasks to achieve completion. Conflicts were not that serious, but </w:t>
      </w:r>
      <w:proofErr w:type="gramStart"/>
      <w:r>
        <w:rPr>
          <w:rFonts w:ascii="Arial" w:hAnsi="Arial" w:cs="Calibri"/>
        </w:rPr>
        <w:t>a better</w:t>
      </w:r>
      <w:proofErr w:type="gramEnd"/>
      <w:r>
        <w:rPr>
          <w:rFonts w:ascii="Arial" w:hAnsi="Arial" w:cs="Calibri"/>
        </w:rPr>
        <w:t xml:space="preserve"> planning and regular communication would have made it more efficient. </w:t>
      </w:r>
    </w:p>
    <w:p w14:paraId="7F2B03F7" w14:textId="77777777" w:rsidR="00EF28B1" w:rsidRDefault="00000000">
      <w:pPr>
        <w:pStyle w:val="Heading2"/>
        <w:spacing w:line="360" w:lineRule="auto"/>
        <w:rPr>
          <w:rFonts w:ascii="Arial" w:hAnsi="Arial" w:cs="Calibri"/>
          <w:b/>
          <w:bCs/>
          <w:sz w:val="22"/>
          <w:szCs w:val="22"/>
        </w:rPr>
      </w:pPr>
      <w:bookmarkStart w:id="16" w:name="_Toc225769872"/>
      <w:r>
        <w:rPr>
          <w:rFonts w:ascii="Arial" w:hAnsi="Arial" w:cs="Calibri"/>
          <w:b/>
          <w:bCs/>
          <w:sz w:val="22"/>
          <w:szCs w:val="22"/>
        </w:rPr>
        <w:t>4.5 Personal Reflection</w:t>
      </w:r>
      <w:bookmarkEnd w:id="16"/>
    </w:p>
    <w:p w14:paraId="30440461" w14:textId="583DDD95" w:rsidR="00EF28B1" w:rsidRDefault="00000000">
      <w:pPr>
        <w:spacing w:line="360" w:lineRule="auto"/>
        <w:jc w:val="both"/>
        <w:rPr>
          <w:rFonts w:ascii="Arial" w:hAnsi="Arial" w:cs="Calibri"/>
        </w:rPr>
      </w:pPr>
      <w:r>
        <w:rPr>
          <w:rFonts w:ascii="Arial" w:hAnsi="Arial" w:cs="Calibri"/>
        </w:rPr>
        <w:t xml:space="preserve">In my opinion, I did a good job as </w:t>
      </w:r>
      <w:proofErr w:type="gramStart"/>
      <w:r>
        <w:rPr>
          <w:rFonts w:ascii="Arial" w:hAnsi="Arial" w:cs="Calibri"/>
        </w:rPr>
        <w:t>a of</w:t>
      </w:r>
      <w:proofErr w:type="gramEnd"/>
      <w:r>
        <w:rPr>
          <w:rFonts w:ascii="Arial" w:hAnsi="Arial" w:cs="Calibri"/>
        </w:rPr>
        <w:t xml:space="preserve"> the Leadership and Management section, specifically discussing the policies and governance frameworks related and financial planning of the SEND Integrated Support Hub. My research and </w:t>
      </w:r>
      <w:proofErr w:type="spellStart"/>
      <w:r>
        <w:rPr>
          <w:rFonts w:ascii="Arial" w:hAnsi="Arial" w:cs="Calibri"/>
        </w:rPr>
        <w:t>organisation</w:t>
      </w:r>
      <w:proofErr w:type="spellEnd"/>
      <w:r>
        <w:rPr>
          <w:rFonts w:ascii="Arial" w:hAnsi="Arial" w:cs="Calibri"/>
        </w:rPr>
        <w:t xml:space="preserve"> skills were high, meaning that I contributed a lot of information, which was coordinated with the general project aims. I also interacted with other members of the team </w:t>
      </w:r>
      <w:proofErr w:type="gramStart"/>
      <w:r>
        <w:rPr>
          <w:rFonts w:ascii="Arial" w:hAnsi="Arial" w:cs="Calibri"/>
        </w:rPr>
        <w:t>properly</w:t>
      </w:r>
      <w:proofErr w:type="gramEnd"/>
      <w:r>
        <w:rPr>
          <w:rFonts w:ascii="Arial" w:hAnsi="Arial" w:cs="Calibri"/>
        </w:rPr>
        <w:t xml:space="preserve"> when necessary, which facilitated cooperation. Nevertheless, I </w:t>
      </w:r>
      <w:proofErr w:type="spellStart"/>
      <w:r>
        <w:rPr>
          <w:rFonts w:ascii="Arial" w:hAnsi="Arial" w:cs="Calibri"/>
        </w:rPr>
        <w:t>realise</w:t>
      </w:r>
      <w:proofErr w:type="spellEnd"/>
      <w:r>
        <w:rPr>
          <w:rFonts w:ascii="Arial" w:hAnsi="Arial" w:cs="Calibri"/>
        </w:rPr>
        <w:t xml:space="preserve"> that I would be more consistent in group participation, especially in participation in other segments other than the role assigned to me. My time management could also be improved so that I could complete tasks earlier. Considering this experience, I can say that I need to be more active and flexible in my work in a group to </w:t>
      </w:r>
      <w:proofErr w:type="gramStart"/>
      <w:r>
        <w:rPr>
          <w:rFonts w:ascii="Arial" w:hAnsi="Arial" w:cs="Calibri"/>
        </w:rPr>
        <w:t>reach</w:t>
      </w:r>
      <w:proofErr w:type="gramEnd"/>
      <w:r>
        <w:rPr>
          <w:rFonts w:ascii="Arial" w:hAnsi="Arial" w:cs="Calibri"/>
        </w:rPr>
        <w:t xml:space="preserve"> better general results.</w:t>
      </w:r>
    </w:p>
    <w:p w14:paraId="3C68DB93" w14:textId="77777777" w:rsidR="00EF28B1" w:rsidRDefault="00000000">
      <w:pPr>
        <w:pStyle w:val="Heading1"/>
        <w:spacing w:line="360" w:lineRule="auto"/>
        <w:rPr>
          <w:rFonts w:ascii="Arial" w:hAnsi="Arial" w:cs="Calibri"/>
          <w:b/>
          <w:bCs/>
          <w:sz w:val="22"/>
          <w:szCs w:val="22"/>
        </w:rPr>
      </w:pPr>
      <w:bookmarkStart w:id="17" w:name="_Toc225769873"/>
      <w:r>
        <w:rPr>
          <w:rFonts w:ascii="Arial" w:hAnsi="Arial" w:cs="Calibri"/>
          <w:b/>
          <w:bCs/>
          <w:sz w:val="22"/>
          <w:szCs w:val="22"/>
        </w:rPr>
        <w:t xml:space="preserve">5.0 Product: Outcomes &amp; </w:t>
      </w:r>
      <w:proofErr w:type="gramStart"/>
      <w:r>
        <w:rPr>
          <w:rFonts w:ascii="Arial" w:hAnsi="Arial" w:cs="Calibri"/>
          <w:b/>
          <w:bCs/>
          <w:sz w:val="22"/>
          <w:szCs w:val="22"/>
        </w:rPr>
        <w:t>Skills Development</w:t>
      </w:r>
      <w:bookmarkEnd w:id="17"/>
      <w:proofErr w:type="gramEnd"/>
    </w:p>
    <w:p w14:paraId="1DBC642E" w14:textId="77777777" w:rsidR="00EF28B1" w:rsidRDefault="00000000">
      <w:pPr>
        <w:pStyle w:val="Heading2"/>
        <w:spacing w:line="360" w:lineRule="auto"/>
        <w:rPr>
          <w:rFonts w:ascii="Arial" w:hAnsi="Arial" w:cs="Calibri"/>
          <w:b/>
          <w:bCs/>
          <w:sz w:val="22"/>
          <w:szCs w:val="22"/>
        </w:rPr>
      </w:pPr>
      <w:bookmarkStart w:id="18" w:name="_Toc225769874"/>
      <w:r>
        <w:rPr>
          <w:rFonts w:ascii="Arial" w:hAnsi="Arial" w:cs="Calibri"/>
          <w:b/>
          <w:bCs/>
          <w:sz w:val="22"/>
          <w:szCs w:val="22"/>
        </w:rPr>
        <w:t>5.1 Was the Task Successful?</w:t>
      </w:r>
      <w:bookmarkEnd w:id="18"/>
    </w:p>
    <w:p w14:paraId="5F5C0104" w14:textId="77777777" w:rsidR="00EF28B1" w:rsidRDefault="00000000">
      <w:pPr>
        <w:spacing w:line="360" w:lineRule="auto"/>
        <w:jc w:val="both"/>
        <w:rPr>
          <w:rFonts w:ascii="Arial" w:hAnsi="Arial" w:cs="Calibri"/>
        </w:rPr>
      </w:pPr>
      <w:r>
        <w:rPr>
          <w:rFonts w:ascii="Arial" w:hAnsi="Arial" w:cs="Calibri"/>
        </w:rPr>
        <w:t xml:space="preserve">The team was able to realize its objective of creating a holistic Delivery Plan of Partnership and Service Integration with the model of Integrated Care Partnership (ICP). Our presentation was highly presented with essential issues like service fragmentation, delays during the EHCP assessments, and poor inter-agency coordination in the Southend-on-Sea. The </w:t>
      </w:r>
      <w:proofErr w:type="gramStart"/>
      <w:r>
        <w:rPr>
          <w:rFonts w:ascii="Arial" w:hAnsi="Arial" w:cs="Calibri"/>
        </w:rPr>
        <w:t>offered solution</w:t>
      </w:r>
      <w:proofErr w:type="gramEnd"/>
      <w:r>
        <w:rPr>
          <w:rFonts w:ascii="Arial" w:hAnsi="Arial" w:cs="Calibri"/>
        </w:rPr>
        <w:t xml:space="preserve">, </w:t>
      </w:r>
      <w:r>
        <w:rPr>
          <w:rFonts w:ascii="Arial" w:hAnsi="Arial" w:cs="Calibri"/>
        </w:rPr>
        <w:lastRenderedPageBreak/>
        <w:t>such as the SEND Integrated Support Hub, Single Point of Access (SPA), and multidisciplinary team (MDT) model, was feasible and corresponded to the identified needs. Moreover, the presence of policy frameworks, resource planning and digital innovations like the SEND Passport enhanced the realness of the model. On this, I can say that our solution was realistic, but its implementation would rely on good funding, workforce capacity, and good leadership to make it sustainable.</w:t>
      </w:r>
    </w:p>
    <w:p w14:paraId="679FDB28" w14:textId="77777777" w:rsidR="00EF28B1" w:rsidRDefault="00000000">
      <w:pPr>
        <w:pStyle w:val="Heading2"/>
        <w:spacing w:line="360" w:lineRule="auto"/>
        <w:rPr>
          <w:rFonts w:ascii="Arial" w:hAnsi="Arial" w:cs="Calibri"/>
          <w:b/>
          <w:bCs/>
          <w:sz w:val="22"/>
          <w:szCs w:val="22"/>
        </w:rPr>
      </w:pPr>
      <w:bookmarkStart w:id="19" w:name="_Toc225769875"/>
      <w:r>
        <w:rPr>
          <w:rFonts w:ascii="Arial" w:hAnsi="Arial" w:cs="Calibri"/>
          <w:b/>
          <w:bCs/>
          <w:sz w:val="22"/>
          <w:szCs w:val="22"/>
        </w:rPr>
        <w:t>5.2 Skills and Competencies Developed</w:t>
      </w:r>
      <w:bookmarkEnd w:id="19"/>
    </w:p>
    <w:p w14:paraId="7AA76C2A" w14:textId="77777777" w:rsidR="00EF28B1" w:rsidRDefault="00000000">
      <w:pPr>
        <w:spacing w:line="360" w:lineRule="auto"/>
        <w:jc w:val="both"/>
        <w:rPr>
          <w:rFonts w:ascii="Arial" w:hAnsi="Arial"/>
        </w:rPr>
      </w:pPr>
      <w:r>
        <w:rPr>
          <w:rFonts w:ascii="Arial" w:hAnsi="Arial" w:cs="Calibri"/>
        </w:rPr>
        <w:t xml:space="preserve">This </w:t>
      </w:r>
      <w:proofErr w:type="gramStart"/>
      <w:r>
        <w:rPr>
          <w:rFonts w:ascii="Arial" w:hAnsi="Arial" w:cs="Calibri"/>
        </w:rPr>
        <w:t>project work</w:t>
      </w:r>
      <w:proofErr w:type="gramEnd"/>
      <w:r>
        <w:rPr>
          <w:rFonts w:ascii="Arial" w:hAnsi="Arial" w:cs="Calibri"/>
        </w:rPr>
        <w:t xml:space="preserve"> helped me a great deal in improving my communication, teamwork, leadership, problem-solving, and knowledge in integrated care. My ability to communicate improved through </w:t>
      </w:r>
      <w:proofErr w:type="gramStart"/>
      <w:r>
        <w:rPr>
          <w:rFonts w:ascii="Arial" w:hAnsi="Arial" w:cs="Calibri"/>
        </w:rPr>
        <w:t>the active</w:t>
      </w:r>
      <w:proofErr w:type="gramEnd"/>
      <w:r>
        <w:rPr>
          <w:rFonts w:ascii="Arial" w:hAnsi="Arial" w:cs="Calibri"/>
        </w:rPr>
        <w:t xml:space="preserve"> involvement in group discussions and idea presentation, which is consistent with Sharp et al. (2019) highlighting collaboration as a critical factor in the integrated service delivery. The ability to work as a team was developed by task coordination and interaction with different views, which demonstrated the relevance of problem-solving by the team to address complex healthcare systems (</w:t>
      </w:r>
      <w:proofErr w:type="spellStart"/>
      <w:r>
        <w:rPr>
          <w:rFonts w:ascii="Arial" w:hAnsi="Arial" w:cs="Calibri"/>
        </w:rPr>
        <w:t>Oleribe</w:t>
      </w:r>
      <w:proofErr w:type="spellEnd"/>
      <w:r>
        <w:rPr>
          <w:rFonts w:ascii="Arial" w:hAnsi="Arial" w:cs="Calibri"/>
        </w:rPr>
        <w:t xml:space="preserve"> et al., 2019). My leadership qualities were gained especially in dealing with the Leadership and Management section where I used strategic thinking and decision-making. Also, the skill of solving problems was developed through dealing with real-life problems, including service fragmentation and resource shortages.</w:t>
      </w:r>
    </w:p>
    <w:p w14:paraId="03ED70E9" w14:textId="77777777" w:rsidR="00EF28B1" w:rsidRDefault="00000000">
      <w:pPr>
        <w:pStyle w:val="Heading1"/>
        <w:spacing w:line="360" w:lineRule="auto"/>
        <w:rPr>
          <w:rFonts w:ascii="Arial" w:hAnsi="Arial" w:cs="Calibri"/>
          <w:b/>
          <w:bCs/>
          <w:sz w:val="22"/>
          <w:szCs w:val="22"/>
        </w:rPr>
      </w:pPr>
      <w:bookmarkStart w:id="20" w:name="_Toc225769876"/>
      <w:r>
        <w:rPr>
          <w:rFonts w:ascii="Arial" w:hAnsi="Arial" w:cs="Calibri"/>
          <w:b/>
          <w:bCs/>
          <w:sz w:val="22"/>
          <w:szCs w:val="22"/>
        </w:rPr>
        <w:t>6.0 Conclusion</w:t>
      </w:r>
      <w:bookmarkEnd w:id="20"/>
    </w:p>
    <w:p w14:paraId="4711529E" w14:textId="77777777" w:rsidR="00EF28B1" w:rsidRDefault="00000000">
      <w:pPr>
        <w:spacing w:line="360" w:lineRule="auto"/>
        <w:jc w:val="both"/>
        <w:rPr>
          <w:rFonts w:ascii="Arial" w:hAnsi="Arial" w:cs="Calibri"/>
        </w:rPr>
      </w:pPr>
      <w:r>
        <w:rPr>
          <w:rFonts w:ascii="Arial" w:hAnsi="Arial" w:cs="Calibri"/>
        </w:rPr>
        <w:t xml:space="preserve">The reflective report revealed my experience in the group project on creating an Integrated Care Partnership (ICP) among the young people with SEND in Southend-on-Sea. </w:t>
      </w:r>
      <w:proofErr w:type="gramStart"/>
      <w:r>
        <w:rPr>
          <w:rFonts w:ascii="Arial" w:hAnsi="Arial" w:cs="Calibri"/>
        </w:rPr>
        <w:t>The</w:t>
      </w:r>
      <w:proofErr w:type="gramEnd"/>
      <w:r>
        <w:rPr>
          <w:rFonts w:ascii="Arial" w:hAnsi="Arial" w:cs="Calibri"/>
        </w:rPr>
        <w:t xml:space="preserve"> reflection has stressed the role of integrating services and working well in partnerships and good leadership that will be significant in dealing with fragmentation in health, education, and social care systems. By assessing the context, </w:t>
      </w:r>
      <w:proofErr w:type="gramStart"/>
      <w:r>
        <w:rPr>
          <w:rFonts w:ascii="Arial" w:hAnsi="Arial" w:cs="Calibri"/>
        </w:rPr>
        <w:t>inputs</w:t>
      </w:r>
      <w:proofErr w:type="gramEnd"/>
      <w:r>
        <w:rPr>
          <w:rFonts w:ascii="Arial" w:hAnsi="Arial" w:cs="Calibri"/>
        </w:rPr>
        <w:t>, processes and outcomes, I was able to appreciate more the complexities that are involved in providing coordinated and person-</w:t>
      </w:r>
      <w:proofErr w:type="spellStart"/>
      <w:r>
        <w:rPr>
          <w:rFonts w:ascii="Arial" w:hAnsi="Arial" w:cs="Calibri"/>
        </w:rPr>
        <w:t>centred</w:t>
      </w:r>
      <w:proofErr w:type="spellEnd"/>
      <w:r>
        <w:rPr>
          <w:rFonts w:ascii="Arial" w:hAnsi="Arial" w:cs="Calibri"/>
        </w:rPr>
        <w:t xml:space="preserve"> care. The experience also improved my professional </w:t>
      </w:r>
      <w:proofErr w:type="gramStart"/>
      <w:r>
        <w:rPr>
          <w:rFonts w:ascii="Arial" w:hAnsi="Arial" w:cs="Calibri"/>
        </w:rPr>
        <w:t>skills</w:t>
      </w:r>
      <w:proofErr w:type="gramEnd"/>
      <w:r>
        <w:rPr>
          <w:rFonts w:ascii="Arial" w:hAnsi="Arial" w:cs="Calibri"/>
        </w:rPr>
        <w:t xml:space="preserve"> especially </w:t>
      </w:r>
      <w:proofErr w:type="gramStart"/>
      <w:r>
        <w:rPr>
          <w:rFonts w:ascii="Arial" w:hAnsi="Arial" w:cs="Calibri"/>
        </w:rPr>
        <w:t>in the area of</w:t>
      </w:r>
      <w:proofErr w:type="gramEnd"/>
      <w:r>
        <w:rPr>
          <w:rFonts w:ascii="Arial" w:hAnsi="Arial" w:cs="Calibri"/>
        </w:rPr>
        <w:t xml:space="preserve"> leadership, teamwork, and critical thinking.</w:t>
      </w:r>
    </w:p>
    <w:p w14:paraId="7E9B452C" w14:textId="77777777" w:rsidR="00EF28B1" w:rsidRDefault="00EF28B1">
      <w:pPr>
        <w:spacing w:line="360" w:lineRule="auto"/>
        <w:jc w:val="both"/>
        <w:rPr>
          <w:rFonts w:ascii="Arial" w:hAnsi="Arial" w:cs="Calibri"/>
          <w:lang w:val="en-GB"/>
        </w:rPr>
      </w:pPr>
    </w:p>
    <w:p w14:paraId="25B997A8" w14:textId="77777777" w:rsidR="00EF28B1" w:rsidRDefault="00EF28B1">
      <w:pPr>
        <w:spacing w:line="360" w:lineRule="auto"/>
        <w:jc w:val="both"/>
        <w:rPr>
          <w:rFonts w:ascii="Arial" w:hAnsi="Arial" w:cs="Calibri"/>
        </w:rPr>
      </w:pPr>
    </w:p>
    <w:p w14:paraId="5BFBC672" w14:textId="77777777" w:rsidR="00EF28B1" w:rsidRDefault="00EF28B1">
      <w:pPr>
        <w:spacing w:line="360" w:lineRule="auto"/>
        <w:jc w:val="both"/>
        <w:rPr>
          <w:rFonts w:ascii="Arial" w:hAnsi="Arial" w:cs="Calibri"/>
        </w:rPr>
      </w:pPr>
    </w:p>
    <w:p w14:paraId="64F8E904" w14:textId="77777777" w:rsidR="00EF28B1" w:rsidRDefault="00EF28B1">
      <w:pPr>
        <w:spacing w:line="360" w:lineRule="auto"/>
        <w:jc w:val="both"/>
        <w:rPr>
          <w:rFonts w:ascii="Arial" w:hAnsi="Arial" w:cs="Calibri"/>
        </w:rPr>
      </w:pPr>
    </w:p>
    <w:p w14:paraId="2A4485B5" w14:textId="77777777" w:rsidR="00EF28B1" w:rsidRDefault="00000000">
      <w:pPr>
        <w:pStyle w:val="Heading1"/>
        <w:spacing w:line="360" w:lineRule="auto"/>
        <w:rPr>
          <w:rFonts w:ascii="Arial" w:hAnsi="Arial" w:cs="Calibri"/>
          <w:b/>
          <w:bCs/>
          <w:sz w:val="22"/>
          <w:szCs w:val="22"/>
        </w:rPr>
      </w:pPr>
      <w:bookmarkStart w:id="21" w:name="_Toc225769877"/>
      <w:r>
        <w:rPr>
          <w:rFonts w:ascii="Arial" w:hAnsi="Arial" w:cs="Calibri"/>
          <w:b/>
          <w:bCs/>
          <w:sz w:val="22"/>
          <w:szCs w:val="22"/>
        </w:rPr>
        <w:lastRenderedPageBreak/>
        <w:t>References</w:t>
      </w:r>
      <w:bookmarkEnd w:id="21"/>
    </w:p>
    <w:p w14:paraId="21CA2CB3" w14:textId="77777777" w:rsidR="00EF28B1" w:rsidRDefault="00000000">
      <w:pPr>
        <w:numPr>
          <w:ilvl w:val="0"/>
          <w:numId w:val="2"/>
        </w:numPr>
        <w:spacing w:line="360" w:lineRule="auto"/>
      </w:pPr>
      <w:proofErr w:type="spellStart"/>
      <w:r>
        <w:rPr>
          <w:rFonts w:ascii="Arial" w:hAnsi="Arial" w:cs="Calibri"/>
        </w:rPr>
        <w:t>Amarashingham</w:t>
      </w:r>
      <w:proofErr w:type="spellEnd"/>
      <w:r>
        <w:rPr>
          <w:rFonts w:ascii="Arial" w:hAnsi="Arial" w:cs="Calibri"/>
        </w:rPr>
        <w:t>, R., Xie, B., Karam, A., Nguyen, N., &amp; Kapoor, B. (2018). Using community partnerships to integrate health and social services for high-need, high-cost patients. </w:t>
      </w:r>
      <w:r>
        <w:rPr>
          <w:rFonts w:ascii="Arial" w:hAnsi="Arial" w:cs="Calibri"/>
          <w:i/>
          <w:iCs/>
        </w:rPr>
        <w:t>Issue Brief (</w:t>
      </w:r>
      <w:proofErr w:type="spellStart"/>
      <w:r>
        <w:rPr>
          <w:rFonts w:ascii="Arial" w:hAnsi="Arial" w:cs="Calibri"/>
          <w:i/>
          <w:iCs/>
        </w:rPr>
        <w:t>Commonw</w:t>
      </w:r>
      <w:proofErr w:type="spellEnd"/>
      <w:r>
        <w:rPr>
          <w:rFonts w:ascii="Arial" w:hAnsi="Arial" w:cs="Calibri"/>
          <w:i/>
          <w:iCs/>
        </w:rPr>
        <w:t xml:space="preserve"> Fund)</w:t>
      </w:r>
      <w:r>
        <w:rPr>
          <w:rFonts w:ascii="Arial" w:hAnsi="Arial" w:cs="Calibri"/>
        </w:rPr>
        <w:t>, </w:t>
      </w:r>
      <w:r>
        <w:rPr>
          <w:rFonts w:ascii="Arial" w:hAnsi="Arial" w:cs="Calibri"/>
          <w:i/>
          <w:iCs/>
        </w:rPr>
        <w:t>2018</w:t>
      </w:r>
      <w:r>
        <w:rPr>
          <w:rFonts w:ascii="Arial" w:hAnsi="Arial" w:cs="Calibri"/>
        </w:rPr>
        <w:t xml:space="preserve">, 1-11. Available at: </w:t>
      </w:r>
      <w:hyperlink r:id="rId8">
        <w:r w:rsidR="00EF28B1">
          <w:rPr>
            <w:rStyle w:val="Hyperlink"/>
            <w:rFonts w:ascii="Arial" w:hAnsi="Arial" w:cs="Calibri"/>
            <w:color w:val="2F5496" w:themeColor="accent1" w:themeShade="BF"/>
          </w:rPr>
          <w:t>https://search.issuelab.org/resources/29808/29808.pdf</w:t>
        </w:r>
      </w:hyperlink>
      <w:r>
        <w:rPr>
          <w:rFonts w:ascii="Arial" w:hAnsi="Arial" w:cs="Calibri"/>
        </w:rPr>
        <w:t xml:space="preserve"> (Accessed: 07/03/2026)</w:t>
      </w:r>
    </w:p>
    <w:p w14:paraId="64218E7D" w14:textId="77777777" w:rsidR="00EF28B1" w:rsidRDefault="00000000">
      <w:pPr>
        <w:numPr>
          <w:ilvl w:val="0"/>
          <w:numId w:val="2"/>
        </w:numPr>
        <w:spacing w:line="360" w:lineRule="auto"/>
      </w:pPr>
      <w:proofErr w:type="spellStart"/>
      <w:r>
        <w:rPr>
          <w:rFonts w:ascii="Arial" w:hAnsi="Arial" w:cs="Calibri"/>
        </w:rPr>
        <w:t>Auschra</w:t>
      </w:r>
      <w:proofErr w:type="spellEnd"/>
      <w:r>
        <w:rPr>
          <w:rFonts w:ascii="Arial" w:hAnsi="Arial" w:cs="Calibri"/>
        </w:rPr>
        <w:t>, C. (2018). Barriers to the integration of care in inter-</w:t>
      </w:r>
      <w:proofErr w:type="spellStart"/>
      <w:r>
        <w:rPr>
          <w:rFonts w:ascii="Arial" w:hAnsi="Arial" w:cs="Calibri"/>
        </w:rPr>
        <w:t>organisational</w:t>
      </w:r>
      <w:proofErr w:type="spellEnd"/>
      <w:r>
        <w:rPr>
          <w:rFonts w:ascii="Arial" w:hAnsi="Arial" w:cs="Calibri"/>
        </w:rPr>
        <w:t xml:space="preserve"> settings: a literature review. </w:t>
      </w:r>
      <w:r>
        <w:rPr>
          <w:rFonts w:ascii="Arial" w:hAnsi="Arial" w:cs="Calibri"/>
          <w:i/>
          <w:iCs/>
        </w:rPr>
        <w:t>International journal of integrated care</w:t>
      </w:r>
      <w:r>
        <w:rPr>
          <w:rFonts w:ascii="Arial" w:hAnsi="Arial" w:cs="Calibri"/>
        </w:rPr>
        <w:t>, </w:t>
      </w:r>
      <w:r>
        <w:rPr>
          <w:rFonts w:ascii="Arial" w:hAnsi="Arial" w:cs="Calibri"/>
          <w:i/>
          <w:iCs/>
        </w:rPr>
        <w:t>18</w:t>
      </w:r>
      <w:r>
        <w:rPr>
          <w:rFonts w:ascii="Arial" w:hAnsi="Arial" w:cs="Calibri"/>
        </w:rPr>
        <w:t xml:space="preserve">(1), 5. Available at: </w:t>
      </w:r>
      <w:hyperlink r:id="rId9">
        <w:r w:rsidR="00EF28B1">
          <w:rPr>
            <w:rStyle w:val="Hyperlink"/>
            <w:rFonts w:ascii="Arial" w:hAnsi="Arial" w:cs="Calibri"/>
            <w:color w:val="2F5496" w:themeColor="accent1" w:themeShade="BF"/>
          </w:rPr>
          <w:t>https://doi.org/10.5334/ijic.3068</w:t>
        </w:r>
      </w:hyperlink>
      <w:r>
        <w:rPr>
          <w:rFonts w:ascii="Arial" w:hAnsi="Arial" w:cs="Calibri"/>
        </w:rPr>
        <w:t xml:space="preserve"> (Accessed: 09/03/2026)</w:t>
      </w:r>
    </w:p>
    <w:p w14:paraId="76644BD7" w14:textId="77777777" w:rsidR="00EF28B1" w:rsidRDefault="00000000">
      <w:pPr>
        <w:numPr>
          <w:ilvl w:val="0"/>
          <w:numId w:val="2"/>
        </w:numPr>
        <w:spacing w:line="360" w:lineRule="auto"/>
      </w:pPr>
      <w:r>
        <w:rPr>
          <w:rFonts w:ascii="Arial" w:hAnsi="Arial" w:cs="Calibri"/>
        </w:rPr>
        <w:t>Bolla, G. S. (2025). Integration Architecture Fundamentals for Healthcare Systems: A Framework for Seamless Interoperability. </w:t>
      </w:r>
      <w:r>
        <w:rPr>
          <w:rFonts w:ascii="Arial" w:hAnsi="Arial" w:cs="Calibri"/>
          <w:i/>
          <w:iCs/>
        </w:rPr>
        <w:t>Journal of Computer Science and Technology Studies</w:t>
      </w:r>
      <w:r>
        <w:rPr>
          <w:rFonts w:ascii="Arial" w:hAnsi="Arial" w:cs="Calibri"/>
        </w:rPr>
        <w:t>, </w:t>
      </w:r>
      <w:r>
        <w:rPr>
          <w:rFonts w:ascii="Arial" w:hAnsi="Arial" w:cs="Calibri"/>
          <w:i/>
          <w:iCs/>
        </w:rPr>
        <w:t>7</w:t>
      </w:r>
      <w:r>
        <w:rPr>
          <w:rFonts w:ascii="Arial" w:hAnsi="Arial" w:cs="Calibri"/>
        </w:rPr>
        <w:t xml:space="preserve">(3), 106-111. Available at: </w:t>
      </w:r>
      <w:hyperlink r:id="rId10">
        <w:r w:rsidR="00EF28B1">
          <w:rPr>
            <w:rStyle w:val="Hyperlink"/>
            <w:rFonts w:ascii="Arial" w:hAnsi="Arial" w:cs="Calibri"/>
            <w:color w:val="2F5496" w:themeColor="accent1" w:themeShade="BF"/>
          </w:rPr>
          <w:t>https://doi.org/10.32996/jcsts.2025.7.3.12</w:t>
        </w:r>
      </w:hyperlink>
      <w:r>
        <w:rPr>
          <w:rFonts w:ascii="Arial" w:hAnsi="Arial" w:cs="Calibri"/>
        </w:rPr>
        <w:t xml:space="preserve"> (Accessed: 17/03/2026)</w:t>
      </w:r>
    </w:p>
    <w:p w14:paraId="00BE6FAB" w14:textId="77777777" w:rsidR="00EF28B1" w:rsidRDefault="00000000">
      <w:pPr>
        <w:numPr>
          <w:ilvl w:val="0"/>
          <w:numId w:val="2"/>
        </w:numPr>
        <w:spacing w:line="360" w:lineRule="auto"/>
      </w:pPr>
      <w:r>
        <w:rPr>
          <w:rFonts w:ascii="Arial" w:hAnsi="Arial" w:cs="Calibri"/>
          <w:lang w:val="en-GB"/>
        </w:rPr>
        <w:t xml:space="preserve">Bolton, G. E., &amp; Delderfield, R. (2018). Reflective practice: Writing and professional development. </w:t>
      </w:r>
      <w:r>
        <w:rPr>
          <w:rFonts w:ascii="Arial" w:hAnsi="Arial" w:cs="Calibri"/>
        </w:rPr>
        <w:t xml:space="preserve">Available at: </w:t>
      </w:r>
      <w:hyperlink r:id="rId11">
        <w:r w:rsidR="00EF28B1">
          <w:rPr>
            <w:rStyle w:val="Hyperlink"/>
            <w:rFonts w:ascii="Arial" w:hAnsi="Arial" w:cs="Calibri"/>
            <w:color w:val="2F5496" w:themeColor="accent1" w:themeShade="BF"/>
          </w:rPr>
          <w:t>https://api.pageplace.de/preview/DT0400.9781526450517_A34661321/preview-9781526450517_A34661321.pdf</w:t>
        </w:r>
      </w:hyperlink>
      <w:r>
        <w:rPr>
          <w:rFonts w:ascii="Arial" w:hAnsi="Arial" w:cs="Calibri"/>
        </w:rPr>
        <w:t xml:space="preserve"> (Accessed: 27/03/2026)</w:t>
      </w:r>
    </w:p>
    <w:p w14:paraId="24CEB0A4" w14:textId="77777777" w:rsidR="00EF28B1" w:rsidRDefault="00000000">
      <w:pPr>
        <w:numPr>
          <w:ilvl w:val="0"/>
          <w:numId w:val="2"/>
        </w:numPr>
        <w:spacing w:line="360" w:lineRule="auto"/>
      </w:pPr>
      <w:r>
        <w:rPr>
          <w:rFonts w:ascii="Arial" w:hAnsi="Arial" w:cs="Calibri"/>
        </w:rPr>
        <w:t>Bradford, N., Chambers, S., Hudson, A., Jauncey‐Cooke, J., Penny, R., Windsor, C., &amp; Yates, P. (2019). Evaluation frameworks in health services: an integrative review of use, attributes and elements. </w:t>
      </w:r>
      <w:r>
        <w:rPr>
          <w:rFonts w:ascii="Arial" w:hAnsi="Arial" w:cs="Calibri"/>
          <w:i/>
          <w:iCs/>
        </w:rPr>
        <w:t>Journal of clinical nursing</w:t>
      </w:r>
      <w:r>
        <w:rPr>
          <w:rFonts w:ascii="Arial" w:hAnsi="Arial" w:cs="Calibri"/>
        </w:rPr>
        <w:t>, </w:t>
      </w:r>
      <w:r>
        <w:rPr>
          <w:rFonts w:ascii="Arial" w:hAnsi="Arial" w:cs="Calibri"/>
          <w:i/>
          <w:iCs/>
        </w:rPr>
        <w:t>28</w:t>
      </w:r>
      <w:r>
        <w:rPr>
          <w:rFonts w:ascii="Arial" w:hAnsi="Arial" w:cs="Calibri"/>
        </w:rPr>
        <w:t xml:space="preserve">(13-14), 2486-2498. Available at: </w:t>
      </w:r>
      <w:hyperlink r:id="rId12">
        <w:r w:rsidR="00EF28B1">
          <w:rPr>
            <w:rStyle w:val="Hyperlink"/>
            <w:rFonts w:ascii="Arial" w:hAnsi="Arial" w:cs="Calibri"/>
            <w:color w:val="2F5496" w:themeColor="accent1" w:themeShade="BF"/>
          </w:rPr>
          <w:t>https://doi.org/10.1111/jocn.14842</w:t>
        </w:r>
      </w:hyperlink>
      <w:r>
        <w:rPr>
          <w:rFonts w:ascii="Arial" w:hAnsi="Arial" w:cs="Calibri"/>
        </w:rPr>
        <w:t xml:space="preserve"> (Accessed: 10/03/2026)</w:t>
      </w:r>
    </w:p>
    <w:p w14:paraId="285B3BED" w14:textId="77777777" w:rsidR="00EF28B1" w:rsidRDefault="00000000">
      <w:pPr>
        <w:numPr>
          <w:ilvl w:val="0"/>
          <w:numId w:val="2"/>
        </w:numPr>
        <w:spacing w:line="360" w:lineRule="auto"/>
      </w:pPr>
      <w:r>
        <w:rPr>
          <w:rFonts w:ascii="Arial" w:hAnsi="Arial" w:cs="Calibri"/>
        </w:rPr>
        <w:t>Bustinza, O. F., Gomes, E., Vendrell‐Herrero, F., &amp; Baines, T. (2019). Product–service innovation and performance: the role of collaborative partnerships and R&amp;D intensity. </w:t>
      </w:r>
      <w:r>
        <w:rPr>
          <w:rFonts w:ascii="Arial" w:hAnsi="Arial" w:cs="Calibri"/>
          <w:i/>
          <w:iCs/>
        </w:rPr>
        <w:t>R&amp;d Management</w:t>
      </w:r>
      <w:r>
        <w:rPr>
          <w:rFonts w:ascii="Arial" w:hAnsi="Arial" w:cs="Calibri"/>
        </w:rPr>
        <w:t>, </w:t>
      </w:r>
      <w:r>
        <w:rPr>
          <w:rFonts w:ascii="Arial" w:hAnsi="Arial" w:cs="Calibri"/>
          <w:i/>
          <w:iCs/>
        </w:rPr>
        <w:t>49</w:t>
      </w:r>
      <w:r>
        <w:rPr>
          <w:rFonts w:ascii="Arial" w:hAnsi="Arial" w:cs="Calibri"/>
        </w:rPr>
        <w:t xml:space="preserve">(1), 33-45. Available at: </w:t>
      </w:r>
      <w:hyperlink r:id="rId13">
        <w:r w:rsidR="00EF28B1">
          <w:rPr>
            <w:rStyle w:val="Hyperlink"/>
            <w:rFonts w:ascii="Arial" w:hAnsi="Arial" w:cs="Calibri"/>
            <w:color w:val="2F5496" w:themeColor="accent1" w:themeShade="BF"/>
          </w:rPr>
          <w:t>https://doi.org/10.1111/radm.12269</w:t>
        </w:r>
      </w:hyperlink>
      <w:r>
        <w:rPr>
          <w:rFonts w:ascii="Arial" w:hAnsi="Arial" w:cs="Calibri"/>
        </w:rPr>
        <w:t xml:space="preserve"> (Accessed: 21/03/2026)</w:t>
      </w:r>
    </w:p>
    <w:p w14:paraId="4F16C8DA" w14:textId="77777777" w:rsidR="00EF28B1" w:rsidRDefault="00000000">
      <w:pPr>
        <w:numPr>
          <w:ilvl w:val="0"/>
          <w:numId w:val="2"/>
        </w:numPr>
        <w:spacing w:line="360" w:lineRule="auto"/>
      </w:pPr>
      <w:r>
        <w:rPr>
          <w:rFonts w:ascii="Arial" w:hAnsi="Arial" w:cs="Calibri"/>
        </w:rPr>
        <w:t>Carlone, T., Maggio, M., &amp; Marelli, C. M. (2022). Integrate services to integrate migrants: Obstacles and opportunities for digital integration of migrants’ service providers. In </w:t>
      </w:r>
      <w:r>
        <w:rPr>
          <w:rFonts w:ascii="Arial" w:hAnsi="Arial" w:cs="Calibri"/>
          <w:i/>
          <w:iCs/>
        </w:rPr>
        <w:t>Information and communications technology in support of migration</w:t>
      </w:r>
      <w:r>
        <w:rPr>
          <w:rFonts w:ascii="Arial" w:hAnsi="Arial" w:cs="Calibri"/>
        </w:rPr>
        <w:t xml:space="preserve"> (pp. 13-31). Cham: Springer International Publishing. Available at: </w:t>
      </w:r>
      <w:hyperlink r:id="rId14">
        <w:r w:rsidR="00EF28B1">
          <w:rPr>
            <w:rStyle w:val="Hyperlink"/>
            <w:rFonts w:ascii="Arial" w:hAnsi="Arial" w:cs="Calibri"/>
            <w:color w:val="2F5496" w:themeColor="accent1" w:themeShade="BF"/>
          </w:rPr>
          <w:t>https://link.springer.com/chapter/10.1007/978-3-030-93266-4_2</w:t>
        </w:r>
      </w:hyperlink>
      <w:r>
        <w:rPr>
          <w:rFonts w:ascii="Arial" w:hAnsi="Arial" w:cs="Calibri"/>
        </w:rPr>
        <w:t xml:space="preserve"> (Accessed: 19/03/2026)</w:t>
      </w:r>
    </w:p>
    <w:p w14:paraId="38243BE9" w14:textId="77777777" w:rsidR="00EF28B1" w:rsidRDefault="00000000">
      <w:pPr>
        <w:numPr>
          <w:ilvl w:val="0"/>
          <w:numId w:val="2"/>
        </w:numPr>
        <w:spacing w:line="360" w:lineRule="auto"/>
      </w:pPr>
      <w:r>
        <w:rPr>
          <w:rFonts w:ascii="Arial" w:hAnsi="Arial" w:cs="Calibri"/>
        </w:rPr>
        <w:lastRenderedPageBreak/>
        <w:t>Cheng, S. M., &amp; Catallo, C. (2020). Conceptual framework: factors enabling collaborative healthcare and social services integration. </w:t>
      </w:r>
      <w:r>
        <w:rPr>
          <w:rFonts w:ascii="Arial" w:hAnsi="Arial" w:cs="Calibri"/>
          <w:i/>
          <w:iCs/>
        </w:rPr>
        <w:t>Journal of Integrated Care</w:t>
      </w:r>
      <w:r>
        <w:rPr>
          <w:rFonts w:ascii="Arial" w:hAnsi="Arial" w:cs="Calibri"/>
        </w:rPr>
        <w:t>, </w:t>
      </w:r>
      <w:r>
        <w:rPr>
          <w:rFonts w:ascii="Arial" w:hAnsi="Arial" w:cs="Calibri"/>
          <w:i/>
          <w:iCs/>
        </w:rPr>
        <w:t>28</w:t>
      </w:r>
      <w:r>
        <w:rPr>
          <w:rFonts w:ascii="Arial" w:hAnsi="Arial" w:cs="Calibri"/>
        </w:rPr>
        <w:t xml:space="preserve">(3), 215-229. Available at: </w:t>
      </w:r>
      <w:hyperlink r:id="rId15">
        <w:r w:rsidR="00EF28B1">
          <w:rPr>
            <w:rStyle w:val="Hyperlink"/>
            <w:rFonts w:ascii="Arial" w:hAnsi="Arial" w:cs="Calibri"/>
            <w:color w:val="2F5496" w:themeColor="accent1" w:themeShade="BF"/>
          </w:rPr>
          <w:t>https://doi.org/10.1108/JICA-11-2019-0048</w:t>
        </w:r>
      </w:hyperlink>
      <w:r>
        <w:rPr>
          <w:rFonts w:ascii="Arial" w:hAnsi="Arial" w:cs="Calibri"/>
        </w:rPr>
        <w:t xml:space="preserve"> (Accessed: 02/03/2026)</w:t>
      </w:r>
    </w:p>
    <w:p w14:paraId="611B1A3B" w14:textId="77777777" w:rsidR="00EF28B1" w:rsidRDefault="00000000">
      <w:pPr>
        <w:numPr>
          <w:ilvl w:val="0"/>
          <w:numId w:val="2"/>
        </w:numPr>
        <w:spacing w:line="360" w:lineRule="auto"/>
      </w:pPr>
      <w:r>
        <w:rPr>
          <w:rFonts w:ascii="Arial" w:hAnsi="Arial" w:cs="Calibri"/>
          <w:shd w:val="clear" w:color="auto" w:fill="FFFFFF"/>
        </w:rPr>
        <w:t xml:space="preserve">Farquharson, C., Ogden, K., Ornadel, N., Ridpath, N., </w:t>
      </w:r>
      <w:proofErr w:type="spellStart"/>
      <w:r>
        <w:rPr>
          <w:rFonts w:ascii="Arial" w:hAnsi="Arial" w:cs="Calibri"/>
          <w:shd w:val="clear" w:color="auto" w:fill="FFFFFF"/>
        </w:rPr>
        <w:t>Sibieta</w:t>
      </w:r>
      <w:proofErr w:type="spellEnd"/>
      <w:r>
        <w:rPr>
          <w:rFonts w:ascii="Arial" w:hAnsi="Arial" w:cs="Calibri"/>
          <w:shd w:val="clear" w:color="auto" w:fill="FFFFFF"/>
        </w:rPr>
        <w:t>, L., Snape, D., &amp; Tahir, I. (2026). Annual report on education spending in England: 2025–26. </w:t>
      </w:r>
      <w:r>
        <w:rPr>
          <w:rFonts w:ascii="Arial" w:hAnsi="Arial" w:cs="Calibri"/>
          <w:i/>
          <w:iCs/>
          <w:shd w:val="clear" w:color="auto" w:fill="FFFFFF"/>
        </w:rPr>
        <w:t>The Institute for Fiscal Studies</w:t>
      </w:r>
      <w:r>
        <w:rPr>
          <w:rFonts w:ascii="Arial" w:hAnsi="Arial" w:cs="Calibri"/>
          <w:shd w:val="clear" w:color="auto" w:fill="FFFFFF"/>
        </w:rPr>
        <w:t xml:space="preserve">. </w:t>
      </w:r>
      <w:r>
        <w:rPr>
          <w:rFonts w:ascii="Arial" w:hAnsi="Arial" w:cs="Calibri"/>
        </w:rPr>
        <w:t xml:space="preserve">Available at: </w:t>
      </w:r>
      <w:hyperlink r:id="rId16">
        <w:r w:rsidR="00EF28B1">
          <w:rPr>
            <w:rStyle w:val="Hyperlink"/>
            <w:rFonts w:ascii="Arial" w:hAnsi="Arial" w:cs="Calibri"/>
            <w:color w:val="2F5496" w:themeColor="accent1" w:themeShade="BF"/>
          </w:rPr>
          <w:t>https://ifs.org.uk/sites/default/files/2026-01/IFS-annual-report-on-education-spending-in-England-2025%E2%80%9326.pdf</w:t>
        </w:r>
      </w:hyperlink>
      <w:r>
        <w:rPr>
          <w:rFonts w:ascii="Arial" w:hAnsi="Arial" w:cs="Calibri"/>
        </w:rPr>
        <w:t xml:space="preserve"> (Accessed: 17/03/2026)</w:t>
      </w:r>
    </w:p>
    <w:p w14:paraId="67CA394D" w14:textId="77777777" w:rsidR="00EF28B1" w:rsidRDefault="00000000">
      <w:pPr>
        <w:numPr>
          <w:ilvl w:val="0"/>
          <w:numId w:val="2"/>
        </w:numPr>
        <w:spacing w:line="360" w:lineRule="auto"/>
      </w:pPr>
      <w:r>
        <w:rPr>
          <w:rFonts w:ascii="Arial" w:hAnsi="Arial" w:cs="Calibri"/>
        </w:rPr>
        <w:t>Gratton, R. (2019). Collaboration in students’ learning: The student experience. </w:t>
      </w:r>
      <w:r>
        <w:rPr>
          <w:rFonts w:ascii="Arial" w:hAnsi="Arial" w:cs="Calibri"/>
          <w:i/>
          <w:iCs/>
        </w:rPr>
        <w:t>Support for Learning</w:t>
      </w:r>
      <w:r>
        <w:rPr>
          <w:rFonts w:ascii="Arial" w:hAnsi="Arial" w:cs="Calibri"/>
        </w:rPr>
        <w:t>, </w:t>
      </w:r>
      <w:r>
        <w:rPr>
          <w:rFonts w:ascii="Arial" w:hAnsi="Arial" w:cs="Calibri"/>
          <w:i/>
          <w:iCs/>
        </w:rPr>
        <w:t>34</w:t>
      </w:r>
      <w:r>
        <w:rPr>
          <w:rFonts w:ascii="Arial" w:hAnsi="Arial" w:cs="Calibri"/>
        </w:rPr>
        <w:t xml:space="preserve">(3), 254-276. Available at: </w:t>
      </w:r>
      <w:hyperlink r:id="rId17">
        <w:r w:rsidR="00EF28B1">
          <w:rPr>
            <w:rStyle w:val="Hyperlink"/>
            <w:rFonts w:ascii="Arial" w:hAnsi="Arial" w:cs="Calibri"/>
            <w:color w:val="2F5496" w:themeColor="accent1" w:themeShade="BF"/>
          </w:rPr>
          <w:t>https://doi.org/10.1111/1467-9604.12261</w:t>
        </w:r>
      </w:hyperlink>
      <w:r>
        <w:rPr>
          <w:rFonts w:ascii="Arial" w:hAnsi="Arial" w:cs="Calibri"/>
        </w:rPr>
        <w:t xml:space="preserve"> (Accessed: 21/03/2026)</w:t>
      </w:r>
    </w:p>
    <w:p w14:paraId="54052014" w14:textId="77777777" w:rsidR="00EF28B1" w:rsidRDefault="00000000">
      <w:pPr>
        <w:numPr>
          <w:ilvl w:val="0"/>
          <w:numId w:val="2"/>
        </w:numPr>
        <w:spacing w:line="360" w:lineRule="auto"/>
        <w:rPr>
          <w:rFonts w:ascii="Arial" w:hAnsi="Arial"/>
        </w:rPr>
      </w:pPr>
      <w:r>
        <w:rPr>
          <w:rFonts w:ascii="Arial" w:hAnsi="Arial" w:cs="Calibri"/>
          <w:lang w:val="en-GB"/>
        </w:rPr>
        <w:t>Hendricks, C. C. (2017). </w:t>
      </w:r>
      <w:r>
        <w:rPr>
          <w:rFonts w:ascii="Arial" w:hAnsi="Arial" w:cs="Calibri"/>
          <w:i/>
          <w:iCs/>
          <w:lang w:val="en-GB"/>
        </w:rPr>
        <w:t>Improving schools through action research: A reflective practice approach</w:t>
      </w:r>
      <w:r>
        <w:rPr>
          <w:rFonts w:ascii="Arial" w:hAnsi="Arial" w:cs="Calibri"/>
          <w:lang w:val="en-GB"/>
        </w:rPr>
        <w:t xml:space="preserve">. Pearson. One Lake Street, Upper Saddle River, New Jersey 07458. </w:t>
      </w:r>
      <w:r>
        <w:rPr>
          <w:rFonts w:ascii="Arial" w:hAnsi="Arial" w:cs="Calibri"/>
        </w:rPr>
        <w:t>Available at: (Accessed: 14/03/2026)</w:t>
      </w:r>
    </w:p>
    <w:p w14:paraId="63AC88B0" w14:textId="77777777" w:rsidR="00EF28B1" w:rsidRDefault="00000000">
      <w:pPr>
        <w:numPr>
          <w:ilvl w:val="0"/>
          <w:numId w:val="2"/>
        </w:numPr>
        <w:spacing w:line="360" w:lineRule="auto"/>
      </w:pPr>
      <w:proofErr w:type="spellStart"/>
      <w:r>
        <w:rPr>
          <w:rFonts w:ascii="Arial" w:hAnsi="Arial" w:cs="Calibri"/>
        </w:rPr>
        <w:t>Heyeres</w:t>
      </w:r>
      <w:proofErr w:type="spellEnd"/>
      <w:r>
        <w:rPr>
          <w:rFonts w:ascii="Arial" w:hAnsi="Arial" w:cs="Calibri"/>
        </w:rPr>
        <w:t xml:space="preserve">, M., McCalman, J., </w:t>
      </w:r>
      <w:proofErr w:type="spellStart"/>
      <w:r>
        <w:rPr>
          <w:rFonts w:ascii="Arial" w:hAnsi="Arial" w:cs="Calibri"/>
        </w:rPr>
        <w:t>Tsey</w:t>
      </w:r>
      <w:proofErr w:type="spellEnd"/>
      <w:r>
        <w:rPr>
          <w:rFonts w:ascii="Arial" w:hAnsi="Arial" w:cs="Calibri"/>
        </w:rPr>
        <w:t xml:space="preserve">, K., &amp; </w:t>
      </w:r>
      <w:proofErr w:type="spellStart"/>
      <w:r>
        <w:rPr>
          <w:rFonts w:ascii="Arial" w:hAnsi="Arial" w:cs="Calibri"/>
        </w:rPr>
        <w:t>Kinchin</w:t>
      </w:r>
      <w:proofErr w:type="spellEnd"/>
      <w:r>
        <w:rPr>
          <w:rFonts w:ascii="Arial" w:hAnsi="Arial" w:cs="Calibri"/>
        </w:rPr>
        <w:t>, I. (2016). The complexity of health service integration: a review of reviews. </w:t>
      </w:r>
      <w:r>
        <w:rPr>
          <w:rFonts w:ascii="Arial" w:hAnsi="Arial" w:cs="Calibri"/>
          <w:i/>
          <w:iCs/>
        </w:rPr>
        <w:t>Frontiers in public health</w:t>
      </w:r>
      <w:r>
        <w:rPr>
          <w:rFonts w:ascii="Arial" w:hAnsi="Arial" w:cs="Calibri"/>
        </w:rPr>
        <w:t>, </w:t>
      </w:r>
      <w:r>
        <w:rPr>
          <w:rFonts w:ascii="Arial" w:hAnsi="Arial" w:cs="Calibri"/>
          <w:i/>
          <w:iCs/>
        </w:rPr>
        <w:t>4</w:t>
      </w:r>
      <w:r>
        <w:rPr>
          <w:rFonts w:ascii="Arial" w:hAnsi="Arial" w:cs="Calibri"/>
        </w:rPr>
        <w:t xml:space="preserve">, 223. Available at: </w:t>
      </w:r>
      <w:hyperlink r:id="rId18">
        <w:r w:rsidR="00EF28B1">
          <w:rPr>
            <w:rStyle w:val="Hyperlink"/>
            <w:rFonts w:ascii="Arial" w:hAnsi="Arial" w:cs="Calibri"/>
            <w:color w:val="2F5496" w:themeColor="accent1" w:themeShade="BF"/>
          </w:rPr>
          <w:t>https://eric.ed.gov/?id=ED594584</w:t>
        </w:r>
      </w:hyperlink>
      <w:r>
        <w:rPr>
          <w:rFonts w:ascii="Arial" w:hAnsi="Arial" w:cs="Calibri"/>
        </w:rPr>
        <w:t xml:space="preserve"> (Accessed: 12/03/2026)</w:t>
      </w:r>
    </w:p>
    <w:p w14:paraId="6D04B794" w14:textId="77777777" w:rsidR="00EF28B1" w:rsidRDefault="00000000">
      <w:pPr>
        <w:numPr>
          <w:ilvl w:val="0"/>
          <w:numId w:val="2"/>
        </w:numPr>
        <w:spacing w:line="360" w:lineRule="auto"/>
      </w:pPr>
      <w:r>
        <w:rPr>
          <w:rFonts w:ascii="Arial" w:hAnsi="Arial" w:cs="Calibri"/>
        </w:rPr>
        <w:t>Hu, Y. C., Patel, M., Sabella, D., Sprecher, N., &amp; Young, V. (2015). Mobile edge computing—A key technology towards 5G. </w:t>
      </w:r>
      <w:r>
        <w:rPr>
          <w:rFonts w:ascii="Arial" w:hAnsi="Arial" w:cs="Calibri"/>
          <w:i/>
          <w:iCs/>
        </w:rPr>
        <w:t>ETSI white paper</w:t>
      </w:r>
      <w:r>
        <w:rPr>
          <w:rFonts w:ascii="Arial" w:hAnsi="Arial" w:cs="Calibri"/>
        </w:rPr>
        <w:t>, </w:t>
      </w:r>
      <w:r>
        <w:rPr>
          <w:rFonts w:ascii="Arial" w:hAnsi="Arial" w:cs="Calibri"/>
          <w:i/>
          <w:iCs/>
        </w:rPr>
        <w:t>11</w:t>
      </w:r>
      <w:r>
        <w:rPr>
          <w:rFonts w:ascii="Arial" w:hAnsi="Arial" w:cs="Calibri"/>
        </w:rPr>
        <w:t xml:space="preserve">(11), 1-16. Available at: </w:t>
      </w:r>
      <w:hyperlink r:id="rId19">
        <w:r w:rsidR="00EF28B1">
          <w:rPr>
            <w:rStyle w:val="Hyperlink"/>
            <w:rFonts w:ascii="Arial" w:hAnsi="Arial" w:cs="Calibri"/>
            <w:color w:val="2F5496" w:themeColor="accent1" w:themeShade="BF"/>
          </w:rPr>
          <w:t>https://displaydaily.com/wp-content/uploads/2019/12/Ref02-2015-09-etsi_wp11_mec_a_key_technology_towards_5g.pdf</w:t>
        </w:r>
      </w:hyperlink>
      <w:r>
        <w:rPr>
          <w:rFonts w:ascii="Arial" w:hAnsi="Arial" w:cs="Calibri"/>
        </w:rPr>
        <w:t xml:space="preserve"> (Accessed: 21/03/2026)</w:t>
      </w:r>
    </w:p>
    <w:p w14:paraId="69039B54" w14:textId="77777777" w:rsidR="00EF28B1" w:rsidRDefault="00000000">
      <w:pPr>
        <w:numPr>
          <w:ilvl w:val="0"/>
          <w:numId w:val="2"/>
        </w:numPr>
        <w:spacing w:line="360" w:lineRule="auto"/>
      </w:pPr>
      <w:r>
        <w:rPr>
          <w:rFonts w:ascii="Arial" w:hAnsi="Arial" w:cs="Calibri"/>
          <w:lang w:val="en-GB"/>
        </w:rPr>
        <w:t>Johnston, C. (2017). Reflective practice. </w:t>
      </w:r>
      <w:r>
        <w:rPr>
          <w:rFonts w:ascii="Arial" w:hAnsi="Arial" w:cs="Calibri"/>
          <w:i/>
          <w:iCs/>
          <w:lang w:val="en-GB"/>
        </w:rPr>
        <w:t>Teaching Business &amp; Economics</w:t>
      </w:r>
      <w:r>
        <w:rPr>
          <w:rFonts w:ascii="Arial" w:hAnsi="Arial" w:cs="Calibri"/>
          <w:lang w:val="en-GB"/>
        </w:rPr>
        <w:t>, </w:t>
      </w:r>
      <w:r>
        <w:rPr>
          <w:rFonts w:ascii="Arial" w:hAnsi="Arial" w:cs="Calibri"/>
          <w:i/>
          <w:iCs/>
          <w:lang w:val="en-GB"/>
        </w:rPr>
        <w:t>21</w:t>
      </w:r>
      <w:r>
        <w:rPr>
          <w:rFonts w:ascii="Arial" w:hAnsi="Arial" w:cs="Calibri"/>
          <w:lang w:val="en-GB"/>
        </w:rPr>
        <w:t xml:space="preserve">(1), 19-21. </w:t>
      </w:r>
      <w:r>
        <w:rPr>
          <w:rFonts w:ascii="Arial" w:hAnsi="Arial" w:cs="Calibri"/>
        </w:rPr>
        <w:t xml:space="preserve">Available at: </w:t>
      </w:r>
      <w:hyperlink r:id="rId20">
        <w:r w:rsidR="00EF28B1">
          <w:rPr>
            <w:rStyle w:val="Hyperlink"/>
            <w:rFonts w:ascii="Arial" w:hAnsi="Arial" w:cs="Calibri"/>
            <w:color w:val="2F5496" w:themeColor="accent1" w:themeShade="BF"/>
          </w:rPr>
          <w:t>https://www.proquest.com/openview/6eae3fc1e0acd7fe2f4d2bbf49fedf5b/1?pq-origsite=gscholar&amp;cbl=33585</w:t>
        </w:r>
      </w:hyperlink>
      <w:r>
        <w:rPr>
          <w:rFonts w:ascii="Arial" w:hAnsi="Arial" w:cs="Calibri"/>
        </w:rPr>
        <w:t xml:space="preserve"> (Accessed: 15/03/2026)</w:t>
      </w:r>
    </w:p>
    <w:p w14:paraId="4A6ADB61" w14:textId="77777777" w:rsidR="00EF28B1" w:rsidRDefault="00000000">
      <w:pPr>
        <w:numPr>
          <w:ilvl w:val="0"/>
          <w:numId w:val="2"/>
        </w:numPr>
        <w:spacing w:line="360" w:lineRule="auto"/>
      </w:pPr>
      <w:r>
        <w:rPr>
          <w:rFonts w:ascii="Arial" w:hAnsi="Arial" w:cs="Calibri"/>
        </w:rPr>
        <w:t>Kozlowska, O., Lumb, A., Tan, G. D., &amp; Rea, R. (2018). Barriers and facilitators to integrating primary and specialist healthcare in the United Kingdom: a narrative literature review. </w:t>
      </w:r>
      <w:r>
        <w:rPr>
          <w:rFonts w:ascii="Arial" w:hAnsi="Arial" w:cs="Calibri"/>
          <w:i/>
          <w:iCs/>
        </w:rPr>
        <w:t>Future healthcare journal</w:t>
      </w:r>
      <w:r>
        <w:rPr>
          <w:rFonts w:ascii="Arial" w:hAnsi="Arial" w:cs="Calibri"/>
        </w:rPr>
        <w:t>, </w:t>
      </w:r>
      <w:r>
        <w:rPr>
          <w:rFonts w:ascii="Arial" w:hAnsi="Arial" w:cs="Calibri"/>
          <w:i/>
          <w:iCs/>
        </w:rPr>
        <w:t>5</w:t>
      </w:r>
      <w:r>
        <w:rPr>
          <w:rFonts w:ascii="Arial" w:hAnsi="Arial" w:cs="Calibri"/>
        </w:rPr>
        <w:t xml:space="preserve">(1), 64-80. Available at: </w:t>
      </w:r>
      <w:hyperlink r:id="rId21">
        <w:r w:rsidR="00EF28B1">
          <w:rPr>
            <w:rStyle w:val="Hyperlink"/>
            <w:rFonts w:ascii="Arial" w:hAnsi="Arial" w:cs="Calibri"/>
            <w:color w:val="2F5496" w:themeColor="accent1" w:themeShade="BF"/>
          </w:rPr>
          <w:t>https://doi.org/10.7861/futurehosp.5-1-64</w:t>
        </w:r>
      </w:hyperlink>
      <w:r>
        <w:rPr>
          <w:rFonts w:ascii="Arial" w:hAnsi="Arial" w:cs="Calibri"/>
        </w:rPr>
        <w:t xml:space="preserve"> (Accessed: 16/03/2026)</w:t>
      </w:r>
    </w:p>
    <w:p w14:paraId="006EE75E" w14:textId="77777777" w:rsidR="00EF28B1" w:rsidRDefault="00000000">
      <w:pPr>
        <w:numPr>
          <w:ilvl w:val="0"/>
          <w:numId w:val="2"/>
        </w:numPr>
        <w:spacing w:line="360" w:lineRule="auto"/>
      </w:pPr>
      <w:proofErr w:type="spellStart"/>
      <w:r>
        <w:rPr>
          <w:rFonts w:ascii="Arial" w:hAnsi="Arial" w:cs="Calibri"/>
        </w:rPr>
        <w:t>Lailiyah</w:t>
      </w:r>
      <w:proofErr w:type="spellEnd"/>
      <w:r>
        <w:rPr>
          <w:rFonts w:ascii="Arial" w:hAnsi="Arial" w:cs="Calibri"/>
        </w:rPr>
        <w:t xml:space="preserve">, M., </w:t>
      </w:r>
      <w:proofErr w:type="spellStart"/>
      <w:r>
        <w:rPr>
          <w:rFonts w:ascii="Arial" w:hAnsi="Arial" w:cs="Calibri"/>
        </w:rPr>
        <w:t>Setiyaningsih</w:t>
      </w:r>
      <w:proofErr w:type="spellEnd"/>
      <w:r>
        <w:rPr>
          <w:rFonts w:ascii="Arial" w:hAnsi="Arial" w:cs="Calibri"/>
        </w:rPr>
        <w:t xml:space="preserve">, L. A., </w:t>
      </w:r>
      <w:proofErr w:type="spellStart"/>
      <w:r>
        <w:rPr>
          <w:rFonts w:ascii="Arial" w:hAnsi="Arial" w:cs="Calibri"/>
        </w:rPr>
        <w:t>Wediyantoro</w:t>
      </w:r>
      <w:proofErr w:type="spellEnd"/>
      <w:r>
        <w:rPr>
          <w:rFonts w:ascii="Arial" w:hAnsi="Arial" w:cs="Calibri"/>
        </w:rPr>
        <w:t xml:space="preserve">, P. L., &amp; </w:t>
      </w:r>
      <w:proofErr w:type="spellStart"/>
      <w:r>
        <w:rPr>
          <w:rFonts w:ascii="Arial" w:hAnsi="Arial" w:cs="Calibri"/>
        </w:rPr>
        <w:t>Yustisia</w:t>
      </w:r>
      <w:proofErr w:type="spellEnd"/>
      <w:r>
        <w:rPr>
          <w:rFonts w:ascii="Arial" w:hAnsi="Arial" w:cs="Calibri"/>
        </w:rPr>
        <w:t xml:space="preserve">, K. K. (2021). Assessing an effective collaboration in higher education: A study of students’ experiences and </w:t>
      </w:r>
      <w:r>
        <w:rPr>
          <w:rFonts w:ascii="Arial" w:hAnsi="Arial" w:cs="Calibri"/>
        </w:rPr>
        <w:lastRenderedPageBreak/>
        <w:t>challenges on group collaboration. </w:t>
      </w:r>
      <w:proofErr w:type="spellStart"/>
      <w:r>
        <w:rPr>
          <w:rFonts w:ascii="Arial" w:hAnsi="Arial" w:cs="Calibri"/>
          <w:i/>
          <w:iCs/>
        </w:rPr>
        <w:t>EnJourMe</w:t>
      </w:r>
      <w:proofErr w:type="spellEnd"/>
      <w:r>
        <w:rPr>
          <w:rFonts w:ascii="Arial" w:hAnsi="Arial" w:cs="Calibri"/>
          <w:i/>
          <w:iCs/>
        </w:rPr>
        <w:t xml:space="preserve"> (English Journal of Merdeka): Culture, Language, and Teaching of English</w:t>
      </w:r>
      <w:r>
        <w:rPr>
          <w:rFonts w:ascii="Arial" w:hAnsi="Arial" w:cs="Calibri"/>
        </w:rPr>
        <w:t>, </w:t>
      </w:r>
      <w:r>
        <w:rPr>
          <w:rFonts w:ascii="Arial" w:hAnsi="Arial" w:cs="Calibri"/>
          <w:i/>
          <w:iCs/>
        </w:rPr>
        <w:t>6</w:t>
      </w:r>
      <w:r>
        <w:rPr>
          <w:rFonts w:ascii="Arial" w:hAnsi="Arial" w:cs="Calibri"/>
        </w:rPr>
        <w:t xml:space="preserve">(2), 152-162. Available at: </w:t>
      </w:r>
      <w:hyperlink r:id="rId22">
        <w:r w:rsidR="00EF28B1">
          <w:rPr>
            <w:rStyle w:val="Hyperlink"/>
            <w:rFonts w:ascii="Arial" w:hAnsi="Arial" w:cs="Calibri"/>
            <w:color w:val="2F5496" w:themeColor="accent1" w:themeShade="BF"/>
          </w:rPr>
          <w:t>https://eprints.unmer.ac.id/id/eprint/3721/</w:t>
        </w:r>
      </w:hyperlink>
      <w:r>
        <w:rPr>
          <w:rFonts w:ascii="Arial" w:hAnsi="Arial" w:cs="Calibri"/>
        </w:rPr>
        <w:t xml:space="preserve"> (Accessed: 17/03/2026)</w:t>
      </w:r>
    </w:p>
    <w:p w14:paraId="39AEAD6F" w14:textId="77777777" w:rsidR="00EF28B1" w:rsidRDefault="00000000">
      <w:pPr>
        <w:numPr>
          <w:ilvl w:val="0"/>
          <w:numId w:val="2"/>
        </w:numPr>
        <w:spacing w:line="360" w:lineRule="auto"/>
      </w:pPr>
      <w:r>
        <w:rPr>
          <w:rFonts w:ascii="Arial" w:hAnsi="Arial" w:cs="Calibri"/>
        </w:rPr>
        <w:t>Loban, E., Scott, C., Lewis, V., Law, S., &amp; Haggerty, J. (2021). Improving primary health care through partnerships: Key insights from a cross‐case analysis of multi‐stakeholder partnerships in two Canadian provinces. </w:t>
      </w:r>
      <w:r>
        <w:rPr>
          <w:rFonts w:ascii="Arial" w:hAnsi="Arial" w:cs="Calibri"/>
          <w:i/>
          <w:iCs/>
        </w:rPr>
        <w:t>Health Science Reports</w:t>
      </w:r>
      <w:r>
        <w:rPr>
          <w:rFonts w:ascii="Arial" w:hAnsi="Arial" w:cs="Calibri"/>
        </w:rPr>
        <w:t>, </w:t>
      </w:r>
      <w:r>
        <w:rPr>
          <w:rFonts w:ascii="Arial" w:hAnsi="Arial" w:cs="Calibri"/>
          <w:i/>
          <w:iCs/>
        </w:rPr>
        <w:t>4</w:t>
      </w:r>
      <w:r>
        <w:rPr>
          <w:rFonts w:ascii="Arial" w:hAnsi="Arial" w:cs="Calibri"/>
        </w:rPr>
        <w:t xml:space="preserve">(4), e397. Available at: </w:t>
      </w:r>
      <w:hyperlink r:id="rId23">
        <w:r w:rsidR="00EF28B1">
          <w:rPr>
            <w:rStyle w:val="Hyperlink"/>
            <w:rFonts w:ascii="Arial" w:hAnsi="Arial" w:cs="Calibri"/>
            <w:color w:val="2F5496" w:themeColor="accent1" w:themeShade="BF"/>
          </w:rPr>
          <w:t>https://doi.org/10.1002/hsr2.397</w:t>
        </w:r>
      </w:hyperlink>
      <w:r>
        <w:rPr>
          <w:rFonts w:ascii="Arial" w:hAnsi="Arial" w:cs="Calibri"/>
        </w:rPr>
        <w:t xml:space="preserve"> (Accessed: 02/03/2026)</w:t>
      </w:r>
    </w:p>
    <w:p w14:paraId="7D403C36" w14:textId="77777777" w:rsidR="00EF28B1" w:rsidRDefault="00000000">
      <w:pPr>
        <w:numPr>
          <w:ilvl w:val="0"/>
          <w:numId w:val="2"/>
        </w:numPr>
        <w:spacing w:line="360" w:lineRule="auto"/>
      </w:pPr>
      <w:r>
        <w:rPr>
          <w:rFonts w:ascii="Arial" w:hAnsi="Arial" w:cs="Calibri"/>
          <w:lang w:val="en-GB"/>
        </w:rPr>
        <w:t>Mann, S., &amp; Walsh, S. (2017). </w:t>
      </w:r>
      <w:r>
        <w:rPr>
          <w:rFonts w:ascii="Arial" w:hAnsi="Arial" w:cs="Calibri"/>
          <w:i/>
          <w:iCs/>
          <w:lang w:val="en-GB"/>
        </w:rPr>
        <w:t>Reflective practice in English language teaching: Research-based principles and practices</w:t>
      </w:r>
      <w:r>
        <w:rPr>
          <w:rFonts w:ascii="Arial" w:hAnsi="Arial" w:cs="Calibri"/>
          <w:lang w:val="en-GB"/>
        </w:rPr>
        <w:t xml:space="preserve">. Routledge. </w:t>
      </w:r>
      <w:r>
        <w:rPr>
          <w:rFonts w:ascii="Arial" w:hAnsi="Arial" w:cs="Calibri"/>
        </w:rPr>
        <w:t xml:space="preserve">Available at: </w:t>
      </w:r>
      <w:hyperlink r:id="rId24">
        <w:r w:rsidR="00EF28B1">
          <w:rPr>
            <w:rStyle w:val="Hyperlink"/>
            <w:rFonts w:ascii="Arial" w:hAnsi="Arial" w:cs="Calibri"/>
            <w:color w:val="2F5496" w:themeColor="accent1" w:themeShade="BF"/>
          </w:rPr>
          <w:t>file:///C:/Users/DELL/Downloads/10.4324_9781315733395_previewpdf.pdf</w:t>
        </w:r>
      </w:hyperlink>
      <w:r>
        <w:rPr>
          <w:rFonts w:ascii="Arial" w:hAnsi="Arial" w:cs="Calibri"/>
        </w:rPr>
        <w:t xml:space="preserve"> (Accessed: 21/03/2026)</w:t>
      </w:r>
    </w:p>
    <w:p w14:paraId="2452D476" w14:textId="77777777" w:rsidR="00EF28B1" w:rsidRDefault="00000000">
      <w:pPr>
        <w:numPr>
          <w:ilvl w:val="0"/>
          <w:numId w:val="2"/>
        </w:numPr>
        <w:spacing w:line="360" w:lineRule="auto"/>
      </w:pPr>
      <w:proofErr w:type="spellStart"/>
      <w:r>
        <w:rPr>
          <w:rFonts w:ascii="Arial" w:hAnsi="Arial" w:cs="Calibri"/>
        </w:rPr>
        <w:t>Manogaran</w:t>
      </w:r>
      <w:proofErr w:type="spellEnd"/>
      <w:r>
        <w:rPr>
          <w:rFonts w:ascii="Arial" w:hAnsi="Arial" w:cs="Calibri"/>
        </w:rPr>
        <w:t xml:space="preserve">, G., Varatharajan, R., Lopez, D., Kumar, P. M., </w:t>
      </w:r>
      <w:proofErr w:type="spellStart"/>
      <w:r>
        <w:rPr>
          <w:rFonts w:ascii="Arial" w:hAnsi="Arial" w:cs="Calibri"/>
        </w:rPr>
        <w:t>Sundarasekar</w:t>
      </w:r>
      <w:proofErr w:type="spellEnd"/>
      <w:r>
        <w:rPr>
          <w:rFonts w:ascii="Arial" w:hAnsi="Arial" w:cs="Calibri"/>
        </w:rPr>
        <w:t>, R., &amp; Thota, C. (2018). A new architecture of Internet of Things and big data ecosystem for secured smart healthcare monitoring and alerting system. </w:t>
      </w:r>
      <w:r>
        <w:rPr>
          <w:rFonts w:ascii="Arial" w:hAnsi="Arial" w:cs="Calibri"/>
          <w:i/>
          <w:iCs/>
        </w:rPr>
        <w:t>Future Generation Computer Systems</w:t>
      </w:r>
      <w:r>
        <w:rPr>
          <w:rFonts w:ascii="Arial" w:hAnsi="Arial" w:cs="Calibri"/>
        </w:rPr>
        <w:t>, </w:t>
      </w:r>
      <w:r>
        <w:rPr>
          <w:rFonts w:ascii="Arial" w:hAnsi="Arial" w:cs="Calibri"/>
          <w:i/>
          <w:iCs/>
        </w:rPr>
        <w:t>82</w:t>
      </w:r>
      <w:r>
        <w:rPr>
          <w:rFonts w:ascii="Arial" w:hAnsi="Arial" w:cs="Calibri"/>
        </w:rPr>
        <w:t xml:space="preserve">, 375-387. Available at: </w:t>
      </w:r>
      <w:hyperlink r:id="rId25">
        <w:r w:rsidR="00EF28B1">
          <w:rPr>
            <w:rStyle w:val="Hyperlink"/>
            <w:rFonts w:ascii="Arial" w:hAnsi="Arial" w:cs="Calibri"/>
            <w:color w:val="2F5496" w:themeColor="accent1" w:themeShade="BF"/>
          </w:rPr>
          <w:t>https://doi.org/10.1016/j.future.2017.10.045</w:t>
        </w:r>
      </w:hyperlink>
      <w:r>
        <w:rPr>
          <w:rFonts w:ascii="Arial" w:hAnsi="Arial" w:cs="Calibri"/>
        </w:rPr>
        <w:t xml:space="preserve"> (Accessed: 01/03/2026)</w:t>
      </w:r>
    </w:p>
    <w:p w14:paraId="18AD7BA0" w14:textId="77777777" w:rsidR="00EF28B1" w:rsidRDefault="00000000">
      <w:pPr>
        <w:numPr>
          <w:ilvl w:val="0"/>
          <w:numId w:val="2"/>
        </w:numPr>
        <w:spacing w:line="360" w:lineRule="auto"/>
      </w:pPr>
      <w:proofErr w:type="spellStart"/>
      <w:r>
        <w:rPr>
          <w:rFonts w:ascii="Arial" w:hAnsi="Arial" w:cs="Calibri"/>
        </w:rPr>
        <w:t>Maruthappu</w:t>
      </w:r>
      <w:proofErr w:type="spellEnd"/>
      <w:r>
        <w:rPr>
          <w:rFonts w:ascii="Arial" w:hAnsi="Arial" w:cs="Calibri"/>
        </w:rPr>
        <w:t>, M., Hasan, A., &amp; Zeltner, T. (2015). Enablers and barriers in implementing integrated care. </w:t>
      </w:r>
      <w:r>
        <w:rPr>
          <w:rFonts w:ascii="Arial" w:hAnsi="Arial" w:cs="Calibri"/>
          <w:i/>
          <w:iCs/>
        </w:rPr>
        <w:t>Health Systems &amp; Reform</w:t>
      </w:r>
      <w:r>
        <w:rPr>
          <w:rFonts w:ascii="Arial" w:hAnsi="Arial" w:cs="Calibri"/>
        </w:rPr>
        <w:t>, </w:t>
      </w:r>
      <w:r>
        <w:rPr>
          <w:rFonts w:ascii="Arial" w:hAnsi="Arial" w:cs="Calibri"/>
          <w:i/>
          <w:iCs/>
        </w:rPr>
        <w:t>1</w:t>
      </w:r>
      <w:r>
        <w:rPr>
          <w:rFonts w:ascii="Arial" w:hAnsi="Arial" w:cs="Calibri"/>
        </w:rPr>
        <w:t xml:space="preserve">(4), 250-256. Available at: </w:t>
      </w:r>
      <w:hyperlink r:id="rId26">
        <w:r w:rsidR="00EF28B1">
          <w:rPr>
            <w:rStyle w:val="Hyperlink"/>
            <w:rFonts w:ascii="Arial" w:hAnsi="Arial" w:cs="Calibri"/>
            <w:color w:val="2F5496" w:themeColor="accent1" w:themeShade="BF"/>
          </w:rPr>
          <w:t>https://doi.org/10.1080/23288604.2015.1077301</w:t>
        </w:r>
      </w:hyperlink>
      <w:r>
        <w:rPr>
          <w:rFonts w:ascii="Arial" w:hAnsi="Arial" w:cs="Calibri"/>
        </w:rPr>
        <w:t xml:space="preserve"> (Accessed: 05/03/2026)</w:t>
      </w:r>
    </w:p>
    <w:p w14:paraId="526C6AE9" w14:textId="77777777" w:rsidR="00EF28B1" w:rsidRDefault="00000000">
      <w:pPr>
        <w:numPr>
          <w:ilvl w:val="0"/>
          <w:numId w:val="2"/>
        </w:numPr>
        <w:spacing w:line="360" w:lineRule="auto"/>
      </w:pPr>
      <w:r>
        <w:rPr>
          <w:rFonts w:ascii="Arial" w:hAnsi="Arial" w:cs="Calibri"/>
        </w:rPr>
        <w:t>McKeown, A. (2023). Ethical challenges and principles in integrated care. </w:t>
      </w:r>
      <w:r>
        <w:rPr>
          <w:rFonts w:ascii="Arial" w:hAnsi="Arial" w:cs="Calibri"/>
          <w:i/>
          <w:iCs/>
        </w:rPr>
        <w:t>British Medical Bulletin</w:t>
      </w:r>
      <w:r>
        <w:rPr>
          <w:rFonts w:ascii="Arial" w:hAnsi="Arial" w:cs="Calibri"/>
        </w:rPr>
        <w:t>, </w:t>
      </w:r>
      <w:r>
        <w:rPr>
          <w:rFonts w:ascii="Arial" w:hAnsi="Arial" w:cs="Calibri"/>
          <w:i/>
          <w:iCs/>
        </w:rPr>
        <w:t>146</w:t>
      </w:r>
      <w:r>
        <w:rPr>
          <w:rFonts w:ascii="Arial" w:hAnsi="Arial" w:cs="Calibri"/>
        </w:rPr>
        <w:t xml:space="preserve">(1), 4-18. Available at: </w:t>
      </w:r>
      <w:hyperlink r:id="rId27">
        <w:r w:rsidR="00EF28B1">
          <w:rPr>
            <w:rStyle w:val="Hyperlink"/>
            <w:rFonts w:ascii="Arial" w:hAnsi="Arial" w:cs="Calibri"/>
            <w:color w:val="2F5496" w:themeColor="accent1" w:themeShade="BF"/>
          </w:rPr>
          <w:t>https://doi.org/10.1093/bmb/ldac030</w:t>
        </w:r>
      </w:hyperlink>
      <w:r>
        <w:rPr>
          <w:rFonts w:ascii="Arial" w:hAnsi="Arial" w:cs="Calibri"/>
        </w:rPr>
        <w:t xml:space="preserve"> (Accessed: 04/03/2026)</w:t>
      </w:r>
    </w:p>
    <w:p w14:paraId="244E58EB" w14:textId="77777777" w:rsidR="00EF28B1" w:rsidRDefault="00000000">
      <w:pPr>
        <w:numPr>
          <w:ilvl w:val="0"/>
          <w:numId w:val="2"/>
        </w:numPr>
        <w:spacing w:line="360" w:lineRule="auto"/>
      </w:pPr>
      <w:r>
        <w:rPr>
          <w:rFonts w:ascii="Arial" w:hAnsi="Arial" w:cs="Calibri"/>
        </w:rPr>
        <w:t xml:space="preserve">National Audit Office. (2019). </w:t>
      </w:r>
      <w:r>
        <w:rPr>
          <w:rFonts w:ascii="Arial" w:hAnsi="Arial" w:cs="Calibri"/>
          <w:i/>
          <w:iCs/>
        </w:rPr>
        <w:t>Support for pupils with special educational needs and disabilities in England</w:t>
      </w:r>
      <w:r>
        <w:rPr>
          <w:rFonts w:ascii="Arial" w:hAnsi="Arial" w:cs="Calibri"/>
        </w:rPr>
        <w:t xml:space="preserve">. National Audit Office. Available at: </w:t>
      </w:r>
      <w:hyperlink r:id="rId28">
        <w:r w:rsidR="00EF28B1">
          <w:rPr>
            <w:rStyle w:val="Hyperlink"/>
            <w:rFonts w:ascii="Arial" w:hAnsi="Arial" w:cs="Calibri"/>
            <w:color w:val="2F5496" w:themeColor="accent1" w:themeShade="BF"/>
          </w:rPr>
          <w:t>https://www.nao.org.uk/wp-content/uploads/2019/09/Support-for-pupils-with-special-education-needs.pdf</w:t>
        </w:r>
      </w:hyperlink>
      <w:r>
        <w:rPr>
          <w:rFonts w:ascii="Arial" w:hAnsi="Arial" w:cs="Calibri"/>
        </w:rPr>
        <w:t xml:space="preserve"> (Accessed: 21/3/2026)</w:t>
      </w:r>
    </w:p>
    <w:p w14:paraId="6CB5F4E7" w14:textId="77777777" w:rsidR="00EF28B1" w:rsidRDefault="00000000">
      <w:pPr>
        <w:numPr>
          <w:ilvl w:val="0"/>
          <w:numId w:val="2"/>
        </w:numPr>
        <w:spacing w:line="360" w:lineRule="auto"/>
      </w:pPr>
      <w:proofErr w:type="spellStart"/>
      <w:r>
        <w:rPr>
          <w:rFonts w:ascii="Arial" w:hAnsi="Arial" w:cs="Calibri"/>
        </w:rPr>
        <w:t>Oleribe</w:t>
      </w:r>
      <w:proofErr w:type="spellEnd"/>
      <w:r>
        <w:rPr>
          <w:rFonts w:ascii="Arial" w:hAnsi="Arial" w:cs="Calibri"/>
        </w:rPr>
        <w:t>, O. O., Momoh, J., Uzochukwu, B. S., Mbofana, F., Adebiyi, A., Barbera, T., ... &amp; Taylor-Robinson, S. D. (2019). Identifying key challenges facing healthcare systems in Africa and potential solutions. </w:t>
      </w:r>
      <w:r>
        <w:rPr>
          <w:rFonts w:ascii="Arial" w:hAnsi="Arial" w:cs="Calibri"/>
          <w:i/>
          <w:iCs/>
        </w:rPr>
        <w:t>International journal of general medicine</w:t>
      </w:r>
      <w:r>
        <w:rPr>
          <w:rFonts w:ascii="Arial" w:hAnsi="Arial" w:cs="Calibri"/>
        </w:rPr>
        <w:t xml:space="preserve">, 395-403. Available at: </w:t>
      </w:r>
      <w:hyperlink r:id="rId29">
        <w:r w:rsidR="00EF28B1">
          <w:rPr>
            <w:rStyle w:val="Hyperlink"/>
            <w:rFonts w:ascii="Arial" w:hAnsi="Arial" w:cs="Calibri"/>
            <w:color w:val="2F5496" w:themeColor="accent1" w:themeShade="BF"/>
          </w:rPr>
          <w:t>https://doi.org/10.2147/IJGM.S223882</w:t>
        </w:r>
      </w:hyperlink>
      <w:r>
        <w:rPr>
          <w:rFonts w:ascii="Arial" w:hAnsi="Arial" w:cs="Calibri"/>
        </w:rPr>
        <w:t xml:space="preserve"> (Accessed: 20/03/2026)</w:t>
      </w:r>
    </w:p>
    <w:p w14:paraId="1B813157" w14:textId="77777777" w:rsidR="00EF28B1" w:rsidRDefault="00000000">
      <w:pPr>
        <w:numPr>
          <w:ilvl w:val="0"/>
          <w:numId w:val="2"/>
        </w:numPr>
        <w:spacing w:line="360" w:lineRule="auto"/>
      </w:pPr>
      <w:r>
        <w:rPr>
          <w:rFonts w:ascii="Arial" w:hAnsi="Arial" w:cs="Calibri"/>
        </w:rPr>
        <w:lastRenderedPageBreak/>
        <w:t xml:space="preserve">Piquer-Martinez, C., Urionagüena, A., </w:t>
      </w:r>
      <w:proofErr w:type="spellStart"/>
      <w:r>
        <w:rPr>
          <w:rFonts w:ascii="Arial" w:hAnsi="Arial" w:cs="Calibri"/>
        </w:rPr>
        <w:t>Benrimoj</w:t>
      </w:r>
      <w:proofErr w:type="spellEnd"/>
      <w:r>
        <w:rPr>
          <w:rFonts w:ascii="Arial" w:hAnsi="Arial" w:cs="Calibri"/>
        </w:rPr>
        <w:t xml:space="preserve">, S. I., Calvo, B., Dineen-Griffin, S., Garcia-Cardenas, V., ... &amp; </w:t>
      </w:r>
      <w:proofErr w:type="spellStart"/>
      <w:r>
        <w:rPr>
          <w:rFonts w:ascii="Arial" w:hAnsi="Arial" w:cs="Calibri"/>
        </w:rPr>
        <w:t>Gastelurrutia</w:t>
      </w:r>
      <w:proofErr w:type="spellEnd"/>
      <w:r>
        <w:rPr>
          <w:rFonts w:ascii="Arial" w:hAnsi="Arial" w:cs="Calibri"/>
        </w:rPr>
        <w:t>, M. A. (2024). Theories, models and frameworks for health systems integration. A scoping review. </w:t>
      </w:r>
      <w:r>
        <w:rPr>
          <w:rFonts w:ascii="Arial" w:hAnsi="Arial" w:cs="Calibri"/>
          <w:i/>
          <w:iCs/>
        </w:rPr>
        <w:t>Health policy</w:t>
      </w:r>
      <w:r>
        <w:rPr>
          <w:rFonts w:ascii="Arial" w:hAnsi="Arial" w:cs="Calibri"/>
        </w:rPr>
        <w:t>, </w:t>
      </w:r>
      <w:r>
        <w:rPr>
          <w:rFonts w:ascii="Arial" w:hAnsi="Arial" w:cs="Calibri"/>
          <w:i/>
          <w:iCs/>
        </w:rPr>
        <w:t>141</w:t>
      </w:r>
      <w:r>
        <w:rPr>
          <w:rFonts w:ascii="Arial" w:hAnsi="Arial" w:cs="Calibri"/>
        </w:rPr>
        <w:t xml:space="preserve">, 104997. Available at: </w:t>
      </w:r>
      <w:hyperlink r:id="rId30">
        <w:r w:rsidR="00EF28B1">
          <w:rPr>
            <w:rStyle w:val="Hyperlink"/>
            <w:rFonts w:ascii="Arial" w:hAnsi="Arial" w:cs="Calibri"/>
            <w:color w:val="2F5496" w:themeColor="accent1" w:themeShade="BF"/>
          </w:rPr>
          <w:t>https://doi.org/10.1016/j.healthpol.2024.104997</w:t>
        </w:r>
      </w:hyperlink>
      <w:r>
        <w:rPr>
          <w:rFonts w:ascii="Arial" w:hAnsi="Arial" w:cs="Calibri"/>
        </w:rPr>
        <w:t xml:space="preserve"> (Accessed: 21/03/2026)</w:t>
      </w:r>
    </w:p>
    <w:p w14:paraId="464E8DFA" w14:textId="77777777" w:rsidR="00EF28B1" w:rsidRDefault="00000000">
      <w:pPr>
        <w:numPr>
          <w:ilvl w:val="0"/>
          <w:numId w:val="2"/>
        </w:numPr>
        <w:spacing w:line="360" w:lineRule="auto"/>
      </w:pPr>
      <w:r>
        <w:rPr>
          <w:rFonts w:ascii="Arial" w:hAnsi="Arial" w:cs="Calibri"/>
        </w:rPr>
        <w:t xml:space="preserve">Redwood, S., Brangan, E., Leach, V., Horwood, J., &amp; Donovan, J. L. (2016). Integration of research and practice to improve public health and healthcare delivery through a </w:t>
      </w:r>
      <w:proofErr w:type="spellStart"/>
      <w:r>
        <w:rPr>
          <w:rFonts w:ascii="Arial" w:hAnsi="Arial" w:cs="Calibri"/>
        </w:rPr>
        <w:t>collaborative'Health</w:t>
      </w:r>
      <w:proofErr w:type="spellEnd"/>
      <w:r>
        <w:rPr>
          <w:rFonts w:ascii="Arial" w:hAnsi="Arial" w:cs="Calibri"/>
        </w:rPr>
        <w:t xml:space="preserve"> Integration </w:t>
      </w:r>
      <w:proofErr w:type="spellStart"/>
      <w:r>
        <w:rPr>
          <w:rFonts w:ascii="Arial" w:hAnsi="Arial" w:cs="Calibri"/>
        </w:rPr>
        <w:t>Team'model</w:t>
      </w:r>
      <w:proofErr w:type="spellEnd"/>
      <w:r>
        <w:rPr>
          <w:rFonts w:ascii="Arial" w:hAnsi="Arial" w:cs="Calibri"/>
        </w:rPr>
        <w:t>-a qualitative investigation. </w:t>
      </w:r>
      <w:r>
        <w:rPr>
          <w:rFonts w:ascii="Arial" w:hAnsi="Arial" w:cs="Calibri"/>
          <w:i/>
          <w:iCs/>
        </w:rPr>
        <w:t>BMC health services research</w:t>
      </w:r>
      <w:r>
        <w:rPr>
          <w:rFonts w:ascii="Arial" w:hAnsi="Arial" w:cs="Calibri"/>
        </w:rPr>
        <w:t>, </w:t>
      </w:r>
      <w:r>
        <w:rPr>
          <w:rFonts w:ascii="Arial" w:hAnsi="Arial" w:cs="Calibri"/>
          <w:i/>
          <w:iCs/>
        </w:rPr>
        <w:t>16</w:t>
      </w:r>
      <w:r>
        <w:rPr>
          <w:rFonts w:ascii="Arial" w:hAnsi="Arial" w:cs="Calibri"/>
        </w:rPr>
        <w:t xml:space="preserve">(1), 201. Available at: </w:t>
      </w:r>
      <w:hyperlink r:id="rId31">
        <w:r w:rsidR="00EF28B1">
          <w:rPr>
            <w:rStyle w:val="Hyperlink"/>
            <w:rFonts w:ascii="Arial" w:hAnsi="Arial" w:cs="Calibri"/>
            <w:color w:val="2F5496" w:themeColor="accent1" w:themeShade="BF"/>
          </w:rPr>
          <w:t>https://link.springer.com/article/10.1186/s12913-016-1445-z</w:t>
        </w:r>
      </w:hyperlink>
      <w:r>
        <w:rPr>
          <w:rFonts w:ascii="Arial" w:hAnsi="Arial" w:cs="Calibri"/>
        </w:rPr>
        <w:t xml:space="preserve"> (Accessed: 07/03/2026)</w:t>
      </w:r>
    </w:p>
    <w:p w14:paraId="4EA99293" w14:textId="77777777" w:rsidR="00EF28B1" w:rsidRDefault="00000000">
      <w:pPr>
        <w:numPr>
          <w:ilvl w:val="0"/>
          <w:numId w:val="2"/>
        </w:numPr>
        <w:spacing w:line="360" w:lineRule="auto"/>
      </w:pPr>
      <w:r>
        <w:rPr>
          <w:rFonts w:ascii="Arial" w:hAnsi="Arial" w:cs="Calibri"/>
        </w:rPr>
        <w:t>Sharp, T., Weil, J., Snyder, A., Dunemn, K., Milbrath, G., McNeill, J., &amp; Gilbert, E. (2019). Partnership integration for rural health resource access. </w:t>
      </w:r>
      <w:r>
        <w:rPr>
          <w:rFonts w:ascii="Arial" w:hAnsi="Arial" w:cs="Calibri"/>
          <w:i/>
          <w:iCs/>
        </w:rPr>
        <w:t>Rural and Remote Health</w:t>
      </w:r>
      <w:r>
        <w:rPr>
          <w:rFonts w:ascii="Arial" w:hAnsi="Arial" w:cs="Calibri"/>
        </w:rPr>
        <w:t>, </w:t>
      </w:r>
      <w:r>
        <w:rPr>
          <w:rFonts w:ascii="Arial" w:hAnsi="Arial" w:cs="Calibri"/>
          <w:i/>
          <w:iCs/>
        </w:rPr>
        <w:t>19</w:t>
      </w:r>
      <w:r>
        <w:rPr>
          <w:rFonts w:ascii="Arial" w:hAnsi="Arial" w:cs="Calibri"/>
        </w:rPr>
        <w:t xml:space="preserve">(4), 1-5. Available at: </w:t>
      </w:r>
      <w:hyperlink r:id="rId32">
        <w:r w:rsidR="00EF28B1">
          <w:rPr>
            <w:rStyle w:val="Hyperlink"/>
            <w:rFonts w:ascii="Arial" w:hAnsi="Arial" w:cs="Calibri"/>
            <w:color w:val="2F5496" w:themeColor="accent1" w:themeShade="BF"/>
          </w:rPr>
          <w:t>https://search.informit.org/doi/epdf/10.3316/informit.142057791498969</w:t>
        </w:r>
      </w:hyperlink>
      <w:hyperlink>
        <w:r w:rsidR="00EF28B1">
          <w:rPr>
            <w:rStyle w:val="Hyperlink"/>
            <w:rFonts w:ascii="Arial" w:hAnsi="Arial" w:cs="Calibri"/>
            <w:color w:val="2F5496" w:themeColor="accent1" w:themeShade="BF"/>
          </w:rPr>
          <w:t xml:space="preserve"> </w:t>
        </w:r>
      </w:hyperlink>
      <w:r>
        <w:rPr>
          <w:rFonts w:ascii="Arial" w:hAnsi="Arial" w:cs="Calibri"/>
        </w:rPr>
        <w:t xml:space="preserve"> (Accessed: 01/03/2026)</w:t>
      </w:r>
    </w:p>
    <w:p w14:paraId="5A68FAAD" w14:textId="77777777" w:rsidR="00EF28B1" w:rsidRDefault="00000000">
      <w:pPr>
        <w:numPr>
          <w:ilvl w:val="0"/>
          <w:numId w:val="2"/>
        </w:numPr>
        <w:spacing w:line="360" w:lineRule="auto"/>
      </w:pPr>
      <w:r>
        <w:rPr>
          <w:rFonts w:ascii="Arial" w:hAnsi="Arial" w:cs="Calibri"/>
        </w:rPr>
        <w:t xml:space="preserve">Stark, Z., Dolman, L., Manolio, T. A., </w:t>
      </w:r>
      <w:proofErr w:type="spellStart"/>
      <w:r>
        <w:rPr>
          <w:rFonts w:ascii="Arial" w:hAnsi="Arial" w:cs="Calibri"/>
        </w:rPr>
        <w:t>Ozenberger</w:t>
      </w:r>
      <w:proofErr w:type="spellEnd"/>
      <w:r>
        <w:rPr>
          <w:rFonts w:ascii="Arial" w:hAnsi="Arial" w:cs="Calibri"/>
        </w:rPr>
        <w:t xml:space="preserve">, B., Hill, S. L., </w:t>
      </w:r>
      <w:proofErr w:type="spellStart"/>
      <w:r>
        <w:rPr>
          <w:rFonts w:ascii="Arial" w:hAnsi="Arial" w:cs="Calibri"/>
        </w:rPr>
        <w:t>Caulfied</w:t>
      </w:r>
      <w:proofErr w:type="spellEnd"/>
      <w:r>
        <w:rPr>
          <w:rFonts w:ascii="Arial" w:hAnsi="Arial" w:cs="Calibri"/>
        </w:rPr>
        <w:t>, M. J., ... &amp; North, K. N. (2019). Integrating genomics into healthcare: a global responsibility. </w:t>
      </w:r>
      <w:r>
        <w:rPr>
          <w:rFonts w:ascii="Arial" w:hAnsi="Arial" w:cs="Calibri"/>
          <w:i/>
          <w:iCs/>
        </w:rPr>
        <w:t>The American Journal of Human Genetics</w:t>
      </w:r>
      <w:r>
        <w:rPr>
          <w:rFonts w:ascii="Arial" w:hAnsi="Arial" w:cs="Calibri"/>
        </w:rPr>
        <w:t>, </w:t>
      </w:r>
      <w:r>
        <w:rPr>
          <w:rFonts w:ascii="Arial" w:hAnsi="Arial" w:cs="Calibri"/>
          <w:i/>
          <w:iCs/>
        </w:rPr>
        <w:t>104</w:t>
      </w:r>
      <w:r>
        <w:rPr>
          <w:rFonts w:ascii="Arial" w:hAnsi="Arial" w:cs="Calibri"/>
        </w:rPr>
        <w:t xml:space="preserve">(1), 13-20. Available at: </w:t>
      </w:r>
      <w:hyperlink r:id="rId33">
        <w:r w:rsidR="00EF28B1">
          <w:rPr>
            <w:rStyle w:val="Hyperlink"/>
            <w:rFonts w:ascii="Arial" w:hAnsi="Arial" w:cs="Calibri"/>
            <w:color w:val="2F5496" w:themeColor="accent1" w:themeShade="BF"/>
          </w:rPr>
          <w:t>https://www.cell.com/ajhg/fulltext/S0002-9297(18)30422-1?dgcid=raven_jbs_etoc_email</w:t>
        </w:r>
      </w:hyperlink>
      <w:hyperlink>
        <w:r w:rsidR="00EF28B1">
          <w:rPr>
            <w:rStyle w:val="Hyperlink"/>
            <w:rFonts w:ascii="Arial" w:hAnsi="Arial" w:cs="Calibri"/>
            <w:color w:val="2F5496" w:themeColor="accent1" w:themeShade="BF"/>
          </w:rPr>
          <w:t xml:space="preserve"> </w:t>
        </w:r>
      </w:hyperlink>
      <w:r>
        <w:rPr>
          <w:rFonts w:ascii="Arial" w:hAnsi="Arial" w:cs="Calibri"/>
        </w:rPr>
        <w:t xml:space="preserve"> (Accessed: 06/03/2026)</w:t>
      </w:r>
    </w:p>
    <w:p w14:paraId="0865A08F" w14:textId="77777777" w:rsidR="00EF28B1" w:rsidRDefault="00000000">
      <w:pPr>
        <w:numPr>
          <w:ilvl w:val="0"/>
          <w:numId w:val="2"/>
        </w:numPr>
        <w:spacing w:line="360" w:lineRule="auto"/>
      </w:pPr>
      <w:r>
        <w:rPr>
          <w:rFonts w:ascii="Arial" w:hAnsi="Arial" w:cs="Calibri"/>
        </w:rPr>
        <w:t xml:space="preserve">Van Duijn, S., Zonneveld, N., Montero, A. L., </w:t>
      </w:r>
      <w:proofErr w:type="spellStart"/>
      <w:r>
        <w:rPr>
          <w:rFonts w:ascii="Arial" w:hAnsi="Arial" w:cs="Calibri"/>
        </w:rPr>
        <w:t>Minkman</w:t>
      </w:r>
      <w:proofErr w:type="spellEnd"/>
      <w:r>
        <w:rPr>
          <w:rFonts w:ascii="Arial" w:hAnsi="Arial" w:cs="Calibri"/>
        </w:rPr>
        <w:t>, M., &amp; Nies, H. (2018). Service integration across sectors in Europe: Literature and practice. </w:t>
      </w:r>
      <w:r>
        <w:rPr>
          <w:rFonts w:ascii="Arial" w:hAnsi="Arial" w:cs="Calibri"/>
          <w:i/>
          <w:iCs/>
        </w:rPr>
        <w:t>International journal of Integrated care</w:t>
      </w:r>
      <w:r>
        <w:rPr>
          <w:rFonts w:ascii="Arial" w:hAnsi="Arial" w:cs="Calibri"/>
        </w:rPr>
        <w:t>, </w:t>
      </w:r>
      <w:r>
        <w:rPr>
          <w:rFonts w:ascii="Arial" w:hAnsi="Arial" w:cs="Calibri"/>
          <w:i/>
          <w:iCs/>
        </w:rPr>
        <w:t>18</w:t>
      </w:r>
      <w:r>
        <w:rPr>
          <w:rFonts w:ascii="Arial" w:hAnsi="Arial" w:cs="Calibri"/>
        </w:rPr>
        <w:t xml:space="preserve">(2), 6. Available at: </w:t>
      </w:r>
      <w:hyperlink r:id="rId34">
        <w:r w:rsidR="00EF28B1">
          <w:rPr>
            <w:rStyle w:val="Hyperlink"/>
            <w:rFonts w:ascii="Arial" w:hAnsi="Arial" w:cs="Calibri"/>
            <w:color w:val="2F5496" w:themeColor="accent1" w:themeShade="BF"/>
          </w:rPr>
          <w:t>https://pmc.ncbi.nlm.nih.gov/articles/PMC6095054/</w:t>
        </w:r>
      </w:hyperlink>
      <w:hyperlink>
        <w:r w:rsidR="00EF28B1">
          <w:rPr>
            <w:rStyle w:val="Hyperlink"/>
            <w:rFonts w:ascii="Arial" w:hAnsi="Arial" w:cs="Calibri"/>
            <w:color w:val="2F5496" w:themeColor="accent1" w:themeShade="BF"/>
          </w:rPr>
          <w:t xml:space="preserve"> </w:t>
        </w:r>
      </w:hyperlink>
      <w:r>
        <w:rPr>
          <w:rFonts w:ascii="Arial" w:hAnsi="Arial" w:cs="Calibri"/>
        </w:rPr>
        <w:t xml:space="preserve"> (Accessed: 17/03/2026)</w:t>
      </w:r>
    </w:p>
    <w:p w14:paraId="3DCD3C08" w14:textId="77777777" w:rsidR="00EF28B1" w:rsidRDefault="00000000">
      <w:pPr>
        <w:numPr>
          <w:ilvl w:val="0"/>
          <w:numId w:val="2"/>
        </w:numPr>
        <w:spacing w:line="360" w:lineRule="auto"/>
      </w:pPr>
      <w:r>
        <w:rPr>
          <w:rFonts w:ascii="Arial" w:hAnsi="Arial" w:cs="Calibri"/>
        </w:rPr>
        <w:t xml:space="preserve">Wakida, E. K., Talib, Z. M., Akena, D., Okello, E. S., </w:t>
      </w:r>
      <w:proofErr w:type="spellStart"/>
      <w:r>
        <w:rPr>
          <w:rFonts w:ascii="Arial" w:hAnsi="Arial" w:cs="Calibri"/>
        </w:rPr>
        <w:t>Kinengyere</w:t>
      </w:r>
      <w:proofErr w:type="spellEnd"/>
      <w:r>
        <w:rPr>
          <w:rFonts w:ascii="Arial" w:hAnsi="Arial" w:cs="Calibri"/>
        </w:rPr>
        <w:t xml:space="preserve">, A., </w:t>
      </w:r>
      <w:proofErr w:type="spellStart"/>
      <w:r>
        <w:rPr>
          <w:rFonts w:ascii="Arial" w:hAnsi="Arial" w:cs="Calibri"/>
        </w:rPr>
        <w:t>Mindra</w:t>
      </w:r>
      <w:proofErr w:type="spellEnd"/>
      <w:r>
        <w:rPr>
          <w:rFonts w:ascii="Arial" w:hAnsi="Arial" w:cs="Calibri"/>
        </w:rPr>
        <w:t xml:space="preserve">, A., &amp; </w:t>
      </w:r>
      <w:proofErr w:type="spellStart"/>
      <w:r>
        <w:rPr>
          <w:rFonts w:ascii="Arial" w:hAnsi="Arial" w:cs="Calibri"/>
        </w:rPr>
        <w:t>Obua</w:t>
      </w:r>
      <w:proofErr w:type="spellEnd"/>
      <w:r>
        <w:rPr>
          <w:rFonts w:ascii="Arial" w:hAnsi="Arial" w:cs="Calibri"/>
        </w:rPr>
        <w:t>, C. (2018). Barriers and facilitators to the integration of mental health services into primary health care: a systematic review. </w:t>
      </w:r>
      <w:r>
        <w:rPr>
          <w:rFonts w:ascii="Arial" w:hAnsi="Arial" w:cs="Calibri"/>
          <w:i/>
          <w:iCs/>
        </w:rPr>
        <w:t>Systematic reviews</w:t>
      </w:r>
      <w:r>
        <w:rPr>
          <w:rFonts w:ascii="Arial" w:hAnsi="Arial" w:cs="Calibri"/>
        </w:rPr>
        <w:t>, </w:t>
      </w:r>
      <w:r>
        <w:rPr>
          <w:rFonts w:ascii="Arial" w:hAnsi="Arial" w:cs="Calibri"/>
          <w:i/>
          <w:iCs/>
        </w:rPr>
        <w:t>7</w:t>
      </w:r>
      <w:r>
        <w:rPr>
          <w:rFonts w:ascii="Arial" w:hAnsi="Arial" w:cs="Calibri"/>
        </w:rPr>
        <w:t xml:space="preserve">(1), 211. Available at: </w:t>
      </w:r>
      <w:hyperlink r:id="rId35">
        <w:r w:rsidR="00EF28B1">
          <w:rPr>
            <w:rStyle w:val="Hyperlink"/>
            <w:rFonts w:ascii="Arial" w:hAnsi="Arial" w:cs="Calibri"/>
            <w:color w:val="2F5496" w:themeColor="accent1" w:themeShade="BF"/>
          </w:rPr>
          <w:t>https://link.springer.com/article/10.1186/s13643-018-0882-7</w:t>
        </w:r>
      </w:hyperlink>
      <w:hyperlink>
        <w:r w:rsidR="00EF28B1">
          <w:rPr>
            <w:rStyle w:val="Hyperlink"/>
            <w:rFonts w:ascii="Arial" w:hAnsi="Arial" w:cs="Calibri"/>
            <w:color w:val="2F5496" w:themeColor="accent1" w:themeShade="BF"/>
          </w:rPr>
          <w:t xml:space="preserve"> </w:t>
        </w:r>
      </w:hyperlink>
      <w:r>
        <w:rPr>
          <w:rFonts w:ascii="Arial" w:hAnsi="Arial" w:cs="Calibri"/>
        </w:rPr>
        <w:t xml:space="preserve">  (Accessed: 21/03/2026)</w:t>
      </w:r>
    </w:p>
    <w:p w14:paraId="0584CD96" w14:textId="77777777" w:rsidR="00EF28B1" w:rsidRDefault="00EF28B1">
      <w:pPr>
        <w:spacing w:line="360" w:lineRule="auto"/>
        <w:ind w:left="720"/>
        <w:rPr>
          <w:rFonts w:ascii="Arial" w:hAnsi="Arial" w:cs="Calibri"/>
        </w:rPr>
      </w:pPr>
    </w:p>
    <w:p w14:paraId="52CF9C54" w14:textId="77777777" w:rsidR="00EF28B1" w:rsidRDefault="00EF28B1">
      <w:pPr>
        <w:spacing w:line="360" w:lineRule="auto"/>
        <w:ind w:left="720"/>
        <w:rPr>
          <w:rFonts w:ascii="Arial" w:hAnsi="Arial" w:cs="Calibri"/>
        </w:rPr>
      </w:pPr>
    </w:p>
    <w:sectPr w:rsidR="00EF28B1">
      <w:footerReference w:type="default" r:id="rId36"/>
      <w:pgSz w:w="12240" w:h="15840"/>
      <w:pgMar w:top="1440" w:right="1440" w:bottom="1440" w:left="1440" w:header="0" w:footer="72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0F0A0" w14:textId="77777777" w:rsidR="0044378B" w:rsidRDefault="0044378B">
      <w:pPr>
        <w:spacing w:after="0" w:line="240" w:lineRule="auto"/>
      </w:pPr>
      <w:r>
        <w:separator/>
      </w:r>
    </w:p>
  </w:endnote>
  <w:endnote w:type="continuationSeparator" w:id="0">
    <w:p w14:paraId="42676B09" w14:textId="77777777" w:rsidR="0044378B" w:rsidRDefault="00443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jaVu San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Noto Sans Devanagari">
    <w:charset w:val="00"/>
    <w:family w:val="swiss"/>
    <w:pitch w:val="variable"/>
    <w:sig w:usb0="80008023" w:usb1="00002046" w:usb2="00000000" w:usb3="00000000" w:csb0="00000001"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F9D39" w14:textId="77777777" w:rsidR="00EF28B1" w:rsidRDefault="00EF28B1">
    <w:pPr>
      <w:pStyle w:val="Footer"/>
      <w:jc w:val="center"/>
    </w:pPr>
  </w:p>
  <w:p w14:paraId="296F8E11" w14:textId="77777777" w:rsidR="00EF28B1" w:rsidRDefault="00EF2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FAB76" w14:textId="77777777" w:rsidR="0044378B" w:rsidRDefault="0044378B">
      <w:pPr>
        <w:spacing w:after="0" w:line="240" w:lineRule="auto"/>
      </w:pPr>
      <w:r>
        <w:separator/>
      </w:r>
    </w:p>
  </w:footnote>
  <w:footnote w:type="continuationSeparator" w:id="0">
    <w:p w14:paraId="7CDB4127" w14:textId="77777777" w:rsidR="0044378B" w:rsidRDefault="00443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6365B5"/>
    <w:multiLevelType w:val="multilevel"/>
    <w:tmpl w:val="178CCBDA"/>
    <w:lvl w:ilvl="0">
      <w:start w:val="1"/>
      <w:numFmt w:val="none"/>
      <w:suff w:val="nothing"/>
      <w:lvlText w:val="%1"/>
      <w:lvlJc w:val="left"/>
      <w:pPr>
        <w:tabs>
          <w:tab w:val="num" w:pos="0"/>
        </w:tabs>
        <w:ind w:left="0" w:firstLine="0"/>
      </w:pPr>
    </w:lvl>
    <w:lvl w:ilvl="1">
      <w:start w:val="1"/>
      <w:numFmt w:val="none"/>
      <w:suff w:val="nothing"/>
      <w:lvlText w:val="%2"/>
      <w:lvlJc w:val="left"/>
      <w:pPr>
        <w:tabs>
          <w:tab w:val="num" w:pos="0"/>
        </w:tabs>
        <w:ind w:left="0" w:firstLine="0"/>
      </w:pPr>
    </w:lvl>
    <w:lvl w:ilvl="2">
      <w:start w:val="1"/>
      <w:numFmt w:val="none"/>
      <w:suff w:val="nothing"/>
      <w:lvlText w:val="%3"/>
      <w:lvlJc w:val="left"/>
      <w:pPr>
        <w:tabs>
          <w:tab w:val="num" w:pos="0"/>
        </w:tabs>
        <w:ind w:left="0" w:firstLine="0"/>
      </w:pPr>
    </w:lvl>
    <w:lvl w:ilvl="3">
      <w:start w:val="1"/>
      <w:numFmt w:val="none"/>
      <w:suff w:val="nothing"/>
      <w:lvlText w:val="%4"/>
      <w:lvlJc w:val="left"/>
      <w:pPr>
        <w:tabs>
          <w:tab w:val="num" w:pos="0"/>
        </w:tabs>
        <w:ind w:left="0" w:firstLine="0"/>
      </w:pPr>
    </w:lvl>
    <w:lvl w:ilvl="4">
      <w:start w:val="1"/>
      <w:numFmt w:val="none"/>
      <w:suff w:val="nothing"/>
      <w:lvlText w:val="%5"/>
      <w:lvlJc w:val="left"/>
      <w:pPr>
        <w:tabs>
          <w:tab w:val="num" w:pos="0"/>
        </w:tabs>
        <w:ind w:left="0" w:firstLine="0"/>
      </w:pPr>
    </w:lvl>
    <w:lvl w:ilvl="5">
      <w:start w:val="1"/>
      <w:numFmt w:val="none"/>
      <w:suff w:val="nothing"/>
      <w:lvlText w:val="%6"/>
      <w:lvlJc w:val="left"/>
      <w:pPr>
        <w:tabs>
          <w:tab w:val="num" w:pos="0"/>
        </w:tabs>
        <w:ind w:left="0" w:firstLine="0"/>
      </w:pPr>
    </w:lvl>
    <w:lvl w:ilvl="6">
      <w:start w:val="1"/>
      <w:numFmt w:val="none"/>
      <w:suff w:val="nothing"/>
      <w:lvlText w:val="%7"/>
      <w:lvlJc w:val="left"/>
      <w:pPr>
        <w:tabs>
          <w:tab w:val="num" w:pos="0"/>
        </w:tabs>
        <w:ind w:left="0" w:firstLine="0"/>
      </w:pPr>
    </w:lvl>
    <w:lvl w:ilvl="7">
      <w:start w:val="1"/>
      <w:numFmt w:val="none"/>
      <w:suff w:val="nothing"/>
      <w:lvlText w:val="%8"/>
      <w:lvlJc w:val="left"/>
      <w:pPr>
        <w:tabs>
          <w:tab w:val="num" w:pos="0"/>
        </w:tabs>
        <w:ind w:left="0" w:firstLine="0"/>
      </w:pPr>
    </w:lvl>
    <w:lvl w:ilvl="8">
      <w:start w:val="1"/>
      <w:numFmt w:val="none"/>
      <w:suff w:val="nothing"/>
      <w:lvlText w:val="%9"/>
      <w:lvlJc w:val="left"/>
      <w:pPr>
        <w:tabs>
          <w:tab w:val="num" w:pos="0"/>
        </w:tabs>
        <w:ind w:left="0" w:firstLine="0"/>
      </w:pPr>
    </w:lvl>
  </w:abstractNum>
  <w:abstractNum w:abstractNumId="1" w15:restartNumberingAfterBreak="0">
    <w:nsid w:val="7FD43969"/>
    <w:multiLevelType w:val="multilevel"/>
    <w:tmpl w:val="6340EB48"/>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785028717">
    <w:abstractNumId w:val="0"/>
  </w:num>
  <w:num w:numId="2" w16cid:durableId="699471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autoHyphenation/>
  <w:characterSpacingControl w:val="doNotCompress"/>
  <w:footnotePr>
    <w:footnote w:id="-1"/>
    <w:footnote w:id="0"/>
  </w:footnotePr>
  <w:endnotePr>
    <w:endnote w:id="-1"/>
    <w:endnote w:id="0"/>
  </w:endnotePr>
  <w:compat>
    <w:doNotBreakWrappedTables/>
    <w:compatSetting w:name="compatibilityMode" w:uri="http://schemas.microsoft.com/office/word" w:val="12"/>
    <w:compatSetting w:name="useWord2013TrackBottomHyphenation" w:uri="http://schemas.microsoft.com/office/word" w:val="1"/>
  </w:compat>
  <w:rsids>
    <w:rsidRoot w:val="00EF28B1"/>
    <w:rsid w:val="000E786C"/>
    <w:rsid w:val="002D5C46"/>
    <w:rsid w:val="002E5408"/>
    <w:rsid w:val="0044378B"/>
    <w:rsid w:val="0088140F"/>
    <w:rsid w:val="00BE3281"/>
    <w:rsid w:val="00C87CE1"/>
    <w:rsid w:val="00E03EB9"/>
    <w:rsid w:val="00EF28B1"/>
    <w:rsid w:val="00F754FE"/>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D3024"/>
  <w15:docId w15:val="{925A99DF-9D5C-4B66-8542-6C9CAB29F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DejaVu Sans"/>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pPr>
      <w:keepNext/>
      <w:keepLines/>
      <w:spacing w:before="360" w:after="80"/>
      <w:outlineLvl w:val="0"/>
    </w:pPr>
    <w:rPr>
      <w:rFonts w:ascii="Calibri Light" w:hAnsi="Calibri Light"/>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Calibri Light" w:hAnsi="Calibri Light"/>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themeColor="dark1" w:themeTint="A6"/>
    </w:rPr>
  </w:style>
  <w:style w:type="paragraph" w:styleId="Heading7">
    <w:name w:val="heading 7"/>
    <w:basedOn w:val="Normal"/>
    <w:next w:val="Normal"/>
    <w:link w:val="Heading7Char"/>
    <w:qFormat/>
    <w:pPr>
      <w:keepNext/>
      <w:keepLines/>
      <w:spacing w:before="40" w:after="0"/>
      <w:outlineLvl w:val="6"/>
    </w:pPr>
    <w:rPr>
      <w:color w:val="595959" w:themeColor="dark1" w:themeTint="A6"/>
    </w:rPr>
  </w:style>
  <w:style w:type="paragraph" w:styleId="Heading8">
    <w:name w:val="heading 8"/>
    <w:basedOn w:val="Normal"/>
    <w:next w:val="Normal"/>
    <w:link w:val="Heading8Char"/>
    <w:qFormat/>
    <w:pPr>
      <w:keepNext/>
      <w:keepLines/>
      <w:spacing w:after="0"/>
      <w:outlineLvl w:val="7"/>
    </w:pPr>
    <w:rPr>
      <w:i/>
      <w:iCs/>
      <w:color w:val="272727" w:themeColor="dark1" w:themeTint="D8"/>
    </w:rPr>
  </w:style>
  <w:style w:type="paragraph" w:styleId="Heading9">
    <w:name w:val="heading 9"/>
    <w:basedOn w:val="Normal"/>
    <w:next w:val="Normal"/>
    <w:link w:val="Heading9Char"/>
    <w:qFormat/>
    <w:pPr>
      <w:keepNext/>
      <w:keepLines/>
      <w:spacing w:after="0"/>
      <w:outlineLvl w:val="8"/>
    </w:pPr>
    <w:rPr>
      <w:color w:val="272727" w:themeColor="dark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qFormat/>
    <w:rPr>
      <w:rFonts w:ascii="Calibri Light" w:eastAsia="Calibri" w:hAnsi="Calibri Light" w:cs="DejaVu Sans"/>
      <w:color w:val="2F5496" w:themeColor="accent1" w:themeShade="BF"/>
      <w:sz w:val="40"/>
      <w:szCs w:val="40"/>
    </w:rPr>
  </w:style>
  <w:style w:type="character" w:customStyle="1" w:styleId="Heading2Char">
    <w:name w:val="Heading 2 Char"/>
    <w:basedOn w:val="DefaultParagraphFont"/>
    <w:link w:val="Heading2"/>
    <w:qFormat/>
    <w:rPr>
      <w:rFonts w:ascii="Calibri Light" w:eastAsia="Calibri" w:hAnsi="Calibri Light" w:cs="DejaVu Sans"/>
      <w:color w:val="2F5496" w:themeColor="accent1" w:themeShade="BF"/>
      <w:sz w:val="32"/>
      <w:szCs w:val="32"/>
    </w:rPr>
  </w:style>
  <w:style w:type="character" w:customStyle="1" w:styleId="Heading3Char">
    <w:name w:val="Heading 3 Char"/>
    <w:basedOn w:val="DefaultParagraphFont"/>
    <w:link w:val="Heading3"/>
    <w:qFormat/>
    <w:rPr>
      <w:rFonts w:eastAsia="Calibri" w:cs="DejaVu Sans"/>
      <w:color w:val="2F5496" w:themeColor="accent1" w:themeShade="BF"/>
      <w:sz w:val="28"/>
      <w:szCs w:val="28"/>
    </w:rPr>
  </w:style>
  <w:style w:type="character" w:customStyle="1" w:styleId="Heading4Char">
    <w:name w:val="Heading 4 Char"/>
    <w:basedOn w:val="DefaultParagraphFont"/>
    <w:link w:val="Heading4"/>
    <w:qFormat/>
    <w:rPr>
      <w:rFonts w:eastAsia="Calibri" w:cs="DejaVu Sans"/>
      <w:i/>
      <w:iCs/>
      <w:color w:val="2F5496" w:themeColor="accent1" w:themeShade="BF"/>
    </w:rPr>
  </w:style>
  <w:style w:type="character" w:customStyle="1" w:styleId="Heading5Char">
    <w:name w:val="Heading 5 Char"/>
    <w:basedOn w:val="DefaultParagraphFont"/>
    <w:link w:val="Heading5"/>
    <w:qFormat/>
    <w:rPr>
      <w:rFonts w:eastAsia="Calibri" w:cs="DejaVu Sans"/>
      <w:color w:val="2F5496" w:themeColor="accent1" w:themeShade="BF"/>
    </w:rPr>
  </w:style>
  <w:style w:type="character" w:customStyle="1" w:styleId="Heading6Char">
    <w:name w:val="Heading 6 Char"/>
    <w:basedOn w:val="DefaultParagraphFont"/>
    <w:link w:val="Heading6"/>
    <w:qFormat/>
    <w:rPr>
      <w:rFonts w:eastAsia="Calibri" w:cs="DejaVu Sans"/>
      <w:i/>
      <w:iCs/>
      <w:color w:val="595959" w:themeColor="dark1" w:themeTint="A6"/>
    </w:rPr>
  </w:style>
  <w:style w:type="character" w:customStyle="1" w:styleId="Heading7Char">
    <w:name w:val="Heading 7 Char"/>
    <w:basedOn w:val="DefaultParagraphFont"/>
    <w:link w:val="Heading7"/>
    <w:qFormat/>
    <w:rPr>
      <w:rFonts w:eastAsia="Calibri" w:cs="DejaVu Sans"/>
      <w:color w:val="595959" w:themeColor="dark1" w:themeTint="A6"/>
    </w:rPr>
  </w:style>
  <w:style w:type="character" w:customStyle="1" w:styleId="Heading8Char">
    <w:name w:val="Heading 8 Char"/>
    <w:basedOn w:val="DefaultParagraphFont"/>
    <w:link w:val="Heading8"/>
    <w:qFormat/>
    <w:rPr>
      <w:rFonts w:eastAsia="Calibri" w:cs="DejaVu Sans"/>
      <w:i/>
      <w:iCs/>
      <w:color w:val="272727" w:themeColor="dark1" w:themeTint="D8"/>
    </w:rPr>
  </w:style>
  <w:style w:type="character" w:customStyle="1" w:styleId="Heading9Char">
    <w:name w:val="Heading 9 Char"/>
    <w:basedOn w:val="DefaultParagraphFont"/>
    <w:link w:val="Heading9"/>
    <w:qFormat/>
    <w:rPr>
      <w:rFonts w:eastAsia="Calibri" w:cs="DejaVu Sans"/>
      <w:color w:val="272727" w:themeColor="dark1" w:themeTint="D8"/>
    </w:rPr>
  </w:style>
  <w:style w:type="character" w:customStyle="1" w:styleId="TitleChar">
    <w:name w:val="Title Char"/>
    <w:basedOn w:val="DefaultParagraphFont"/>
    <w:link w:val="Title"/>
    <w:qFormat/>
    <w:rPr>
      <w:rFonts w:ascii="Calibri Light" w:eastAsia="Calibri" w:hAnsi="Calibri Light" w:cs="DejaVu Sans"/>
      <w:spacing w:val="-10"/>
      <w:kern w:val="2"/>
      <w:sz w:val="56"/>
      <w:szCs w:val="56"/>
    </w:rPr>
  </w:style>
  <w:style w:type="character" w:customStyle="1" w:styleId="SubtitleChar">
    <w:name w:val="Subtitle Char"/>
    <w:basedOn w:val="DefaultParagraphFont"/>
    <w:link w:val="Subtitle"/>
    <w:qFormat/>
    <w:rPr>
      <w:rFonts w:eastAsia="Calibri" w:cs="DejaVu Sans"/>
      <w:color w:val="595959" w:themeColor="dark1" w:themeTint="A6"/>
      <w:spacing w:val="15"/>
      <w:sz w:val="28"/>
      <w:szCs w:val="28"/>
    </w:rPr>
  </w:style>
  <w:style w:type="character" w:customStyle="1" w:styleId="QuoteChar">
    <w:name w:val="Quote Char"/>
    <w:basedOn w:val="DefaultParagraphFont"/>
    <w:link w:val="Quote"/>
    <w:qFormat/>
    <w:rPr>
      <w:i/>
      <w:iCs/>
      <w:color w:val="404040" w:themeColor="dark1" w:themeTint="BF"/>
    </w:rPr>
  </w:style>
  <w:style w:type="character" w:styleId="IntenseEmphasis">
    <w:name w:val="Intense Emphasis"/>
    <w:basedOn w:val="DefaultParagraphFont"/>
    <w:qFormat/>
    <w:rPr>
      <w:i/>
      <w:iCs/>
      <w:color w:val="2F5496" w:themeColor="accent1" w:themeShade="BF"/>
    </w:rPr>
  </w:style>
  <w:style w:type="character" w:customStyle="1" w:styleId="IntenseQuoteChar">
    <w:name w:val="Intense Quote Char"/>
    <w:basedOn w:val="DefaultParagraphFont"/>
    <w:link w:val="IntenseQuote"/>
    <w:qFormat/>
    <w:rPr>
      <w:i/>
      <w:iCs/>
      <w:color w:val="2F5496" w:themeColor="accent1" w:themeShade="BF"/>
    </w:rPr>
  </w:style>
  <w:style w:type="character" w:styleId="IntenseReference">
    <w:name w:val="Intense Reference"/>
    <w:basedOn w:val="DefaultParagraphFont"/>
    <w:qFormat/>
    <w:rPr>
      <w:b/>
      <w:bCs/>
      <w:smallCaps/>
      <w:color w:val="2F5496" w:themeColor="accent1" w:themeShade="BF"/>
      <w:spacing w:val="5"/>
    </w:rPr>
  </w:style>
  <w:style w:type="character" w:styleId="Hyperlink">
    <w:name w:val="Hyperlink"/>
    <w:basedOn w:val="DefaultParagraphFont"/>
    <w:uiPriority w:val="99"/>
    <w:rPr>
      <w:color w:val="0563C1" w:themeColor="hyperlink"/>
      <w:u w:val="single"/>
    </w:rPr>
  </w:style>
  <w:style w:type="character" w:styleId="UnresolvedMention">
    <w:name w:val="Unresolved Mention"/>
    <w:basedOn w:val="DefaultParagraphFont"/>
    <w:qFormat/>
    <w:rPr>
      <w:color w:val="605E5C"/>
      <w:shd w:val="clear" w:color="auto" w:fill="E1DFDD"/>
    </w:rPr>
  </w:style>
  <w:style w:type="character" w:customStyle="1" w:styleId="HeaderChar">
    <w:name w:val="Header Char"/>
    <w:basedOn w:val="DefaultParagraphFont"/>
    <w:link w:val="Header"/>
    <w:qFormat/>
  </w:style>
  <w:style w:type="character" w:customStyle="1" w:styleId="FooterChar">
    <w:name w:val="Footer Char"/>
    <w:basedOn w:val="DefaultParagraphFont"/>
    <w:link w:val="Footer"/>
    <w:qFormat/>
  </w:style>
  <w:style w:type="character" w:customStyle="1" w:styleId="IndexLink">
    <w:name w:val="Index Link"/>
    <w:qFormat/>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Liberation Sans" w:eastAsia="Noto Sans CJK SC" w:hAnsi="Liberation Sans" w:cs="Noto Sans Devanagari"/>
      <w:sz w:val="28"/>
      <w:szCs w:val="28"/>
    </w:rPr>
  </w:style>
  <w:style w:type="paragraph" w:styleId="BodyText">
    <w:name w:val="Body Text"/>
    <w:basedOn w:val="Normal"/>
    <w:pPr>
      <w:spacing w:after="140" w:line="276" w:lineRule="auto"/>
    </w:pPr>
  </w:style>
  <w:style w:type="paragraph" w:styleId="List">
    <w:name w:val="List"/>
    <w:basedOn w:val="BodyText"/>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customStyle="1" w:styleId="Index">
    <w:name w:val="Index"/>
    <w:basedOn w:val="Normal"/>
    <w:qFormat/>
    <w:pPr>
      <w:suppressLineNumbers/>
    </w:pPr>
    <w:rPr>
      <w:rFonts w:cs="Noto Sans Devanagari"/>
    </w:rPr>
  </w:style>
  <w:style w:type="paragraph" w:styleId="Title">
    <w:name w:val="Title"/>
    <w:basedOn w:val="Normal"/>
    <w:next w:val="Normal"/>
    <w:link w:val="TitleChar"/>
    <w:uiPriority w:val="10"/>
    <w:qFormat/>
    <w:pPr>
      <w:spacing w:after="80" w:line="240" w:lineRule="auto"/>
      <w:contextualSpacing/>
    </w:pPr>
    <w:rPr>
      <w:rFonts w:ascii="Calibri Light" w:hAnsi="Calibri Light"/>
      <w:spacing w:val="-10"/>
      <w:kern w:val="2"/>
      <w:sz w:val="56"/>
      <w:szCs w:val="56"/>
    </w:rPr>
  </w:style>
  <w:style w:type="paragraph" w:styleId="Subtitle">
    <w:name w:val="Subtitle"/>
    <w:basedOn w:val="Normal"/>
    <w:next w:val="Normal"/>
    <w:link w:val="SubtitleChar"/>
    <w:uiPriority w:val="11"/>
    <w:qFormat/>
    <w:rPr>
      <w:color w:val="595959" w:themeColor="dark1" w:themeTint="A6"/>
      <w:spacing w:val="15"/>
      <w:sz w:val="28"/>
      <w:szCs w:val="28"/>
    </w:rPr>
  </w:style>
  <w:style w:type="paragraph" w:styleId="Quote">
    <w:name w:val="Quote"/>
    <w:basedOn w:val="Normal"/>
    <w:next w:val="Normal"/>
    <w:link w:val="QuoteChar"/>
    <w:qFormat/>
    <w:pPr>
      <w:spacing w:before="160"/>
      <w:jc w:val="center"/>
    </w:pPr>
    <w:rPr>
      <w:i/>
      <w:iCs/>
      <w:color w:val="404040" w:themeColor="dark1" w:themeTint="BF"/>
    </w:rPr>
  </w:style>
  <w:style w:type="paragraph" w:styleId="ListParagraph">
    <w:name w:val="List Paragraph"/>
    <w:basedOn w:val="Normal"/>
    <w:qFormat/>
    <w:pPr>
      <w:ind w:left="720"/>
      <w:contextualSpacing/>
    </w:pPr>
  </w:style>
  <w:style w:type="paragraph" w:styleId="IntenseQuote">
    <w:name w:val="Intense Quote"/>
    <w:basedOn w:val="Normal"/>
    <w:next w:val="Normal"/>
    <w:link w:val="IntenseQuoteChar"/>
    <w:qFormat/>
    <w:pPr>
      <w:pBdr>
        <w:top w:val="single" w:sz="4" w:space="10" w:color="2F5496"/>
        <w:bottom w:val="single" w:sz="4" w:space="10" w:color="2F5496"/>
      </w:pBdr>
      <w:spacing w:before="360" w:after="360"/>
      <w:ind w:left="864" w:right="864"/>
      <w:jc w:val="center"/>
    </w:pPr>
    <w:rPr>
      <w:i/>
      <w:iCs/>
      <w:color w:val="2F5496" w:themeColor="accent1" w:themeShade="BF"/>
    </w:rPr>
  </w:style>
  <w:style w:type="paragraph" w:styleId="IndexHeading">
    <w:name w:val="index heading"/>
    <w:basedOn w:val="Heading"/>
  </w:style>
  <w:style w:type="paragraph" w:styleId="TOCHeading">
    <w:name w:val="TOC Heading"/>
    <w:basedOn w:val="Heading1"/>
    <w:next w:val="Normal"/>
    <w:qFormat/>
    <w:pPr>
      <w:spacing w:before="240" w:after="0"/>
      <w:outlineLvl w:val="9"/>
    </w:pPr>
    <w:rPr>
      <w:sz w:val="32"/>
      <w:szCs w:val="32"/>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paragraph" w:customStyle="1" w:styleId="HeaderandFooter">
    <w:name w:val="Header and Footer"/>
    <w:basedOn w:val="Normal"/>
    <w:qFormat/>
  </w:style>
  <w:style w:type="paragraph" w:styleId="Header">
    <w:name w:val="header"/>
    <w:basedOn w:val="Normal"/>
    <w:link w:val="HeaderChar"/>
    <w:pPr>
      <w:tabs>
        <w:tab w:val="center" w:pos="4680"/>
        <w:tab w:val="right" w:pos="9360"/>
      </w:tabs>
      <w:spacing w:after="0" w:line="240" w:lineRule="auto"/>
    </w:pPr>
  </w:style>
  <w:style w:type="paragraph" w:styleId="Footer">
    <w:name w:val="footer"/>
    <w:basedOn w:val="Normal"/>
    <w:link w:val="FooterChar"/>
    <w:pPr>
      <w:tabs>
        <w:tab w:val="center" w:pos="4680"/>
        <w:tab w:val="right" w:pos="9360"/>
      </w:tabs>
      <w:spacing w:after="0" w:line="240" w:lineRule="auto"/>
    </w:pPr>
  </w:style>
  <w:style w:type="paragraph" w:customStyle="1" w:styleId="DefaultDrawingStyle">
    <w:name w:val="Default Drawing Style"/>
    <w:qFormat/>
    <w:pPr>
      <w:widowControl w:val="0"/>
      <w:spacing w:line="200" w:lineRule="atLeast"/>
    </w:pPr>
    <w:rPr>
      <w:rFonts w:ascii="Noto Sans Devanagari" w:eastAsia="Noto Sans" w:hAnsi="Noto Sans Devanagari" w:cs="Arial"/>
      <w:kern w:val="2"/>
      <w:sz w:val="36"/>
      <w:szCs w:val="24"/>
    </w:rPr>
  </w:style>
  <w:style w:type="paragraph" w:customStyle="1" w:styleId="Objectwithoutfill">
    <w:name w:val="Object without fill"/>
    <w:basedOn w:val="DefaultDrawingStyle"/>
    <w:qFormat/>
  </w:style>
  <w:style w:type="paragraph" w:customStyle="1" w:styleId="Objectwithnofillandnoline">
    <w:name w:val="Object with no fill and no line"/>
    <w:basedOn w:val="DefaultDrawingStyle"/>
    <w:qFormat/>
  </w:style>
  <w:style w:type="paragraph" w:customStyle="1" w:styleId="A4">
    <w:name w:val="A4"/>
    <w:basedOn w:val="Text"/>
    <w:qFormat/>
    <w:rPr>
      <w:rFonts w:ascii="Noto Sans" w:hAnsi="Noto Sans"/>
      <w:sz w:val="36"/>
    </w:rPr>
  </w:style>
  <w:style w:type="paragraph" w:customStyle="1" w:styleId="Text">
    <w:name w:val="Text"/>
    <w:basedOn w:val="Caption"/>
    <w:qFormat/>
  </w:style>
  <w:style w:type="paragraph" w:customStyle="1" w:styleId="TitleA4">
    <w:name w:val="Title A4"/>
    <w:basedOn w:val="A4"/>
    <w:qFormat/>
    <w:rPr>
      <w:sz w:val="87"/>
    </w:rPr>
  </w:style>
  <w:style w:type="paragraph" w:customStyle="1" w:styleId="HeadingA4">
    <w:name w:val="Heading A4"/>
    <w:basedOn w:val="A4"/>
    <w:qFormat/>
    <w:rPr>
      <w:sz w:val="48"/>
    </w:rPr>
  </w:style>
  <w:style w:type="paragraph" w:customStyle="1" w:styleId="TextA4">
    <w:name w:val="Text A4"/>
    <w:basedOn w:val="A4"/>
    <w:qFormat/>
  </w:style>
  <w:style w:type="paragraph" w:customStyle="1" w:styleId="A0">
    <w:name w:val="A0"/>
    <w:basedOn w:val="Text"/>
    <w:qFormat/>
    <w:rPr>
      <w:rFonts w:ascii="Noto Sans" w:hAnsi="Noto Sans"/>
      <w:sz w:val="95"/>
    </w:rPr>
  </w:style>
  <w:style w:type="paragraph" w:customStyle="1" w:styleId="TitleA0">
    <w:name w:val="Title A0"/>
    <w:basedOn w:val="A0"/>
    <w:qFormat/>
    <w:rPr>
      <w:sz w:val="191"/>
    </w:rPr>
  </w:style>
  <w:style w:type="paragraph" w:customStyle="1" w:styleId="HeadingA0">
    <w:name w:val="Heading A0"/>
    <w:basedOn w:val="A0"/>
    <w:qFormat/>
    <w:rPr>
      <w:sz w:val="143"/>
    </w:rPr>
  </w:style>
  <w:style w:type="paragraph" w:customStyle="1" w:styleId="TextA0">
    <w:name w:val="Text A0"/>
    <w:basedOn w:val="A0"/>
    <w:qFormat/>
  </w:style>
  <w:style w:type="paragraph" w:customStyle="1" w:styleId="Graphic">
    <w:name w:val="Graphic"/>
    <w:qFormat/>
    <w:pPr>
      <w:widowControl w:val="0"/>
    </w:pPr>
    <w:rPr>
      <w:rFonts w:ascii="Liberation Sans" w:eastAsia="Noto Sans" w:hAnsi="Liberation Sans" w:cs="Arial"/>
      <w:sz w:val="36"/>
      <w:szCs w:val="24"/>
    </w:rPr>
  </w:style>
  <w:style w:type="paragraph" w:customStyle="1" w:styleId="Shapes">
    <w:name w:val="Shapes"/>
    <w:basedOn w:val="Graphic"/>
    <w:qFormat/>
    <w:rPr>
      <w:b/>
      <w:sz w:val="28"/>
    </w:rPr>
  </w:style>
  <w:style w:type="paragraph" w:customStyle="1" w:styleId="Filled">
    <w:name w:val="Filled"/>
    <w:basedOn w:val="Shapes"/>
    <w:qFormat/>
  </w:style>
  <w:style w:type="paragraph" w:customStyle="1" w:styleId="FilledBlue">
    <w:name w:val="Filled Blue"/>
    <w:basedOn w:val="Filled"/>
    <w:qFormat/>
    <w:rPr>
      <w:color w:val="FFFFFF"/>
    </w:rPr>
  </w:style>
  <w:style w:type="paragraph" w:customStyle="1" w:styleId="FilledGreen">
    <w:name w:val="Filled Green"/>
    <w:basedOn w:val="Filled"/>
    <w:qFormat/>
    <w:rPr>
      <w:color w:val="FFFFFF"/>
    </w:rPr>
  </w:style>
  <w:style w:type="paragraph" w:customStyle="1" w:styleId="FilledRed">
    <w:name w:val="Filled Red"/>
    <w:basedOn w:val="Filled"/>
    <w:qFormat/>
    <w:rPr>
      <w:color w:val="FFFFFF"/>
    </w:rPr>
  </w:style>
  <w:style w:type="paragraph" w:customStyle="1" w:styleId="FilledYellow">
    <w:name w:val="Filled Yellow"/>
    <w:basedOn w:val="Filled"/>
    <w:qFormat/>
    <w:rPr>
      <w:color w:val="FFFFFF"/>
    </w:rPr>
  </w:style>
  <w:style w:type="paragraph" w:customStyle="1" w:styleId="Outlined">
    <w:name w:val="Outlined"/>
    <w:basedOn w:val="Shapes"/>
    <w:qFormat/>
  </w:style>
  <w:style w:type="paragraph" w:customStyle="1" w:styleId="OutlinedBlue">
    <w:name w:val="Outlined Blue"/>
    <w:basedOn w:val="Outlined"/>
    <w:qFormat/>
    <w:rPr>
      <w:color w:val="355269"/>
    </w:rPr>
  </w:style>
  <w:style w:type="paragraph" w:customStyle="1" w:styleId="OutlinedGreen">
    <w:name w:val="Outlined Green"/>
    <w:basedOn w:val="Outlined"/>
    <w:qFormat/>
    <w:rPr>
      <w:color w:val="127622"/>
    </w:rPr>
  </w:style>
  <w:style w:type="paragraph" w:customStyle="1" w:styleId="OutlinedRed">
    <w:name w:val="Outlined Red"/>
    <w:basedOn w:val="Outlined"/>
    <w:qFormat/>
    <w:rPr>
      <w:color w:val="C9211E"/>
    </w:rPr>
  </w:style>
  <w:style w:type="paragraph" w:customStyle="1" w:styleId="OutlinedYellow">
    <w:name w:val="Outlined Yellow"/>
    <w:basedOn w:val="Outlined"/>
    <w:qFormat/>
    <w:rPr>
      <w:color w:val="B47804"/>
    </w:rPr>
  </w:style>
  <w:style w:type="paragraph" w:customStyle="1" w:styleId="Lines">
    <w:name w:val="Lines"/>
    <w:basedOn w:val="Graphic"/>
    <w:qFormat/>
  </w:style>
  <w:style w:type="paragraph" w:customStyle="1" w:styleId="ArrowLine">
    <w:name w:val="Arrow Line"/>
    <w:basedOn w:val="Lines"/>
    <w:qFormat/>
  </w:style>
  <w:style w:type="paragraph" w:customStyle="1" w:styleId="DashedLine">
    <w:name w:val="Dashed Line"/>
    <w:basedOn w:val="Lines"/>
    <w:qFormat/>
  </w:style>
  <w:style w:type="paragraph" w:customStyle="1" w:styleId="TitleSlideLTGliederung1">
    <w:name w:val="Title Slide~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TitleSlideLTGliederung2">
    <w:name w:val="Title Slide~LT~Gliederung 2"/>
    <w:basedOn w:val="TitleSlideLTGliederung1"/>
    <w:qFormat/>
    <w:pPr>
      <w:spacing w:before="227"/>
    </w:pPr>
    <w:rPr>
      <w:sz w:val="40"/>
    </w:rPr>
  </w:style>
  <w:style w:type="paragraph" w:customStyle="1" w:styleId="TitleSlideLTGliederung3">
    <w:name w:val="Title Slide~LT~Gliederung 3"/>
    <w:basedOn w:val="TitleSlideLTGliederung2"/>
    <w:qFormat/>
    <w:pPr>
      <w:spacing w:before="170"/>
    </w:pPr>
    <w:rPr>
      <w:sz w:val="36"/>
    </w:rPr>
  </w:style>
  <w:style w:type="paragraph" w:customStyle="1" w:styleId="TitleSlideLTGliederung4">
    <w:name w:val="Title Slide~LT~Gliederung 4"/>
    <w:basedOn w:val="TitleSlideLTGliederung3"/>
    <w:qFormat/>
    <w:pPr>
      <w:spacing w:before="113"/>
    </w:pPr>
  </w:style>
  <w:style w:type="paragraph" w:customStyle="1" w:styleId="TitleSlideLTGliederung5">
    <w:name w:val="Title Slide~LT~Gliederung 5"/>
    <w:basedOn w:val="TitleSlideLTGliederung4"/>
    <w:qFormat/>
    <w:pPr>
      <w:spacing w:before="57"/>
    </w:pPr>
    <w:rPr>
      <w:sz w:val="40"/>
    </w:rPr>
  </w:style>
  <w:style w:type="paragraph" w:customStyle="1" w:styleId="TitleSlideLTGliederung6">
    <w:name w:val="Title Slide~LT~Gliederung 6"/>
    <w:basedOn w:val="TitleSlideLTGliederung5"/>
    <w:qFormat/>
  </w:style>
  <w:style w:type="paragraph" w:customStyle="1" w:styleId="TitleSlideLTGliederung7">
    <w:name w:val="Title Slide~LT~Gliederung 7"/>
    <w:basedOn w:val="TitleSlideLTGliederung6"/>
    <w:qFormat/>
  </w:style>
  <w:style w:type="paragraph" w:customStyle="1" w:styleId="TitleSlideLTGliederung8">
    <w:name w:val="Title Slide~LT~Gliederung 8"/>
    <w:basedOn w:val="TitleSlideLTGliederung7"/>
    <w:qFormat/>
  </w:style>
  <w:style w:type="paragraph" w:customStyle="1" w:styleId="TitleSlideLTGliederung9">
    <w:name w:val="Title Slide~LT~Gliederung 9"/>
    <w:basedOn w:val="TitleSlideLTGliederung8"/>
    <w:qFormat/>
  </w:style>
  <w:style w:type="paragraph" w:customStyle="1" w:styleId="TitleSlideLTTitel">
    <w:name w:val="Title Slide~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TitleSlideLTUntertitel">
    <w:name w:val="Title Slide~LT~Untertitel"/>
    <w:qFormat/>
    <w:pPr>
      <w:widowControl w:val="0"/>
      <w:jc w:val="center"/>
    </w:pPr>
    <w:rPr>
      <w:rFonts w:ascii="Noto Sans Devanagari" w:eastAsia="Noto Sans" w:hAnsi="Noto Sans Devanagari" w:cs="Arial"/>
      <w:kern w:val="2"/>
      <w:sz w:val="64"/>
      <w:szCs w:val="24"/>
    </w:rPr>
  </w:style>
  <w:style w:type="paragraph" w:customStyle="1" w:styleId="TitleSlideLTNotizen">
    <w:name w:val="Title Slide~LT~Notizen"/>
    <w:qFormat/>
    <w:pPr>
      <w:widowControl w:val="0"/>
      <w:ind w:left="340" w:hanging="340"/>
    </w:pPr>
    <w:rPr>
      <w:rFonts w:ascii="Noto Sans Devanagari" w:eastAsia="Noto Sans" w:hAnsi="Noto Sans Devanagari" w:cs="Arial"/>
      <w:kern w:val="2"/>
      <w:sz w:val="40"/>
      <w:szCs w:val="24"/>
    </w:rPr>
  </w:style>
  <w:style w:type="paragraph" w:customStyle="1" w:styleId="TitleSlideLTHintergrundobjekte">
    <w:name w:val="Title Slide~LT~Hintergrundobjekte"/>
    <w:qFormat/>
    <w:pPr>
      <w:widowControl w:val="0"/>
    </w:pPr>
    <w:rPr>
      <w:rFonts w:ascii="Liberation Serif" w:eastAsia="Noto Sans" w:hAnsi="Liberation Serif" w:cs="Arial"/>
      <w:kern w:val="2"/>
      <w:sz w:val="24"/>
      <w:szCs w:val="24"/>
    </w:rPr>
  </w:style>
  <w:style w:type="paragraph" w:customStyle="1" w:styleId="TitleSlideLTHintergrund">
    <w:name w:val="Title Slide~LT~Hintergrund"/>
    <w:qFormat/>
    <w:pPr>
      <w:widowControl w:val="0"/>
    </w:pPr>
    <w:rPr>
      <w:rFonts w:ascii="Liberation Serif" w:eastAsia="Noto Sans" w:hAnsi="Liberation Serif" w:cs="Arial"/>
      <w:kern w:val="2"/>
      <w:sz w:val="24"/>
      <w:szCs w:val="24"/>
    </w:rPr>
  </w:style>
  <w:style w:type="paragraph" w:customStyle="1" w:styleId="default">
    <w:name w:val="default"/>
    <w:qFormat/>
    <w:pPr>
      <w:widowControl w:val="0"/>
    </w:pPr>
    <w:rPr>
      <w:rFonts w:ascii="Noto Sans Devanagari" w:eastAsia="Noto Sans" w:hAnsi="Noto Sans Devanagari" w:cs="Arial"/>
      <w:kern w:val="2"/>
      <w:sz w:val="36"/>
      <w:szCs w:val="24"/>
    </w:rPr>
  </w:style>
  <w:style w:type="paragraph" w:customStyle="1" w:styleId="bg-none">
    <w:name w:val="bg-none"/>
    <w:basedOn w:val="default"/>
    <w:qFormat/>
  </w:style>
  <w:style w:type="paragraph" w:customStyle="1" w:styleId="gray">
    <w:name w:val="gray"/>
    <w:basedOn w:val="default"/>
    <w:qFormat/>
  </w:style>
  <w:style w:type="paragraph" w:customStyle="1" w:styleId="dark-gray">
    <w:name w:val="dark-gray"/>
    <w:basedOn w:val="default"/>
    <w:qFormat/>
  </w:style>
  <w:style w:type="paragraph" w:customStyle="1" w:styleId="black">
    <w:name w:val="black"/>
    <w:basedOn w:val="default"/>
    <w:qFormat/>
    <w:rPr>
      <w:color w:val="FFFFFF"/>
    </w:rPr>
  </w:style>
  <w:style w:type="paragraph" w:customStyle="1" w:styleId="black-with-border">
    <w:name w:val="black-with-border"/>
    <w:basedOn w:val="default"/>
    <w:qFormat/>
    <w:rPr>
      <w:color w:val="FFFFFF"/>
    </w:rPr>
  </w:style>
  <w:style w:type="paragraph" w:customStyle="1" w:styleId="gray-with-border">
    <w:name w:val="gray-with-border"/>
    <w:basedOn w:val="default"/>
    <w:qFormat/>
  </w:style>
  <w:style w:type="paragraph" w:customStyle="1" w:styleId="white">
    <w:name w:val="white"/>
    <w:basedOn w:val="default"/>
    <w:qFormat/>
  </w:style>
  <w:style w:type="paragraph" w:customStyle="1" w:styleId="white-with-border">
    <w:name w:val="white-with-border"/>
    <w:basedOn w:val="default"/>
    <w:qFormat/>
  </w:style>
  <w:style w:type="paragraph" w:customStyle="1" w:styleId="blue-title">
    <w:name w:val="blue-title"/>
    <w:basedOn w:val="default"/>
    <w:qFormat/>
    <w:rPr>
      <w:color w:val="FFFFFF"/>
    </w:rPr>
  </w:style>
  <w:style w:type="paragraph" w:customStyle="1" w:styleId="blue-title-with-border">
    <w:name w:val="blue-title-with-border"/>
    <w:basedOn w:val="default"/>
    <w:qFormat/>
    <w:rPr>
      <w:color w:val="FFFFFF"/>
    </w:rPr>
  </w:style>
  <w:style w:type="paragraph" w:customStyle="1" w:styleId="blue-banded">
    <w:name w:val="blue-banded"/>
    <w:basedOn w:val="default"/>
    <w:qFormat/>
  </w:style>
  <w:style w:type="paragraph" w:customStyle="1" w:styleId="blue-normal">
    <w:name w:val="blue-normal"/>
    <w:basedOn w:val="default"/>
    <w:qFormat/>
  </w:style>
  <w:style w:type="paragraph" w:customStyle="1" w:styleId="orange-title">
    <w:name w:val="orange-title"/>
    <w:basedOn w:val="default"/>
    <w:qFormat/>
    <w:rPr>
      <w:color w:val="FFFFFF"/>
    </w:rPr>
  </w:style>
  <w:style w:type="paragraph" w:customStyle="1" w:styleId="orange-title-with-border">
    <w:name w:val="orange-title-with-border"/>
    <w:basedOn w:val="default"/>
    <w:qFormat/>
    <w:rPr>
      <w:color w:val="FFFFFF"/>
    </w:rPr>
  </w:style>
  <w:style w:type="paragraph" w:customStyle="1" w:styleId="orange-banded">
    <w:name w:val="orange-banded"/>
    <w:basedOn w:val="default"/>
    <w:qFormat/>
  </w:style>
  <w:style w:type="paragraph" w:customStyle="1" w:styleId="orange-normal">
    <w:name w:val="orange-normal"/>
    <w:basedOn w:val="default"/>
    <w:qFormat/>
  </w:style>
  <w:style w:type="paragraph" w:customStyle="1" w:styleId="teal-title">
    <w:name w:val="teal-title"/>
    <w:basedOn w:val="default"/>
    <w:qFormat/>
    <w:rPr>
      <w:color w:val="FFFFFF"/>
    </w:rPr>
  </w:style>
  <w:style w:type="paragraph" w:customStyle="1" w:styleId="teal-title-with-border">
    <w:name w:val="teal-title-with-border"/>
    <w:basedOn w:val="default"/>
    <w:qFormat/>
    <w:rPr>
      <w:color w:val="FFFFFF"/>
    </w:rPr>
  </w:style>
  <w:style w:type="paragraph" w:customStyle="1" w:styleId="teal-banded">
    <w:name w:val="teal-banded"/>
    <w:basedOn w:val="default"/>
    <w:qFormat/>
  </w:style>
  <w:style w:type="paragraph" w:customStyle="1" w:styleId="teal-normal">
    <w:name w:val="teal-normal"/>
    <w:basedOn w:val="default"/>
    <w:qFormat/>
  </w:style>
  <w:style w:type="paragraph" w:customStyle="1" w:styleId="magenta-title">
    <w:name w:val="magenta-title"/>
    <w:basedOn w:val="default"/>
    <w:qFormat/>
    <w:rPr>
      <w:color w:val="FFFFFF"/>
    </w:rPr>
  </w:style>
  <w:style w:type="paragraph" w:customStyle="1" w:styleId="magenta-title-with-border">
    <w:name w:val="magenta-title-with-border"/>
    <w:basedOn w:val="default"/>
    <w:qFormat/>
    <w:rPr>
      <w:color w:val="FFFFFF"/>
    </w:rPr>
  </w:style>
  <w:style w:type="paragraph" w:customStyle="1" w:styleId="magenta-banded">
    <w:name w:val="magenta-banded"/>
    <w:basedOn w:val="default"/>
    <w:qFormat/>
  </w:style>
  <w:style w:type="paragraph" w:customStyle="1" w:styleId="magenta-normal">
    <w:name w:val="magenta-normal"/>
    <w:basedOn w:val="default"/>
    <w:qFormat/>
  </w:style>
  <w:style w:type="paragraph" w:customStyle="1" w:styleId="Backgroundobjects">
    <w:name w:val="Background objects"/>
    <w:qFormat/>
    <w:pPr>
      <w:widowControl w:val="0"/>
    </w:pPr>
    <w:rPr>
      <w:rFonts w:ascii="Liberation Serif" w:eastAsia="Noto Sans" w:hAnsi="Liberation Serif" w:cs="Arial"/>
      <w:kern w:val="2"/>
      <w:sz w:val="24"/>
      <w:szCs w:val="24"/>
    </w:rPr>
  </w:style>
  <w:style w:type="paragraph" w:customStyle="1" w:styleId="Background">
    <w:name w:val="Background"/>
    <w:qFormat/>
    <w:pPr>
      <w:widowControl w:val="0"/>
    </w:pPr>
    <w:rPr>
      <w:rFonts w:ascii="Liberation Serif" w:eastAsia="Noto Sans" w:hAnsi="Liberation Serif" w:cs="Arial"/>
      <w:kern w:val="2"/>
      <w:sz w:val="24"/>
      <w:szCs w:val="24"/>
    </w:rPr>
  </w:style>
  <w:style w:type="paragraph" w:customStyle="1" w:styleId="Notes">
    <w:name w:val="Notes"/>
    <w:qFormat/>
    <w:pPr>
      <w:widowControl w:val="0"/>
      <w:ind w:left="340" w:hanging="340"/>
    </w:pPr>
    <w:rPr>
      <w:rFonts w:ascii="Noto Sans Devanagari" w:eastAsia="Noto Sans" w:hAnsi="Noto Sans Devanagari" w:cs="Arial"/>
      <w:kern w:val="2"/>
      <w:sz w:val="40"/>
      <w:szCs w:val="24"/>
    </w:rPr>
  </w:style>
  <w:style w:type="paragraph" w:customStyle="1" w:styleId="Outline1">
    <w:name w:val="Outline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Outline2">
    <w:name w:val="Outline 2"/>
    <w:basedOn w:val="Outline1"/>
    <w:qFormat/>
    <w:pPr>
      <w:spacing w:before="227"/>
    </w:pPr>
    <w:rPr>
      <w:sz w:val="40"/>
    </w:rPr>
  </w:style>
  <w:style w:type="paragraph" w:customStyle="1" w:styleId="Outline3">
    <w:name w:val="Outline 3"/>
    <w:basedOn w:val="Outline2"/>
    <w:qFormat/>
    <w:pPr>
      <w:spacing w:before="170"/>
    </w:pPr>
    <w:rPr>
      <w:sz w:val="36"/>
    </w:rPr>
  </w:style>
  <w:style w:type="paragraph" w:customStyle="1" w:styleId="Outline4">
    <w:name w:val="Outline 4"/>
    <w:basedOn w:val="Outline3"/>
    <w:qFormat/>
    <w:pPr>
      <w:spacing w:before="113"/>
    </w:pPr>
  </w:style>
  <w:style w:type="paragraph" w:customStyle="1" w:styleId="Outline5">
    <w:name w:val="Outline 5"/>
    <w:basedOn w:val="Outline4"/>
    <w:qFormat/>
    <w:pPr>
      <w:spacing w:before="57"/>
    </w:pPr>
    <w:rPr>
      <w:sz w:val="40"/>
    </w:r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TitleandVerticalTextLTGliederung1">
    <w:name w:val="Title and Vertical Text~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TitleandVerticalTextLTGliederung2">
    <w:name w:val="Title and Vertical Text~LT~Gliederung 2"/>
    <w:basedOn w:val="TitleandVerticalTextLTGliederung1"/>
    <w:qFormat/>
    <w:pPr>
      <w:spacing w:before="227"/>
    </w:pPr>
    <w:rPr>
      <w:sz w:val="40"/>
    </w:rPr>
  </w:style>
  <w:style w:type="paragraph" w:customStyle="1" w:styleId="TitleandVerticalTextLTGliederung3">
    <w:name w:val="Title and Vertical Text~LT~Gliederung 3"/>
    <w:basedOn w:val="TitleandVerticalTextLTGliederung2"/>
    <w:qFormat/>
    <w:pPr>
      <w:spacing w:before="170"/>
    </w:pPr>
    <w:rPr>
      <w:sz w:val="36"/>
    </w:rPr>
  </w:style>
  <w:style w:type="paragraph" w:customStyle="1" w:styleId="TitleandVerticalTextLTGliederung4">
    <w:name w:val="Title and Vertical Text~LT~Gliederung 4"/>
    <w:basedOn w:val="TitleandVerticalTextLTGliederung3"/>
    <w:qFormat/>
    <w:pPr>
      <w:spacing w:before="113"/>
    </w:pPr>
  </w:style>
  <w:style w:type="paragraph" w:customStyle="1" w:styleId="TitleandVerticalTextLTGliederung5">
    <w:name w:val="Title and Vertical Text~LT~Gliederung 5"/>
    <w:basedOn w:val="TitleandVerticalTextLTGliederung4"/>
    <w:qFormat/>
    <w:pPr>
      <w:spacing w:before="57"/>
    </w:pPr>
    <w:rPr>
      <w:sz w:val="40"/>
    </w:rPr>
  </w:style>
  <w:style w:type="paragraph" w:customStyle="1" w:styleId="TitleandVerticalTextLTGliederung6">
    <w:name w:val="Title and Vertical Text~LT~Gliederung 6"/>
    <w:basedOn w:val="TitleandVerticalTextLTGliederung5"/>
    <w:qFormat/>
  </w:style>
  <w:style w:type="paragraph" w:customStyle="1" w:styleId="TitleandVerticalTextLTGliederung7">
    <w:name w:val="Title and Vertical Text~LT~Gliederung 7"/>
    <w:basedOn w:val="TitleandVerticalTextLTGliederung6"/>
    <w:qFormat/>
  </w:style>
  <w:style w:type="paragraph" w:customStyle="1" w:styleId="TitleandVerticalTextLTGliederung8">
    <w:name w:val="Title and Vertical Text~LT~Gliederung 8"/>
    <w:basedOn w:val="TitleandVerticalTextLTGliederung7"/>
    <w:qFormat/>
  </w:style>
  <w:style w:type="paragraph" w:customStyle="1" w:styleId="TitleandVerticalTextLTGliederung9">
    <w:name w:val="Title and Vertical Text~LT~Gliederung 9"/>
    <w:basedOn w:val="TitleandVerticalTextLTGliederung8"/>
    <w:qFormat/>
  </w:style>
  <w:style w:type="paragraph" w:customStyle="1" w:styleId="TitleandVerticalTextLTTitel">
    <w:name w:val="Title and Vertical Text~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TitleandVerticalTextLTUntertitel">
    <w:name w:val="Title and Vertical Text~LT~Untertitel"/>
    <w:qFormat/>
    <w:pPr>
      <w:widowControl w:val="0"/>
      <w:jc w:val="center"/>
    </w:pPr>
    <w:rPr>
      <w:rFonts w:ascii="Noto Sans Devanagari" w:eastAsia="Noto Sans" w:hAnsi="Noto Sans Devanagari" w:cs="Arial"/>
      <w:kern w:val="2"/>
      <w:sz w:val="64"/>
      <w:szCs w:val="24"/>
    </w:rPr>
  </w:style>
  <w:style w:type="paragraph" w:customStyle="1" w:styleId="TitleandVerticalTextLTNotizen">
    <w:name w:val="Title and Vertical Text~LT~Notizen"/>
    <w:qFormat/>
    <w:pPr>
      <w:widowControl w:val="0"/>
      <w:ind w:left="340" w:hanging="340"/>
    </w:pPr>
    <w:rPr>
      <w:rFonts w:ascii="Noto Sans Devanagari" w:eastAsia="Noto Sans" w:hAnsi="Noto Sans Devanagari" w:cs="Arial"/>
      <w:kern w:val="2"/>
      <w:sz w:val="40"/>
      <w:szCs w:val="24"/>
    </w:rPr>
  </w:style>
  <w:style w:type="paragraph" w:customStyle="1" w:styleId="TitleandVerticalTextLTHintergrundobjekte">
    <w:name w:val="Title and Vertical Text~LT~Hintergrundobjekte"/>
    <w:qFormat/>
    <w:pPr>
      <w:widowControl w:val="0"/>
    </w:pPr>
    <w:rPr>
      <w:rFonts w:ascii="Liberation Serif" w:eastAsia="Noto Sans" w:hAnsi="Liberation Serif" w:cs="Arial"/>
      <w:kern w:val="2"/>
      <w:sz w:val="24"/>
      <w:szCs w:val="24"/>
    </w:rPr>
  </w:style>
  <w:style w:type="paragraph" w:customStyle="1" w:styleId="TitleandVerticalTextLTHintergrund">
    <w:name w:val="Title and Vertical Text~LT~Hintergrund"/>
    <w:qFormat/>
    <w:pPr>
      <w:widowControl w:val="0"/>
    </w:pPr>
    <w:rPr>
      <w:rFonts w:ascii="Liberation Serif" w:eastAsia="Noto Sans" w:hAnsi="Liberation Serif" w:cs="Arial"/>
      <w:kern w:val="2"/>
      <w:sz w:val="24"/>
      <w:szCs w:val="24"/>
    </w:rPr>
  </w:style>
  <w:style w:type="paragraph" w:customStyle="1" w:styleId="VerticalTitleandTextLTGliederung1">
    <w:name w:val="Vertical Title and Text~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VerticalTitleandTextLTGliederung2">
    <w:name w:val="Vertical Title and Text~LT~Gliederung 2"/>
    <w:basedOn w:val="VerticalTitleandTextLTGliederung1"/>
    <w:qFormat/>
    <w:pPr>
      <w:spacing w:before="227"/>
    </w:pPr>
    <w:rPr>
      <w:sz w:val="40"/>
    </w:rPr>
  </w:style>
  <w:style w:type="paragraph" w:customStyle="1" w:styleId="VerticalTitleandTextLTGliederung3">
    <w:name w:val="Vertical Title and Text~LT~Gliederung 3"/>
    <w:basedOn w:val="VerticalTitleandTextLTGliederung2"/>
    <w:qFormat/>
    <w:pPr>
      <w:spacing w:before="170"/>
    </w:pPr>
    <w:rPr>
      <w:sz w:val="36"/>
    </w:rPr>
  </w:style>
  <w:style w:type="paragraph" w:customStyle="1" w:styleId="VerticalTitleandTextLTGliederung4">
    <w:name w:val="Vertical Title and Text~LT~Gliederung 4"/>
    <w:basedOn w:val="VerticalTitleandTextLTGliederung3"/>
    <w:qFormat/>
    <w:pPr>
      <w:spacing w:before="113"/>
    </w:pPr>
  </w:style>
  <w:style w:type="paragraph" w:customStyle="1" w:styleId="VerticalTitleandTextLTGliederung5">
    <w:name w:val="Vertical Title and Text~LT~Gliederung 5"/>
    <w:basedOn w:val="VerticalTitleandTextLTGliederung4"/>
    <w:qFormat/>
    <w:pPr>
      <w:spacing w:before="57"/>
    </w:pPr>
    <w:rPr>
      <w:sz w:val="40"/>
    </w:rPr>
  </w:style>
  <w:style w:type="paragraph" w:customStyle="1" w:styleId="VerticalTitleandTextLTGliederung6">
    <w:name w:val="Vertical Title and Text~LT~Gliederung 6"/>
    <w:basedOn w:val="VerticalTitleandTextLTGliederung5"/>
    <w:qFormat/>
  </w:style>
  <w:style w:type="paragraph" w:customStyle="1" w:styleId="VerticalTitleandTextLTGliederung7">
    <w:name w:val="Vertical Title and Text~LT~Gliederung 7"/>
    <w:basedOn w:val="VerticalTitleandTextLTGliederung6"/>
    <w:qFormat/>
  </w:style>
  <w:style w:type="paragraph" w:customStyle="1" w:styleId="VerticalTitleandTextLTGliederung8">
    <w:name w:val="Vertical Title and Text~LT~Gliederung 8"/>
    <w:basedOn w:val="VerticalTitleandTextLTGliederung7"/>
    <w:qFormat/>
  </w:style>
  <w:style w:type="paragraph" w:customStyle="1" w:styleId="VerticalTitleandTextLTGliederung9">
    <w:name w:val="Vertical Title and Text~LT~Gliederung 9"/>
    <w:basedOn w:val="VerticalTitleandTextLTGliederung8"/>
    <w:qFormat/>
  </w:style>
  <w:style w:type="paragraph" w:customStyle="1" w:styleId="VerticalTitleandTextLTTitel">
    <w:name w:val="Vertical Title and Text~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VerticalTitleandTextLTUntertitel">
    <w:name w:val="Vertical Title and Text~LT~Untertitel"/>
    <w:qFormat/>
    <w:pPr>
      <w:widowControl w:val="0"/>
      <w:jc w:val="center"/>
    </w:pPr>
    <w:rPr>
      <w:rFonts w:ascii="Noto Sans Devanagari" w:eastAsia="Noto Sans" w:hAnsi="Noto Sans Devanagari" w:cs="Arial"/>
      <w:kern w:val="2"/>
      <w:sz w:val="64"/>
      <w:szCs w:val="24"/>
    </w:rPr>
  </w:style>
  <w:style w:type="paragraph" w:customStyle="1" w:styleId="VerticalTitleandTextLTNotizen">
    <w:name w:val="Vertical Title and Text~LT~Notizen"/>
    <w:qFormat/>
    <w:pPr>
      <w:widowControl w:val="0"/>
      <w:ind w:left="340" w:hanging="340"/>
    </w:pPr>
    <w:rPr>
      <w:rFonts w:ascii="Noto Sans Devanagari" w:eastAsia="Noto Sans" w:hAnsi="Noto Sans Devanagari" w:cs="Arial"/>
      <w:kern w:val="2"/>
      <w:sz w:val="40"/>
      <w:szCs w:val="24"/>
    </w:rPr>
  </w:style>
  <w:style w:type="paragraph" w:customStyle="1" w:styleId="VerticalTitleandTextLTHintergrundobjekte">
    <w:name w:val="Vertical Title and Text~LT~Hintergrundobjekte"/>
    <w:qFormat/>
    <w:pPr>
      <w:widowControl w:val="0"/>
    </w:pPr>
    <w:rPr>
      <w:rFonts w:ascii="Liberation Serif" w:eastAsia="Noto Sans" w:hAnsi="Liberation Serif" w:cs="Arial"/>
      <w:kern w:val="2"/>
      <w:sz w:val="24"/>
      <w:szCs w:val="24"/>
    </w:rPr>
  </w:style>
  <w:style w:type="paragraph" w:customStyle="1" w:styleId="VerticalTitleandTextLTHintergrund">
    <w:name w:val="Vertical Title and Text~LT~Hintergrund"/>
    <w:qFormat/>
    <w:pPr>
      <w:widowControl w:val="0"/>
    </w:pPr>
    <w:rPr>
      <w:rFonts w:ascii="Liberation Serif" w:eastAsia="Noto Sans" w:hAnsi="Liberation Serif" w:cs="Arial"/>
      <w:kern w:val="2"/>
      <w:sz w:val="24"/>
      <w:szCs w:val="24"/>
    </w:rPr>
  </w:style>
  <w:style w:type="paragraph" w:customStyle="1" w:styleId="TitleandContentLTGliederung1">
    <w:name w:val="Title and Content~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TitleandContentLTGliederung2">
    <w:name w:val="Title and Content~LT~Gliederung 2"/>
    <w:basedOn w:val="TitleandContentLTGliederung1"/>
    <w:qFormat/>
    <w:pPr>
      <w:spacing w:before="227"/>
    </w:pPr>
    <w:rPr>
      <w:sz w:val="40"/>
    </w:rPr>
  </w:style>
  <w:style w:type="paragraph" w:customStyle="1" w:styleId="TitleandContentLTGliederung3">
    <w:name w:val="Title and Content~LT~Gliederung 3"/>
    <w:basedOn w:val="TitleandContentLTGliederung2"/>
    <w:qFormat/>
    <w:pPr>
      <w:spacing w:before="170"/>
    </w:pPr>
    <w:rPr>
      <w:sz w:val="36"/>
    </w:rPr>
  </w:style>
  <w:style w:type="paragraph" w:customStyle="1" w:styleId="TitleandContentLTGliederung4">
    <w:name w:val="Title and Content~LT~Gliederung 4"/>
    <w:basedOn w:val="TitleandContentLTGliederung3"/>
    <w:qFormat/>
    <w:pPr>
      <w:spacing w:before="113"/>
    </w:pPr>
  </w:style>
  <w:style w:type="paragraph" w:customStyle="1" w:styleId="TitleandContentLTGliederung5">
    <w:name w:val="Title and Content~LT~Gliederung 5"/>
    <w:basedOn w:val="TitleandContentLTGliederung4"/>
    <w:qFormat/>
    <w:pPr>
      <w:spacing w:before="57"/>
    </w:pPr>
    <w:rPr>
      <w:sz w:val="40"/>
    </w:rPr>
  </w:style>
  <w:style w:type="paragraph" w:customStyle="1" w:styleId="TitleandContentLTGliederung6">
    <w:name w:val="Title and Content~LT~Gliederung 6"/>
    <w:basedOn w:val="TitleandContentLTGliederung5"/>
    <w:qFormat/>
  </w:style>
  <w:style w:type="paragraph" w:customStyle="1" w:styleId="TitleandContentLTGliederung7">
    <w:name w:val="Title and Content~LT~Gliederung 7"/>
    <w:basedOn w:val="TitleandContentLTGliederung6"/>
    <w:qFormat/>
  </w:style>
  <w:style w:type="paragraph" w:customStyle="1" w:styleId="TitleandContentLTGliederung8">
    <w:name w:val="Title and Content~LT~Gliederung 8"/>
    <w:basedOn w:val="TitleandContentLTGliederung7"/>
    <w:qFormat/>
  </w:style>
  <w:style w:type="paragraph" w:customStyle="1" w:styleId="TitleandContentLTGliederung9">
    <w:name w:val="Title and Content~LT~Gliederung 9"/>
    <w:basedOn w:val="TitleandContentLTGliederung8"/>
    <w:qFormat/>
  </w:style>
  <w:style w:type="paragraph" w:customStyle="1" w:styleId="TitleandContentLTTitel">
    <w:name w:val="Title and Content~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TitleandContentLTUntertitel">
    <w:name w:val="Title and Content~LT~Untertitel"/>
    <w:qFormat/>
    <w:pPr>
      <w:widowControl w:val="0"/>
      <w:jc w:val="center"/>
    </w:pPr>
    <w:rPr>
      <w:rFonts w:ascii="Noto Sans Devanagari" w:eastAsia="Noto Sans" w:hAnsi="Noto Sans Devanagari" w:cs="Arial"/>
      <w:kern w:val="2"/>
      <w:sz w:val="64"/>
      <w:szCs w:val="24"/>
    </w:rPr>
  </w:style>
  <w:style w:type="paragraph" w:customStyle="1" w:styleId="TitleandContentLTNotizen">
    <w:name w:val="Title and Content~LT~Notizen"/>
    <w:qFormat/>
    <w:pPr>
      <w:widowControl w:val="0"/>
      <w:ind w:left="340" w:hanging="340"/>
    </w:pPr>
    <w:rPr>
      <w:rFonts w:ascii="Noto Sans Devanagari" w:eastAsia="Noto Sans" w:hAnsi="Noto Sans Devanagari" w:cs="Arial"/>
      <w:kern w:val="2"/>
      <w:sz w:val="40"/>
      <w:szCs w:val="24"/>
    </w:rPr>
  </w:style>
  <w:style w:type="paragraph" w:customStyle="1" w:styleId="TitleandContentLTHintergrundobjekte">
    <w:name w:val="Title and Content~LT~Hintergrundobjekte"/>
    <w:qFormat/>
    <w:pPr>
      <w:widowControl w:val="0"/>
    </w:pPr>
    <w:rPr>
      <w:rFonts w:ascii="Liberation Serif" w:eastAsia="Noto Sans" w:hAnsi="Liberation Serif" w:cs="Arial"/>
      <w:kern w:val="2"/>
      <w:sz w:val="24"/>
      <w:szCs w:val="24"/>
    </w:rPr>
  </w:style>
  <w:style w:type="paragraph" w:customStyle="1" w:styleId="TitleandContentLTHintergrund">
    <w:name w:val="Title and Content~LT~Hintergrund"/>
    <w:qFormat/>
    <w:pPr>
      <w:widowControl w:val="0"/>
    </w:pPr>
    <w:rPr>
      <w:rFonts w:ascii="Liberation Serif" w:eastAsia="Noto Sans" w:hAnsi="Liberation Serif" w:cs="Arial"/>
      <w:kern w:val="2"/>
      <w:sz w:val="24"/>
      <w:szCs w:val="24"/>
    </w:rPr>
  </w:style>
  <w:style w:type="paragraph" w:customStyle="1" w:styleId="SectionHeaderLTGliederung1">
    <w:name w:val="Section Header~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SectionHeaderLTGliederung2">
    <w:name w:val="Section Header~LT~Gliederung 2"/>
    <w:basedOn w:val="SectionHeaderLTGliederung1"/>
    <w:qFormat/>
    <w:pPr>
      <w:spacing w:before="227"/>
    </w:pPr>
    <w:rPr>
      <w:sz w:val="40"/>
    </w:rPr>
  </w:style>
  <w:style w:type="paragraph" w:customStyle="1" w:styleId="SectionHeaderLTGliederung3">
    <w:name w:val="Section Header~LT~Gliederung 3"/>
    <w:basedOn w:val="SectionHeaderLTGliederung2"/>
    <w:qFormat/>
    <w:pPr>
      <w:spacing w:before="170"/>
    </w:pPr>
    <w:rPr>
      <w:sz w:val="36"/>
    </w:rPr>
  </w:style>
  <w:style w:type="paragraph" w:customStyle="1" w:styleId="SectionHeaderLTGliederung4">
    <w:name w:val="Section Header~LT~Gliederung 4"/>
    <w:basedOn w:val="SectionHeaderLTGliederung3"/>
    <w:qFormat/>
    <w:pPr>
      <w:spacing w:before="113"/>
    </w:pPr>
  </w:style>
  <w:style w:type="paragraph" w:customStyle="1" w:styleId="SectionHeaderLTGliederung5">
    <w:name w:val="Section Header~LT~Gliederung 5"/>
    <w:basedOn w:val="SectionHeaderLTGliederung4"/>
    <w:qFormat/>
    <w:pPr>
      <w:spacing w:before="57"/>
    </w:pPr>
    <w:rPr>
      <w:sz w:val="40"/>
    </w:rPr>
  </w:style>
  <w:style w:type="paragraph" w:customStyle="1" w:styleId="SectionHeaderLTGliederung6">
    <w:name w:val="Section Header~LT~Gliederung 6"/>
    <w:basedOn w:val="SectionHeaderLTGliederung5"/>
    <w:qFormat/>
  </w:style>
  <w:style w:type="paragraph" w:customStyle="1" w:styleId="SectionHeaderLTGliederung7">
    <w:name w:val="Section Header~LT~Gliederung 7"/>
    <w:basedOn w:val="SectionHeaderLTGliederung6"/>
    <w:qFormat/>
  </w:style>
  <w:style w:type="paragraph" w:customStyle="1" w:styleId="SectionHeaderLTGliederung8">
    <w:name w:val="Section Header~LT~Gliederung 8"/>
    <w:basedOn w:val="SectionHeaderLTGliederung7"/>
    <w:qFormat/>
  </w:style>
  <w:style w:type="paragraph" w:customStyle="1" w:styleId="SectionHeaderLTGliederung9">
    <w:name w:val="Section Header~LT~Gliederung 9"/>
    <w:basedOn w:val="SectionHeaderLTGliederung8"/>
    <w:qFormat/>
  </w:style>
  <w:style w:type="paragraph" w:customStyle="1" w:styleId="SectionHeaderLTTitel">
    <w:name w:val="Section Header~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SectionHeaderLTUntertitel">
    <w:name w:val="Section Header~LT~Untertitel"/>
    <w:qFormat/>
    <w:pPr>
      <w:widowControl w:val="0"/>
      <w:jc w:val="center"/>
    </w:pPr>
    <w:rPr>
      <w:rFonts w:ascii="Noto Sans Devanagari" w:eastAsia="Noto Sans" w:hAnsi="Noto Sans Devanagari" w:cs="Arial"/>
      <w:kern w:val="2"/>
      <w:sz w:val="64"/>
      <w:szCs w:val="24"/>
    </w:rPr>
  </w:style>
  <w:style w:type="paragraph" w:customStyle="1" w:styleId="SectionHeaderLTNotizen">
    <w:name w:val="Section Header~LT~Notizen"/>
    <w:qFormat/>
    <w:pPr>
      <w:widowControl w:val="0"/>
      <w:ind w:left="340" w:hanging="340"/>
    </w:pPr>
    <w:rPr>
      <w:rFonts w:ascii="Noto Sans Devanagari" w:eastAsia="Noto Sans" w:hAnsi="Noto Sans Devanagari" w:cs="Arial"/>
      <w:kern w:val="2"/>
      <w:sz w:val="40"/>
      <w:szCs w:val="24"/>
    </w:rPr>
  </w:style>
  <w:style w:type="paragraph" w:customStyle="1" w:styleId="SectionHeaderLTHintergrundobjekte">
    <w:name w:val="Section Header~LT~Hintergrundobjekte"/>
    <w:qFormat/>
    <w:pPr>
      <w:widowControl w:val="0"/>
    </w:pPr>
    <w:rPr>
      <w:rFonts w:ascii="Liberation Serif" w:eastAsia="Noto Sans" w:hAnsi="Liberation Serif" w:cs="Arial"/>
      <w:kern w:val="2"/>
      <w:sz w:val="24"/>
      <w:szCs w:val="24"/>
    </w:rPr>
  </w:style>
  <w:style w:type="paragraph" w:customStyle="1" w:styleId="SectionHeaderLTHintergrund">
    <w:name w:val="Section Header~LT~Hintergrund"/>
    <w:qFormat/>
    <w:pPr>
      <w:widowControl w:val="0"/>
    </w:pPr>
    <w:rPr>
      <w:rFonts w:ascii="Liberation Serif" w:eastAsia="Noto Sans" w:hAnsi="Liberation Serif" w:cs="Arial"/>
      <w:kern w:val="2"/>
      <w:sz w:val="24"/>
      <w:szCs w:val="24"/>
    </w:rPr>
  </w:style>
  <w:style w:type="paragraph" w:customStyle="1" w:styleId="TwoContentLTGliederung1">
    <w:name w:val="Two Content~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TwoContentLTGliederung2">
    <w:name w:val="Two Content~LT~Gliederung 2"/>
    <w:basedOn w:val="TwoContentLTGliederung1"/>
    <w:qFormat/>
    <w:pPr>
      <w:spacing w:before="227"/>
    </w:pPr>
    <w:rPr>
      <w:sz w:val="40"/>
    </w:rPr>
  </w:style>
  <w:style w:type="paragraph" w:customStyle="1" w:styleId="TwoContentLTGliederung3">
    <w:name w:val="Two Content~LT~Gliederung 3"/>
    <w:basedOn w:val="TwoContentLTGliederung2"/>
    <w:qFormat/>
    <w:pPr>
      <w:spacing w:before="170"/>
    </w:pPr>
    <w:rPr>
      <w:sz w:val="36"/>
    </w:rPr>
  </w:style>
  <w:style w:type="paragraph" w:customStyle="1" w:styleId="TwoContentLTGliederung4">
    <w:name w:val="Two Content~LT~Gliederung 4"/>
    <w:basedOn w:val="TwoContentLTGliederung3"/>
    <w:qFormat/>
    <w:pPr>
      <w:spacing w:before="113"/>
    </w:pPr>
  </w:style>
  <w:style w:type="paragraph" w:customStyle="1" w:styleId="TwoContentLTGliederung5">
    <w:name w:val="Two Content~LT~Gliederung 5"/>
    <w:basedOn w:val="TwoContentLTGliederung4"/>
    <w:qFormat/>
    <w:pPr>
      <w:spacing w:before="57"/>
    </w:pPr>
    <w:rPr>
      <w:sz w:val="40"/>
    </w:rPr>
  </w:style>
  <w:style w:type="paragraph" w:customStyle="1" w:styleId="TwoContentLTGliederung6">
    <w:name w:val="Two Content~LT~Gliederung 6"/>
    <w:basedOn w:val="TwoContentLTGliederung5"/>
    <w:qFormat/>
  </w:style>
  <w:style w:type="paragraph" w:customStyle="1" w:styleId="TwoContentLTGliederung7">
    <w:name w:val="Two Content~LT~Gliederung 7"/>
    <w:basedOn w:val="TwoContentLTGliederung6"/>
    <w:qFormat/>
  </w:style>
  <w:style w:type="paragraph" w:customStyle="1" w:styleId="TwoContentLTGliederung8">
    <w:name w:val="Two Content~LT~Gliederung 8"/>
    <w:basedOn w:val="TwoContentLTGliederung7"/>
    <w:qFormat/>
  </w:style>
  <w:style w:type="paragraph" w:customStyle="1" w:styleId="TwoContentLTGliederung9">
    <w:name w:val="Two Content~LT~Gliederung 9"/>
    <w:basedOn w:val="TwoContentLTGliederung8"/>
    <w:qFormat/>
  </w:style>
  <w:style w:type="paragraph" w:customStyle="1" w:styleId="TwoContentLTTitel">
    <w:name w:val="Two Content~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TwoContentLTUntertitel">
    <w:name w:val="Two Content~LT~Untertitel"/>
    <w:qFormat/>
    <w:pPr>
      <w:widowControl w:val="0"/>
      <w:jc w:val="center"/>
    </w:pPr>
    <w:rPr>
      <w:rFonts w:ascii="Noto Sans Devanagari" w:eastAsia="Noto Sans" w:hAnsi="Noto Sans Devanagari" w:cs="Arial"/>
      <w:kern w:val="2"/>
      <w:sz w:val="64"/>
      <w:szCs w:val="24"/>
    </w:rPr>
  </w:style>
  <w:style w:type="paragraph" w:customStyle="1" w:styleId="TwoContentLTNotizen">
    <w:name w:val="Two Content~LT~Notizen"/>
    <w:qFormat/>
    <w:pPr>
      <w:widowControl w:val="0"/>
      <w:ind w:left="340" w:hanging="340"/>
    </w:pPr>
    <w:rPr>
      <w:rFonts w:ascii="Noto Sans Devanagari" w:eastAsia="Noto Sans" w:hAnsi="Noto Sans Devanagari" w:cs="Arial"/>
      <w:kern w:val="2"/>
      <w:sz w:val="40"/>
      <w:szCs w:val="24"/>
    </w:rPr>
  </w:style>
  <w:style w:type="paragraph" w:customStyle="1" w:styleId="TwoContentLTHintergrundobjekte">
    <w:name w:val="Two Content~LT~Hintergrundobjekte"/>
    <w:qFormat/>
    <w:pPr>
      <w:widowControl w:val="0"/>
    </w:pPr>
    <w:rPr>
      <w:rFonts w:ascii="Liberation Serif" w:eastAsia="Noto Sans" w:hAnsi="Liberation Serif" w:cs="Arial"/>
      <w:kern w:val="2"/>
      <w:sz w:val="24"/>
      <w:szCs w:val="24"/>
    </w:rPr>
  </w:style>
  <w:style w:type="paragraph" w:customStyle="1" w:styleId="TwoContentLTHintergrund">
    <w:name w:val="Two Content~LT~Hintergrund"/>
    <w:qFormat/>
    <w:pPr>
      <w:widowControl w:val="0"/>
    </w:pPr>
    <w:rPr>
      <w:rFonts w:ascii="Liberation Serif" w:eastAsia="Noto Sans" w:hAnsi="Liberation Serif" w:cs="Arial"/>
      <w:kern w:val="2"/>
      <w:sz w:val="24"/>
      <w:szCs w:val="24"/>
    </w:rPr>
  </w:style>
  <w:style w:type="paragraph" w:customStyle="1" w:styleId="ComparisonLTGliederung1">
    <w:name w:val="Comparison~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ComparisonLTGliederung2">
    <w:name w:val="Comparison~LT~Gliederung 2"/>
    <w:basedOn w:val="ComparisonLTGliederung1"/>
    <w:qFormat/>
    <w:pPr>
      <w:spacing w:before="227"/>
    </w:pPr>
    <w:rPr>
      <w:sz w:val="40"/>
    </w:rPr>
  </w:style>
  <w:style w:type="paragraph" w:customStyle="1" w:styleId="ComparisonLTGliederung3">
    <w:name w:val="Comparison~LT~Gliederung 3"/>
    <w:basedOn w:val="ComparisonLTGliederung2"/>
    <w:qFormat/>
    <w:pPr>
      <w:spacing w:before="170"/>
    </w:pPr>
    <w:rPr>
      <w:sz w:val="36"/>
    </w:rPr>
  </w:style>
  <w:style w:type="paragraph" w:customStyle="1" w:styleId="ComparisonLTGliederung4">
    <w:name w:val="Comparison~LT~Gliederung 4"/>
    <w:basedOn w:val="ComparisonLTGliederung3"/>
    <w:qFormat/>
    <w:pPr>
      <w:spacing w:before="113"/>
    </w:pPr>
  </w:style>
  <w:style w:type="paragraph" w:customStyle="1" w:styleId="ComparisonLTGliederung5">
    <w:name w:val="Comparison~LT~Gliederung 5"/>
    <w:basedOn w:val="ComparisonLTGliederung4"/>
    <w:qFormat/>
    <w:pPr>
      <w:spacing w:before="57"/>
    </w:pPr>
    <w:rPr>
      <w:sz w:val="40"/>
    </w:rPr>
  </w:style>
  <w:style w:type="paragraph" w:customStyle="1" w:styleId="ComparisonLTGliederung6">
    <w:name w:val="Comparison~LT~Gliederung 6"/>
    <w:basedOn w:val="ComparisonLTGliederung5"/>
    <w:qFormat/>
  </w:style>
  <w:style w:type="paragraph" w:customStyle="1" w:styleId="ComparisonLTGliederung7">
    <w:name w:val="Comparison~LT~Gliederung 7"/>
    <w:basedOn w:val="ComparisonLTGliederung6"/>
    <w:qFormat/>
  </w:style>
  <w:style w:type="paragraph" w:customStyle="1" w:styleId="ComparisonLTGliederung8">
    <w:name w:val="Comparison~LT~Gliederung 8"/>
    <w:basedOn w:val="ComparisonLTGliederung7"/>
    <w:qFormat/>
  </w:style>
  <w:style w:type="paragraph" w:customStyle="1" w:styleId="ComparisonLTGliederung9">
    <w:name w:val="Comparison~LT~Gliederung 9"/>
    <w:basedOn w:val="ComparisonLTGliederung8"/>
    <w:qFormat/>
  </w:style>
  <w:style w:type="paragraph" w:customStyle="1" w:styleId="ComparisonLTTitel">
    <w:name w:val="Comparison~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ComparisonLTUntertitel">
    <w:name w:val="Comparison~LT~Untertitel"/>
    <w:qFormat/>
    <w:pPr>
      <w:widowControl w:val="0"/>
      <w:jc w:val="center"/>
    </w:pPr>
    <w:rPr>
      <w:rFonts w:ascii="Noto Sans Devanagari" w:eastAsia="Noto Sans" w:hAnsi="Noto Sans Devanagari" w:cs="Arial"/>
      <w:kern w:val="2"/>
      <w:sz w:val="64"/>
      <w:szCs w:val="24"/>
    </w:rPr>
  </w:style>
  <w:style w:type="paragraph" w:customStyle="1" w:styleId="ComparisonLTNotizen">
    <w:name w:val="Comparison~LT~Notizen"/>
    <w:qFormat/>
    <w:pPr>
      <w:widowControl w:val="0"/>
      <w:ind w:left="340" w:hanging="340"/>
    </w:pPr>
    <w:rPr>
      <w:rFonts w:ascii="Noto Sans Devanagari" w:eastAsia="Noto Sans" w:hAnsi="Noto Sans Devanagari" w:cs="Arial"/>
      <w:kern w:val="2"/>
      <w:sz w:val="40"/>
      <w:szCs w:val="24"/>
    </w:rPr>
  </w:style>
  <w:style w:type="paragraph" w:customStyle="1" w:styleId="ComparisonLTHintergrundobjekte">
    <w:name w:val="Comparison~LT~Hintergrundobjekte"/>
    <w:qFormat/>
    <w:pPr>
      <w:widowControl w:val="0"/>
    </w:pPr>
    <w:rPr>
      <w:rFonts w:ascii="Liberation Serif" w:eastAsia="Noto Sans" w:hAnsi="Liberation Serif" w:cs="Arial"/>
      <w:kern w:val="2"/>
      <w:sz w:val="24"/>
      <w:szCs w:val="24"/>
    </w:rPr>
  </w:style>
  <w:style w:type="paragraph" w:customStyle="1" w:styleId="ComparisonLTHintergrund">
    <w:name w:val="Comparison~LT~Hintergrund"/>
    <w:qFormat/>
    <w:pPr>
      <w:widowControl w:val="0"/>
    </w:pPr>
    <w:rPr>
      <w:rFonts w:ascii="Liberation Serif" w:eastAsia="Noto Sans" w:hAnsi="Liberation Serif" w:cs="Arial"/>
      <w:kern w:val="2"/>
      <w:sz w:val="24"/>
      <w:szCs w:val="24"/>
    </w:rPr>
  </w:style>
  <w:style w:type="paragraph" w:customStyle="1" w:styleId="TitleOnlyLTGliederung1">
    <w:name w:val="Title Only~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TitleOnlyLTGliederung2">
    <w:name w:val="Title Only~LT~Gliederung 2"/>
    <w:basedOn w:val="TitleOnlyLTGliederung1"/>
    <w:qFormat/>
    <w:pPr>
      <w:spacing w:before="227"/>
    </w:pPr>
    <w:rPr>
      <w:sz w:val="40"/>
    </w:rPr>
  </w:style>
  <w:style w:type="paragraph" w:customStyle="1" w:styleId="TitleOnlyLTGliederung3">
    <w:name w:val="Title Only~LT~Gliederung 3"/>
    <w:basedOn w:val="TitleOnlyLTGliederung2"/>
    <w:qFormat/>
    <w:pPr>
      <w:spacing w:before="170"/>
    </w:pPr>
    <w:rPr>
      <w:sz w:val="36"/>
    </w:rPr>
  </w:style>
  <w:style w:type="paragraph" w:customStyle="1" w:styleId="TitleOnlyLTGliederung4">
    <w:name w:val="Title Only~LT~Gliederung 4"/>
    <w:basedOn w:val="TitleOnlyLTGliederung3"/>
    <w:qFormat/>
    <w:pPr>
      <w:spacing w:before="113"/>
    </w:pPr>
  </w:style>
  <w:style w:type="paragraph" w:customStyle="1" w:styleId="TitleOnlyLTGliederung5">
    <w:name w:val="Title Only~LT~Gliederung 5"/>
    <w:basedOn w:val="TitleOnlyLTGliederung4"/>
    <w:qFormat/>
    <w:pPr>
      <w:spacing w:before="57"/>
    </w:pPr>
    <w:rPr>
      <w:sz w:val="40"/>
    </w:rPr>
  </w:style>
  <w:style w:type="paragraph" w:customStyle="1" w:styleId="TitleOnlyLTGliederung6">
    <w:name w:val="Title Only~LT~Gliederung 6"/>
    <w:basedOn w:val="TitleOnlyLTGliederung5"/>
    <w:qFormat/>
  </w:style>
  <w:style w:type="paragraph" w:customStyle="1" w:styleId="TitleOnlyLTGliederung7">
    <w:name w:val="Title Only~LT~Gliederung 7"/>
    <w:basedOn w:val="TitleOnlyLTGliederung6"/>
    <w:qFormat/>
  </w:style>
  <w:style w:type="paragraph" w:customStyle="1" w:styleId="TitleOnlyLTGliederung8">
    <w:name w:val="Title Only~LT~Gliederung 8"/>
    <w:basedOn w:val="TitleOnlyLTGliederung7"/>
    <w:qFormat/>
  </w:style>
  <w:style w:type="paragraph" w:customStyle="1" w:styleId="TitleOnlyLTGliederung9">
    <w:name w:val="Title Only~LT~Gliederung 9"/>
    <w:basedOn w:val="TitleOnlyLTGliederung8"/>
    <w:qFormat/>
  </w:style>
  <w:style w:type="paragraph" w:customStyle="1" w:styleId="TitleOnlyLTTitel">
    <w:name w:val="Title Only~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TitleOnlyLTUntertitel">
    <w:name w:val="Title Only~LT~Untertitel"/>
    <w:qFormat/>
    <w:pPr>
      <w:widowControl w:val="0"/>
      <w:jc w:val="center"/>
    </w:pPr>
    <w:rPr>
      <w:rFonts w:ascii="Noto Sans Devanagari" w:eastAsia="Noto Sans" w:hAnsi="Noto Sans Devanagari" w:cs="Arial"/>
      <w:kern w:val="2"/>
      <w:sz w:val="64"/>
      <w:szCs w:val="24"/>
    </w:rPr>
  </w:style>
  <w:style w:type="paragraph" w:customStyle="1" w:styleId="TitleOnlyLTNotizen">
    <w:name w:val="Title Only~LT~Notizen"/>
    <w:qFormat/>
    <w:pPr>
      <w:widowControl w:val="0"/>
      <w:ind w:left="340" w:hanging="340"/>
    </w:pPr>
    <w:rPr>
      <w:rFonts w:ascii="Noto Sans Devanagari" w:eastAsia="Noto Sans" w:hAnsi="Noto Sans Devanagari" w:cs="Arial"/>
      <w:kern w:val="2"/>
      <w:sz w:val="40"/>
      <w:szCs w:val="24"/>
    </w:rPr>
  </w:style>
  <w:style w:type="paragraph" w:customStyle="1" w:styleId="TitleOnlyLTHintergrundobjekte">
    <w:name w:val="Title Only~LT~Hintergrundobjekte"/>
    <w:qFormat/>
    <w:pPr>
      <w:widowControl w:val="0"/>
    </w:pPr>
    <w:rPr>
      <w:rFonts w:ascii="Liberation Serif" w:eastAsia="Noto Sans" w:hAnsi="Liberation Serif" w:cs="Arial"/>
      <w:kern w:val="2"/>
      <w:sz w:val="24"/>
      <w:szCs w:val="24"/>
    </w:rPr>
  </w:style>
  <w:style w:type="paragraph" w:customStyle="1" w:styleId="TitleOnlyLTHintergrund">
    <w:name w:val="Title Only~LT~Hintergrund"/>
    <w:qFormat/>
    <w:pPr>
      <w:widowControl w:val="0"/>
    </w:pPr>
    <w:rPr>
      <w:rFonts w:ascii="Liberation Serif" w:eastAsia="Noto Sans" w:hAnsi="Liberation Serif" w:cs="Arial"/>
      <w:kern w:val="2"/>
      <w:sz w:val="24"/>
      <w:szCs w:val="24"/>
    </w:rPr>
  </w:style>
  <w:style w:type="paragraph" w:customStyle="1" w:styleId="BlankLTGliederung1">
    <w:name w:val="Blank~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BlankLTGliederung2">
    <w:name w:val="Blank~LT~Gliederung 2"/>
    <w:basedOn w:val="BlankLTGliederung1"/>
    <w:qFormat/>
    <w:pPr>
      <w:spacing w:before="227"/>
    </w:pPr>
    <w:rPr>
      <w:sz w:val="40"/>
    </w:rPr>
  </w:style>
  <w:style w:type="paragraph" w:customStyle="1" w:styleId="BlankLTGliederung3">
    <w:name w:val="Blank~LT~Gliederung 3"/>
    <w:basedOn w:val="BlankLTGliederung2"/>
    <w:qFormat/>
    <w:pPr>
      <w:spacing w:before="170"/>
    </w:pPr>
    <w:rPr>
      <w:sz w:val="36"/>
    </w:rPr>
  </w:style>
  <w:style w:type="paragraph" w:customStyle="1" w:styleId="BlankLTGliederung4">
    <w:name w:val="Blank~LT~Gliederung 4"/>
    <w:basedOn w:val="BlankLTGliederung3"/>
    <w:qFormat/>
    <w:pPr>
      <w:spacing w:before="113"/>
    </w:pPr>
  </w:style>
  <w:style w:type="paragraph" w:customStyle="1" w:styleId="BlankLTGliederung5">
    <w:name w:val="Blank~LT~Gliederung 5"/>
    <w:basedOn w:val="BlankLTGliederung4"/>
    <w:qFormat/>
    <w:pPr>
      <w:spacing w:before="57"/>
    </w:pPr>
    <w:rPr>
      <w:sz w:val="40"/>
    </w:rPr>
  </w:style>
  <w:style w:type="paragraph" w:customStyle="1" w:styleId="BlankLTGliederung6">
    <w:name w:val="Blank~LT~Gliederung 6"/>
    <w:basedOn w:val="BlankLTGliederung5"/>
    <w:qFormat/>
  </w:style>
  <w:style w:type="paragraph" w:customStyle="1" w:styleId="BlankLTGliederung7">
    <w:name w:val="Blank~LT~Gliederung 7"/>
    <w:basedOn w:val="BlankLTGliederung6"/>
    <w:qFormat/>
  </w:style>
  <w:style w:type="paragraph" w:customStyle="1" w:styleId="BlankLTGliederung8">
    <w:name w:val="Blank~LT~Gliederung 8"/>
    <w:basedOn w:val="BlankLTGliederung7"/>
    <w:qFormat/>
  </w:style>
  <w:style w:type="paragraph" w:customStyle="1" w:styleId="BlankLTGliederung9">
    <w:name w:val="Blank~LT~Gliederung 9"/>
    <w:basedOn w:val="BlankLTGliederung8"/>
    <w:qFormat/>
  </w:style>
  <w:style w:type="paragraph" w:customStyle="1" w:styleId="BlankLTTitel">
    <w:name w:val="Blank~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BlankLTUntertitel">
    <w:name w:val="Blank~LT~Untertitel"/>
    <w:qFormat/>
    <w:pPr>
      <w:widowControl w:val="0"/>
      <w:jc w:val="center"/>
    </w:pPr>
    <w:rPr>
      <w:rFonts w:ascii="Noto Sans Devanagari" w:eastAsia="Noto Sans" w:hAnsi="Noto Sans Devanagari" w:cs="Arial"/>
      <w:kern w:val="2"/>
      <w:sz w:val="64"/>
      <w:szCs w:val="24"/>
    </w:rPr>
  </w:style>
  <w:style w:type="paragraph" w:customStyle="1" w:styleId="BlankLTNotizen">
    <w:name w:val="Blank~LT~Notizen"/>
    <w:qFormat/>
    <w:pPr>
      <w:widowControl w:val="0"/>
      <w:ind w:left="340" w:hanging="340"/>
    </w:pPr>
    <w:rPr>
      <w:rFonts w:ascii="Noto Sans Devanagari" w:eastAsia="Noto Sans" w:hAnsi="Noto Sans Devanagari" w:cs="Arial"/>
      <w:kern w:val="2"/>
      <w:sz w:val="40"/>
      <w:szCs w:val="24"/>
    </w:rPr>
  </w:style>
  <w:style w:type="paragraph" w:customStyle="1" w:styleId="BlankLTHintergrundobjekte">
    <w:name w:val="Blank~LT~Hintergrundobjekte"/>
    <w:qFormat/>
    <w:pPr>
      <w:widowControl w:val="0"/>
    </w:pPr>
    <w:rPr>
      <w:rFonts w:ascii="Liberation Serif" w:eastAsia="Noto Sans" w:hAnsi="Liberation Serif" w:cs="Arial"/>
      <w:kern w:val="2"/>
      <w:sz w:val="24"/>
      <w:szCs w:val="24"/>
    </w:rPr>
  </w:style>
  <w:style w:type="paragraph" w:customStyle="1" w:styleId="BlankLTHintergrund">
    <w:name w:val="Blank~LT~Hintergrund"/>
    <w:qFormat/>
    <w:pPr>
      <w:widowControl w:val="0"/>
    </w:pPr>
    <w:rPr>
      <w:rFonts w:ascii="Liberation Serif" w:eastAsia="Noto Sans" w:hAnsi="Liberation Serif" w:cs="Arial"/>
      <w:kern w:val="2"/>
      <w:sz w:val="24"/>
      <w:szCs w:val="24"/>
    </w:rPr>
  </w:style>
  <w:style w:type="paragraph" w:customStyle="1" w:styleId="ContentwithCaptionLTGliederung1">
    <w:name w:val="Content with Caption~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ContentwithCaptionLTGliederung2">
    <w:name w:val="Content with Caption~LT~Gliederung 2"/>
    <w:basedOn w:val="ContentwithCaptionLTGliederung1"/>
    <w:qFormat/>
    <w:pPr>
      <w:spacing w:before="227"/>
    </w:pPr>
    <w:rPr>
      <w:sz w:val="40"/>
    </w:rPr>
  </w:style>
  <w:style w:type="paragraph" w:customStyle="1" w:styleId="ContentwithCaptionLTGliederung3">
    <w:name w:val="Content with Caption~LT~Gliederung 3"/>
    <w:basedOn w:val="ContentwithCaptionLTGliederung2"/>
    <w:qFormat/>
    <w:pPr>
      <w:spacing w:before="170"/>
    </w:pPr>
    <w:rPr>
      <w:sz w:val="36"/>
    </w:rPr>
  </w:style>
  <w:style w:type="paragraph" w:customStyle="1" w:styleId="ContentwithCaptionLTGliederung4">
    <w:name w:val="Content with Caption~LT~Gliederung 4"/>
    <w:basedOn w:val="ContentwithCaptionLTGliederung3"/>
    <w:qFormat/>
    <w:pPr>
      <w:spacing w:before="113"/>
    </w:pPr>
  </w:style>
  <w:style w:type="paragraph" w:customStyle="1" w:styleId="ContentwithCaptionLTGliederung5">
    <w:name w:val="Content with Caption~LT~Gliederung 5"/>
    <w:basedOn w:val="ContentwithCaptionLTGliederung4"/>
    <w:qFormat/>
    <w:pPr>
      <w:spacing w:before="57"/>
    </w:pPr>
    <w:rPr>
      <w:sz w:val="40"/>
    </w:rPr>
  </w:style>
  <w:style w:type="paragraph" w:customStyle="1" w:styleId="ContentwithCaptionLTGliederung6">
    <w:name w:val="Content with Caption~LT~Gliederung 6"/>
    <w:basedOn w:val="ContentwithCaptionLTGliederung5"/>
    <w:qFormat/>
  </w:style>
  <w:style w:type="paragraph" w:customStyle="1" w:styleId="ContentwithCaptionLTGliederung7">
    <w:name w:val="Content with Caption~LT~Gliederung 7"/>
    <w:basedOn w:val="ContentwithCaptionLTGliederung6"/>
    <w:qFormat/>
  </w:style>
  <w:style w:type="paragraph" w:customStyle="1" w:styleId="ContentwithCaptionLTGliederung8">
    <w:name w:val="Content with Caption~LT~Gliederung 8"/>
    <w:basedOn w:val="ContentwithCaptionLTGliederung7"/>
    <w:qFormat/>
  </w:style>
  <w:style w:type="paragraph" w:customStyle="1" w:styleId="ContentwithCaptionLTGliederung9">
    <w:name w:val="Content with Caption~LT~Gliederung 9"/>
    <w:basedOn w:val="ContentwithCaptionLTGliederung8"/>
    <w:qFormat/>
  </w:style>
  <w:style w:type="paragraph" w:customStyle="1" w:styleId="ContentwithCaptionLTTitel">
    <w:name w:val="Content with Caption~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ContentwithCaptionLTUntertitel">
    <w:name w:val="Content with Caption~LT~Untertitel"/>
    <w:qFormat/>
    <w:pPr>
      <w:widowControl w:val="0"/>
      <w:jc w:val="center"/>
    </w:pPr>
    <w:rPr>
      <w:rFonts w:ascii="Noto Sans Devanagari" w:eastAsia="Noto Sans" w:hAnsi="Noto Sans Devanagari" w:cs="Arial"/>
      <w:kern w:val="2"/>
      <w:sz w:val="64"/>
      <w:szCs w:val="24"/>
    </w:rPr>
  </w:style>
  <w:style w:type="paragraph" w:customStyle="1" w:styleId="ContentwithCaptionLTNotizen">
    <w:name w:val="Content with Caption~LT~Notizen"/>
    <w:qFormat/>
    <w:pPr>
      <w:widowControl w:val="0"/>
      <w:ind w:left="340" w:hanging="340"/>
    </w:pPr>
    <w:rPr>
      <w:rFonts w:ascii="Noto Sans Devanagari" w:eastAsia="Noto Sans" w:hAnsi="Noto Sans Devanagari" w:cs="Arial"/>
      <w:kern w:val="2"/>
      <w:sz w:val="40"/>
      <w:szCs w:val="24"/>
    </w:rPr>
  </w:style>
  <w:style w:type="paragraph" w:customStyle="1" w:styleId="ContentwithCaptionLTHintergrundobjekte">
    <w:name w:val="Content with Caption~LT~Hintergrundobjekte"/>
    <w:qFormat/>
    <w:pPr>
      <w:widowControl w:val="0"/>
    </w:pPr>
    <w:rPr>
      <w:rFonts w:ascii="Liberation Serif" w:eastAsia="Noto Sans" w:hAnsi="Liberation Serif" w:cs="Arial"/>
      <w:kern w:val="2"/>
      <w:sz w:val="24"/>
      <w:szCs w:val="24"/>
    </w:rPr>
  </w:style>
  <w:style w:type="paragraph" w:customStyle="1" w:styleId="ContentwithCaptionLTHintergrund">
    <w:name w:val="Content with Caption~LT~Hintergrund"/>
    <w:qFormat/>
    <w:pPr>
      <w:widowControl w:val="0"/>
    </w:pPr>
    <w:rPr>
      <w:rFonts w:ascii="Liberation Serif" w:eastAsia="Noto Sans" w:hAnsi="Liberation Serif" w:cs="Arial"/>
      <w:kern w:val="2"/>
      <w:sz w:val="24"/>
      <w:szCs w:val="24"/>
    </w:rPr>
  </w:style>
  <w:style w:type="paragraph" w:customStyle="1" w:styleId="PicturewithCaptionLTGliederung1">
    <w:name w:val="Picture with Caption~LT~Gliederung 1"/>
    <w:qFormat/>
    <w:pPr>
      <w:widowControl w:val="0"/>
      <w:spacing w:before="283" w:line="216" w:lineRule="auto"/>
    </w:pPr>
    <w:rPr>
      <w:rFonts w:ascii="Noto Sans Devanagari" w:eastAsia="Noto Sans" w:hAnsi="Noto Sans Devanagari" w:cs="Arial"/>
      <w:color w:val="000000"/>
      <w:kern w:val="2"/>
      <w:sz w:val="56"/>
      <w:szCs w:val="24"/>
    </w:rPr>
  </w:style>
  <w:style w:type="paragraph" w:customStyle="1" w:styleId="PicturewithCaptionLTGliederung2">
    <w:name w:val="Picture with Caption~LT~Gliederung 2"/>
    <w:basedOn w:val="PicturewithCaptionLTGliederung1"/>
    <w:qFormat/>
    <w:pPr>
      <w:spacing w:before="227"/>
    </w:pPr>
    <w:rPr>
      <w:sz w:val="40"/>
    </w:rPr>
  </w:style>
  <w:style w:type="paragraph" w:customStyle="1" w:styleId="PicturewithCaptionLTGliederung3">
    <w:name w:val="Picture with Caption~LT~Gliederung 3"/>
    <w:basedOn w:val="PicturewithCaptionLTGliederung2"/>
    <w:qFormat/>
    <w:pPr>
      <w:spacing w:before="170"/>
    </w:pPr>
    <w:rPr>
      <w:sz w:val="36"/>
    </w:rPr>
  </w:style>
  <w:style w:type="paragraph" w:customStyle="1" w:styleId="PicturewithCaptionLTGliederung4">
    <w:name w:val="Picture with Caption~LT~Gliederung 4"/>
    <w:basedOn w:val="PicturewithCaptionLTGliederung3"/>
    <w:qFormat/>
    <w:pPr>
      <w:spacing w:before="113"/>
    </w:pPr>
  </w:style>
  <w:style w:type="paragraph" w:customStyle="1" w:styleId="PicturewithCaptionLTGliederung5">
    <w:name w:val="Picture with Caption~LT~Gliederung 5"/>
    <w:basedOn w:val="PicturewithCaptionLTGliederung4"/>
    <w:qFormat/>
    <w:pPr>
      <w:spacing w:before="57"/>
    </w:pPr>
    <w:rPr>
      <w:sz w:val="40"/>
    </w:rPr>
  </w:style>
  <w:style w:type="paragraph" w:customStyle="1" w:styleId="PicturewithCaptionLTGliederung6">
    <w:name w:val="Picture with Caption~LT~Gliederung 6"/>
    <w:basedOn w:val="PicturewithCaptionLTGliederung5"/>
    <w:qFormat/>
  </w:style>
  <w:style w:type="paragraph" w:customStyle="1" w:styleId="PicturewithCaptionLTGliederung7">
    <w:name w:val="Picture with Caption~LT~Gliederung 7"/>
    <w:basedOn w:val="PicturewithCaptionLTGliederung6"/>
    <w:qFormat/>
  </w:style>
  <w:style w:type="paragraph" w:customStyle="1" w:styleId="PicturewithCaptionLTGliederung8">
    <w:name w:val="Picture with Caption~LT~Gliederung 8"/>
    <w:basedOn w:val="PicturewithCaptionLTGliederung7"/>
    <w:qFormat/>
  </w:style>
  <w:style w:type="paragraph" w:customStyle="1" w:styleId="PicturewithCaptionLTGliederung9">
    <w:name w:val="Picture with Caption~LT~Gliederung 9"/>
    <w:basedOn w:val="PicturewithCaptionLTGliederung8"/>
    <w:qFormat/>
  </w:style>
  <w:style w:type="paragraph" w:customStyle="1" w:styleId="PicturewithCaptionLTTitel">
    <w:name w:val="Picture with Caption~LT~Titel"/>
    <w:qFormat/>
    <w:pPr>
      <w:widowControl w:val="0"/>
      <w:spacing w:line="100" w:lineRule="atLeast"/>
    </w:pPr>
    <w:rPr>
      <w:rFonts w:ascii="Noto Sans Devanagari" w:eastAsia="Noto Sans" w:hAnsi="Noto Sans Devanagari" w:cs="Arial"/>
      <w:color w:val="000000"/>
      <w:kern w:val="2"/>
      <w:sz w:val="36"/>
      <w:szCs w:val="24"/>
    </w:rPr>
  </w:style>
  <w:style w:type="paragraph" w:customStyle="1" w:styleId="PicturewithCaptionLTUntertitel">
    <w:name w:val="Picture with Caption~LT~Untertitel"/>
    <w:qFormat/>
    <w:pPr>
      <w:widowControl w:val="0"/>
      <w:jc w:val="center"/>
    </w:pPr>
    <w:rPr>
      <w:rFonts w:ascii="Noto Sans Devanagari" w:eastAsia="Noto Sans" w:hAnsi="Noto Sans Devanagari" w:cs="Arial"/>
      <w:kern w:val="2"/>
      <w:sz w:val="64"/>
      <w:szCs w:val="24"/>
    </w:rPr>
  </w:style>
  <w:style w:type="paragraph" w:customStyle="1" w:styleId="PicturewithCaptionLTNotizen">
    <w:name w:val="Picture with Caption~LT~Notizen"/>
    <w:qFormat/>
    <w:pPr>
      <w:widowControl w:val="0"/>
      <w:ind w:left="340" w:hanging="340"/>
    </w:pPr>
    <w:rPr>
      <w:rFonts w:ascii="Noto Sans Devanagari" w:eastAsia="Noto Sans" w:hAnsi="Noto Sans Devanagari" w:cs="Arial"/>
      <w:kern w:val="2"/>
      <w:sz w:val="40"/>
      <w:szCs w:val="24"/>
    </w:rPr>
  </w:style>
  <w:style w:type="paragraph" w:customStyle="1" w:styleId="PicturewithCaptionLTHintergrundobjekte">
    <w:name w:val="Picture with Caption~LT~Hintergrundobjekte"/>
    <w:qFormat/>
    <w:pPr>
      <w:widowControl w:val="0"/>
    </w:pPr>
    <w:rPr>
      <w:rFonts w:ascii="Liberation Serif" w:eastAsia="Noto Sans" w:hAnsi="Liberation Serif" w:cs="Arial"/>
      <w:kern w:val="2"/>
      <w:sz w:val="24"/>
      <w:szCs w:val="24"/>
    </w:rPr>
  </w:style>
  <w:style w:type="paragraph" w:customStyle="1" w:styleId="PicturewithCaptionLTHintergrund">
    <w:name w:val="Picture with Caption~LT~Hintergrund"/>
    <w:qFormat/>
    <w:pPr>
      <w:widowControl w:val="0"/>
    </w:pPr>
    <w:rPr>
      <w:rFonts w:ascii="Liberation Serif" w:eastAsia="Noto Sans" w:hAnsi="Liberation Serif" w:cs="Arial"/>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11/radm.12269" TargetMode="External"/><Relationship Id="rId18" Type="http://schemas.openxmlformats.org/officeDocument/2006/relationships/hyperlink" Target="https://eric.ed.gov/?id=ED594584" TargetMode="External"/><Relationship Id="rId26" Type="http://schemas.openxmlformats.org/officeDocument/2006/relationships/hyperlink" Target="https://doi.org/10.1080/23288604.2015.1077301" TargetMode="External"/><Relationship Id="rId21" Type="http://schemas.openxmlformats.org/officeDocument/2006/relationships/hyperlink" Target="https://doi.org/10.7861/futurehosp.5-1-64" TargetMode="External"/><Relationship Id="rId34" Type="http://schemas.openxmlformats.org/officeDocument/2006/relationships/hyperlink" Target="https://pmc.ncbi.nlm.nih.gov/articles/PMC6095054/" TargetMode="External"/><Relationship Id="rId7" Type="http://schemas.openxmlformats.org/officeDocument/2006/relationships/image" Target="media/image1.png"/><Relationship Id="rId12" Type="http://schemas.openxmlformats.org/officeDocument/2006/relationships/hyperlink" Target="https://doi.org/10.1111/jocn.14842" TargetMode="External"/><Relationship Id="rId17" Type="http://schemas.openxmlformats.org/officeDocument/2006/relationships/hyperlink" Target="https://doi.org/10.1111/1467-9604.12261" TargetMode="External"/><Relationship Id="rId25" Type="http://schemas.openxmlformats.org/officeDocument/2006/relationships/hyperlink" Target="https://doi.org/10.1016/j.future.2017.10.045" TargetMode="External"/><Relationship Id="rId33" Type="http://schemas.openxmlformats.org/officeDocument/2006/relationships/hyperlink" Target="https://www.cell.com/ajhg/fulltext/S0002-9297(18)30422-1?dgcid=raven_jbs_etoc_emai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fs.org.uk/sites/default/files/2026-01/IFS-annual-report-on-education-spending-in-England-2025&#8211;26.pdf" TargetMode="External"/><Relationship Id="rId20" Type="http://schemas.openxmlformats.org/officeDocument/2006/relationships/hyperlink" Target="https://www.proquest.com/openview/6eae3fc1e0acd7fe2f4d2bbf49fedf5b/1?pq-origsite=gscholar&amp;cbl=33585" TargetMode="External"/><Relationship Id="rId29" Type="http://schemas.openxmlformats.org/officeDocument/2006/relationships/hyperlink" Target="https://doi.org/10.2147/IJGM.S2238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pi.pageplace.de/preview/DT0400.9781526450517_A34661321/preview-9781526450517_A34661321.pdf" TargetMode="External"/><Relationship Id="rId24" Type="http://schemas.openxmlformats.org/officeDocument/2006/relationships/hyperlink" Target="../../../C:/Users/DELL/Downloads/10.4324_9781315733395_previewpdf.pdf" TargetMode="External"/><Relationship Id="rId32" Type="http://schemas.openxmlformats.org/officeDocument/2006/relationships/hyperlink" Target="https://search.informit.org/doi/epdf/10.3316/informit.142057791498969"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08/JICA-11-2019-0048" TargetMode="External"/><Relationship Id="rId23" Type="http://schemas.openxmlformats.org/officeDocument/2006/relationships/hyperlink" Target="https://doi.org/10.1002/hsr2.397" TargetMode="External"/><Relationship Id="rId28" Type="http://schemas.openxmlformats.org/officeDocument/2006/relationships/hyperlink" Target="https://www.nao.org.uk/wp-content/uploads/2019/09/Support-for-pupils-with-special-education-needs.pdf" TargetMode="External"/><Relationship Id="rId36" Type="http://schemas.openxmlformats.org/officeDocument/2006/relationships/footer" Target="footer1.xml"/><Relationship Id="rId10" Type="http://schemas.openxmlformats.org/officeDocument/2006/relationships/hyperlink" Target="https://doi.org/10.32996/jcsts.2025.7.3.12" TargetMode="External"/><Relationship Id="rId19" Type="http://schemas.openxmlformats.org/officeDocument/2006/relationships/hyperlink" Target="https://displaydaily.com/wp-content/uploads/2019/12/Ref02-2015-09-etsi_wp11_mec_a_key_technology_towards_5g.pdf" TargetMode="External"/><Relationship Id="rId31" Type="http://schemas.openxmlformats.org/officeDocument/2006/relationships/hyperlink" Target="https://link.springer.com/article/10.1186/s12913-016-1445-z" TargetMode="External"/><Relationship Id="rId4" Type="http://schemas.openxmlformats.org/officeDocument/2006/relationships/webSettings" Target="webSettings.xml"/><Relationship Id="rId9" Type="http://schemas.openxmlformats.org/officeDocument/2006/relationships/hyperlink" Target="https://doi.org/10.5334/ijic.3068" TargetMode="External"/><Relationship Id="rId14" Type="http://schemas.openxmlformats.org/officeDocument/2006/relationships/hyperlink" Target="https://link.springer.com/chapter/10.1007/978-3-030-93266-4_2" TargetMode="External"/><Relationship Id="rId22" Type="http://schemas.openxmlformats.org/officeDocument/2006/relationships/hyperlink" Target="https://eprints.unmer.ac.id/id/eprint/3721/" TargetMode="External"/><Relationship Id="rId27" Type="http://schemas.openxmlformats.org/officeDocument/2006/relationships/hyperlink" Target="https://doi.org/10.1093/bmb/ldac030" TargetMode="External"/><Relationship Id="rId30" Type="http://schemas.openxmlformats.org/officeDocument/2006/relationships/hyperlink" Target="https://doi.org/10.1016/j.healthpol.2024.104997" TargetMode="External"/><Relationship Id="rId35" Type="http://schemas.openxmlformats.org/officeDocument/2006/relationships/hyperlink" Target="https://link.springer.com/article/10.1186/s13643-018-0882-7" TargetMode="External"/><Relationship Id="rId8" Type="http://schemas.openxmlformats.org/officeDocument/2006/relationships/hyperlink" Target="https://search.issuelab.org/resources/29808/29808.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461</TotalTime>
  <Pages>13</Pages>
  <Words>4561</Words>
  <Characters>26000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dc:description/>
  <cp:lastModifiedBy>Patricia Kelly-Lambo (2215117)</cp:lastModifiedBy>
  <cp:revision>8</cp:revision>
  <dcterms:created xsi:type="dcterms:W3CDTF">2026-03-29T21:14:00Z</dcterms:created>
  <dcterms:modified xsi:type="dcterms:W3CDTF">2026-04-02T12:03:00Z</dcterms:modified>
  <dc:language>en-GB</dc:language>
</cp:coreProperties>
</file>