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keepNext/>
        <w:keepLines/>
        <w:pageBreakBefore w:val="0"/>
        <w:widowControl w:val="0"/>
        <w:kinsoku/>
        <w:wordWrap/>
        <w:overflowPunct/>
        <w:topLinePunct w:val="0"/>
        <w:autoSpaceDE/>
        <w:autoSpaceDN/>
        <w:bidi w:val="0"/>
        <w:adjustRightInd w:val="0"/>
        <w:snapToGrid w:val="0"/>
        <w:spacing w:line="264" w:lineRule="auto"/>
        <w:textAlignment w:val="auto"/>
        <w:rPr>
          <w:rFonts w:hint="default"/>
          <w:lang w:val="en-US" w:eastAsia="zh-CN"/>
        </w:rPr>
      </w:pPr>
      <w:r>
        <w:rPr>
          <w:rFonts w:hint="default"/>
          <w:lang w:val="en-US" w:eastAsia="zh-CN"/>
        </w:rPr>
        <w:t>從皮錫瑞到周予同</w:t>
      </w:r>
    </w:p>
    <w:p>
      <w:pPr>
        <w:pStyle w:val="2"/>
        <w:keepNext/>
        <w:keepLines/>
        <w:pageBreakBefore w:val="0"/>
        <w:widowControl w:val="0"/>
        <w:kinsoku/>
        <w:wordWrap/>
        <w:overflowPunct/>
        <w:topLinePunct w:val="0"/>
        <w:autoSpaceDE/>
        <w:autoSpaceDN/>
        <w:bidi w:val="0"/>
        <w:adjustRightInd w:val="0"/>
        <w:snapToGrid w:val="0"/>
        <w:spacing w:line="264" w:lineRule="auto"/>
        <w:textAlignment w:val="auto"/>
        <w:rPr>
          <w:rFonts w:hint="default"/>
          <w:lang w:val="en-US" w:eastAsia="zh-CN"/>
        </w:rPr>
      </w:pPr>
      <w:r>
        <w:rPr>
          <w:rFonts w:hint="eastAsia" w:ascii="一点明体CP" w:hAnsi="一点明体CP" w:eastAsia="一点明体CP" w:cs="一点明体CP"/>
          <w:b w:val="0"/>
          <w:bCs w:val="0"/>
          <w:sz w:val="28"/>
          <w:szCs w:val="28"/>
          <w:lang w:val="en-US" w:eastAsia="zh-CN"/>
        </w:rPr>
        <w:t>——</w:t>
      </w:r>
      <w:r>
        <w:rPr>
          <w:rFonts w:hint="eastAsia" w:ascii="一点明体CP" w:hAnsi="一点明体CP" w:cs="一点明体CP"/>
          <w:b w:val="0"/>
          <w:bCs w:val="0"/>
          <w:sz w:val="28"/>
          <w:szCs w:val="28"/>
          <w:lang w:val="en-US" w:eastAsia="zh-CN"/>
        </w:rPr>
        <w:t>看待</w:t>
      </w:r>
      <w:r>
        <w:rPr>
          <w:rFonts w:hint="default"/>
          <w:b w:val="0"/>
          <w:bCs w:val="0"/>
          <w:sz w:val="28"/>
          <w:szCs w:val="28"/>
          <w:lang w:val="en-US" w:eastAsia="zh-CN"/>
        </w:rPr>
        <w:t>孔子</w:t>
      </w:r>
      <w:r>
        <w:rPr>
          <w:rFonts w:hint="eastAsia"/>
          <w:b w:val="0"/>
          <w:bCs w:val="0"/>
          <w:sz w:val="28"/>
          <w:szCs w:val="28"/>
          <w:lang w:val="en-US" w:eastAsia="zh-CN"/>
        </w:rPr>
        <w:t>與</w:t>
      </w:r>
      <w:r>
        <w:rPr>
          <w:rFonts w:hint="default"/>
          <w:b w:val="0"/>
          <w:bCs w:val="0"/>
          <w:sz w:val="28"/>
          <w:szCs w:val="28"/>
          <w:lang w:val="en-US" w:eastAsia="zh-CN"/>
        </w:rPr>
        <w:t>六經</w:t>
      </w:r>
      <w:r>
        <w:rPr>
          <w:rFonts w:hint="eastAsia"/>
          <w:b w:val="0"/>
          <w:bCs w:val="0"/>
          <w:sz w:val="28"/>
          <w:szCs w:val="28"/>
          <w:lang w:val="en-US" w:eastAsia="zh-CN"/>
        </w:rPr>
        <w:t>之關係之視野與思考</w:t>
      </w:r>
    </w:p>
    <w:p>
      <w:pPr>
        <w:bidi w:val="0"/>
        <w:rPr>
          <w:rFonts w:hint="eastAsia"/>
          <w:lang w:val="en-US" w:eastAsia="zh-CN"/>
        </w:rPr>
      </w:pPr>
    </w:p>
    <w:p>
      <w:pPr>
        <w:bidi w:val="0"/>
        <w:rPr>
          <w:rFonts w:hint="eastAsia"/>
          <w:lang w:val="en-US" w:eastAsia="zh-CN"/>
        </w:rPr>
      </w:pPr>
    </w:p>
    <w:p>
      <w:pPr>
        <w:pStyle w:val="3"/>
        <w:bidi w:val="0"/>
        <w:rPr>
          <w:rFonts w:hint="eastAsia"/>
          <w:lang w:val="en-US" w:eastAsia="zh-CN"/>
        </w:rPr>
      </w:pPr>
      <w:r>
        <w:rPr>
          <w:rFonts w:hint="eastAsia"/>
          <w:lang w:val="en-US" w:eastAsia="zh-CN"/>
        </w:rPr>
        <w:t>一、前言</w:t>
      </w:r>
    </w:p>
    <w:p>
      <w:pPr>
        <w:bidi w:val="0"/>
        <w:rPr>
          <w:rFonts w:hint="eastAsia"/>
          <w:lang w:val="en-US" w:eastAsia="zh-CN"/>
        </w:rPr>
      </w:pPr>
      <w:r>
        <w:rPr>
          <w:rFonts w:hint="eastAsia"/>
          <w:lang w:val="en-US" w:eastAsia="zh-CN"/>
        </w:rPr>
        <w:t>孔子與六經之關係究竟如何，此一課題，自古及今，爭論未休。諸端意見，略言之可歸為四種流派：今文學派、古文學派、宋學派、新史學派。</w:t>
      </w:r>
      <w:r>
        <w:rPr>
          <w:rStyle w:val="11"/>
          <w:rFonts w:hint="eastAsia"/>
          <w:lang w:val="en-US" w:eastAsia="zh-CN"/>
        </w:rPr>
        <w:footnoteReference w:id="0"/>
      </w:r>
      <w:r>
        <w:rPr>
          <w:rFonts w:hint="eastAsia"/>
          <w:lang w:val="en-US" w:eastAsia="zh-CN"/>
        </w:rPr>
        <w:t>今文學派以孔子為六經之作者，視孔子為政治家，以六經經濟邦國，垂教萬世；古文學派以六經成於孔子之前，孔子為六經之繼承者、發揚者，視為史學家；宋學派對此議題無太多討論；而新史學派則從文獻證據角度，質疑六經及儒家之信仰。</w:t>
      </w:r>
    </w:p>
    <w:p>
      <w:pPr>
        <w:bidi w:val="0"/>
        <w:rPr>
          <w:rFonts w:hint="default"/>
          <w:lang w:val="en-US" w:eastAsia="zh-CN"/>
        </w:rPr>
      </w:pPr>
      <w:r>
        <w:rPr>
          <w:rFonts w:hint="eastAsia"/>
          <w:lang w:val="en-US" w:eastAsia="zh-CN"/>
        </w:rPr>
        <w:t>皮錫瑞為清代經今文學家，作《經學歷史》，以今文學派之視野與邏輯梳理經學之源流及發展。近代周予同為之作序及註，在肯定皮氏著作價值之同時，亦對其視角、思想諸多缺點提出批評。對於孔子與六經之關係，皮氏一如其他今文家之見，認定孔子為六經之作者，而周氏不以為然。本篇報告，旨在釐清皮錫瑞、周予同二人，在孔子與六經關係問題上所呈現之視角、論議之脈絡，討論二人視野可能存在之宥限，從而為經學史研究當具備何種視野、態度提出借鑒。本篇所論，在於對待孔子與六經關係之研究態度，而孔子與六經之關係究竟如何，自古爭論不休，雖數十萬言亦未必可得而解，誠非本篇所論者矣。</w:t>
      </w:r>
    </w:p>
    <w:p>
      <w:pPr>
        <w:pStyle w:val="3"/>
        <w:bidi w:val="0"/>
        <w:rPr>
          <w:rFonts w:hint="eastAsia"/>
          <w:lang w:val="en-US" w:eastAsia="zh-CN"/>
        </w:rPr>
      </w:pPr>
    </w:p>
    <w:p>
      <w:pPr>
        <w:pStyle w:val="3"/>
        <w:numPr>
          <w:ilvl w:val="0"/>
          <w:numId w:val="1"/>
        </w:numPr>
        <w:bidi w:val="0"/>
        <w:rPr>
          <w:rFonts w:hint="eastAsia"/>
          <w:lang w:val="en-US" w:eastAsia="zh-CN"/>
        </w:rPr>
      </w:pPr>
      <w:r>
        <w:rPr>
          <w:rFonts w:hint="eastAsia"/>
          <w:lang w:val="en-US" w:eastAsia="zh-CN"/>
        </w:rPr>
        <w:t>功利與信仰：皮錫瑞的今文情懷</w:t>
      </w:r>
    </w:p>
    <w:p>
      <w:pPr>
        <w:bidi w:val="0"/>
        <w:rPr>
          <w:rFonts w:hint="default"/>
          <w:lang w:val="en-US" w:eastAsia="zh-CN"/>
        </w:rPr>
      </w:pPr>
      <w:r>
        <w:rPr>
          <w:rFonts w:hint="eastAsia"/>
          <w:lang w:val="en-US" w:eastAsia="zh-CN"/>
        </w:rPr>
        <w:t>皮錫瑞對孔子與六經關係之見解，於《經學歷史·經學開闢時代》充分展現。總歸其大旨，蓋有如下諸端。</w:t>
      </w:r>
    </w:p>
    <w:p>
      <w:pPr>
        <w:rPr>
          <w:rFonts w:hint="eastAsia"/>
          <w:lang w:val="en-US" w:eastAsia="zh-CN"/>
        </w:rPr>
      </w:pPr>
      <w:r>
        <w:rPr>
          <w:rFonts w:hint="eastAsia"/>
          <w:lang w:val="en-US" w:eastAsia="zh-CN"/>
        </w:rPr>
        <w:t>第一，皮氏以為「孔子以前，不得有經」</w:t>
      </w:r>
      <w:r>
        <w:rPr>
          <w:rStyle w:val="11"/>
          <w:rFonts w:hint="eastAsia"/>
          <w:lang w:val="en-US" w:eastAsia="zh-CN"/>
        </w:rPr>
        <w:footnoteReference w:id="1"/>
      </w:r>
      <w:r>
        <w:rPr>
          <w:rFonts w:hint="eastAsia"/>
          <w:lang w:val="en-US" w:eastAsia="zh-CN"/>
        </w:rPr>
        <w:t>。孔子刪定之前，經之原始文本雖已存於世，然皆散亂失統，無甚價值，不得稱「經」。皮氏謂：</w:t>
      </w:r>
    </w:p>
    <w:p>
      <w:pPr>
        <w:pStyle w:val="16"/>
        <w:bidi w:val="0"/>
        <w:rPr>
          <w:rFonts w:hint="default"/>
          <w:lang w:val="en-US" w:eastAsia="zh-CN"/>
        </w:rPr>
      </w:pPr>
      <w:r>
        <w:rPr>
          <w:rFonts w:hint="eastAsia"/>
          <w:lang w:val="en-US" w:eastAsia="zh-CN"/>
        </w:rPr>
        <w:t>《易》自伏羲畫卦，文王重卦，止有畫而無辭；亦如《連山》、《歸藏》止為卜筮之用而已。《連山》、《歸藏》不得為經，則伏羲、文王之《易》亦不得為經矣。《春秋》，魯史舊名，止有其事其文，而無其義；亦如晉《乘》、楚《檮杌》止為記事之書而已。晉《乘》、楚《檮杌》不得為經，則魯之春秋亦不得為經矣。古《詩》三千篇，《書》三千二百四十篇，雖卷帙繁多，而未經刪定，未必篇篇有義可為法戒。《周禮》出山巖屋壁，漢人以為瀆亂不驗，又以為六國時人作，未必真出周公。《儀禮》十七篇，雖周公之遺，然當時或不止此數而孔子刪定，或並不及此數而孔子增補，皆未可知。觀「孺悲學士喪禮於孔子，〈士喪禮〉於是乎書」，則十七篇亦自孔子始定；猶之刪《詩》為三百篇，刪《書》為百篇，皆經孔子手定而後列於經也。</w:t>
      </w:r>
      <w:r>
        <w:rPr>
          <w:rStyle w:val="11"/>
          <w:rFonts w:hint="eastAsia"/>
          <w:lang w:val="en-US" w:eastAsia="zh-CN"/>
        </w:rPr>
        <w:footnoteReference w:id="2"/>
      </w:r>
    </w:p>
    <w:p>
      <w:pPr>
        <w:ind w:left="0" w:leftChars="0" w:firstLine="0" w:firstLineChars="0"/>
        <w:rPr>
          <w:rFonts w:hint="default"/>
          <w:lang w:val="en-US" w:eastAsia="zh-CN"/>
        </w:rPr>
      </w:pPr>
      <w:r>
        <w:rPr>
          <w:rFonts w:hint="eastAsia"/>
          <w:lang w:val="en-US" w:eastAsia="zh-CN"/>
        </w:rPr>
        <w:t>由此，皮氏認定，所謂六經，皆由孔子修定而後，始得言「經」，始具有「經」之意義。而東漢之後，凡對經之著作持懷疑者，皆為「疑所不當疑」。</w:t>
      </w:r>
    </w:p>
    <w:p>
      <w:pPr>
        <w:numPr>
          <w:ilvl w:val="0"/>
          <w:numId w:val="2"/>
        </w:numPr>
        <w:rPr>
          <w:rFonts w:hint="eastAsia"/>
          <w:lang w:val="en-US" w:eastAsia="zh-CN"/>
        </w:rPr>
      </w:pPr>
      <w:r>
        <w:rPr>
          <w:rFonts w:hint="eastAsia"/>
          <w:lang w:val="en-US" w:eastAsia="zh-CN"/>
        </w:rPr>
        <w:t>孔子作六經，旨意閎偉，垂教萬世，以為準則，所謂「後之為人君者，必遵孔子之教，乃足以治一國」、「後之為士大夫者，亦必遵孔子之教，乃足以治一身」。</w:t>
      </w:r>
      <w:r>
        <w:rPr>
          <w:rStyle w:val="11"/>
          <w:rFonts w:hint="eastAsia"/>
          <w:lang w:val="en-US" w:eastAsia="zh-CN"/>
        </w:rPr>
        <w:footnoteReference w:id="3"/>
      </w:r>
      <w:r>
        <w:rPr>
          <w:rFonts w:hint="eastAsia"/>
          <w:lang w:val="en-US" w:eastAsia="zh-CN"/>
        </w:rPr>
        <w:t>若六經不為孔子作，則經之重大意義將不復存在，經學亦將壞亂——於《易經》，則「不過為經作傳，如後世箋注家」；於《詩》、《書》，則「不過如昭明之《文選》、姚鉉之《唐文粹》，編輯一過，稍有去取」；於《春秋》，則「以為本周公之凡例；……不過如《漢書》之本《史記》、《後漢書》之本《三國志》，鈔錄一過，稍有增損」。</w:t>
      </w:r>
      <w:r>
        <w:rPr>
          <w:rStyle w:val="11"/>
          <w:rFonts w:hint="eastAsia"/>
          <w:lang w:val="en-US" w:eastAsia="zh-CN"/>
        </w:rPr>
        <w:footnoteReference w:id="4"/>
      </w:r>
      <w:r>
        <w:rPr>
          <w:rFonts w:hint="eastAsia"/>
          <w:lang w:val="en-US" w:eastAsia="zh-CN"/>
        </w:rPr>
        <w:t>面對以上對孔子作經之懷疑與不同意見，皮氏曰：</w:t>
      </w:r>
    </w:p>
    <w:p>
      <w:pPr>
        <w:pStyle w:val="16"/>
        <w:bidi w:val="0"/>
        <w:rPr>
          <w:rFonts w:hint="eastAsia"/>
          <w:lang w:val="en-US" w:eastAsia="zh-CN"/>
        </w:rPr>
      </w:pPr>
      <w:r>
        <w:rPr>
          <w:rFonts w:hint="eastAsia"/>
          <w:lang w:val="en-US" w:eastAsia="zh-CN"/>
        </w:rPr>
        <w:t>凡此皆由不知孔子作《六經》教萬世之旨，不信漢人之說，橫生臆見，詆毀先儒。……經學不明，孔教不尊，非一朝一夕之故，其所由來者漸矣。故必以經為孔子作，始可以言經學；必知孔子作經以教萬世之旨，始可以言經學。</w:t>
      </w:r>
      <w:r>
        <w:rPr>
          <w:rStyle w:val="11"/>
          <w:rFonts w:hint="eastAsia"/>
          <w:lang w:val="en-US" w:eastAsia="zh-CN"/>
        </w:rPr>
        <w:footnoteReference w:id="5"/>
      </w:r>
    </w:p>
    <w:p>
      <w:pPr>
        <w:ind w:left="0" w:leftChars="0" w:firstLine="0" w:firstLineChars="0"/>
        <w:rPr>
          <w:rFonts w:hint="eastAsia"/>
          <w:lang w:val="en-US" w:eastAsia="zh-CN"/>
        </w:rPr>
      </w:pPr>
      <w:r>
        <w:rPr>
          <w:rFonts w:hint="eastAsia"/>
          <w:lang w:val="en-US" w:eastAsia="zh-CN"/>
        </w:rPr>
        <w:t>以上兩則，為皮氏論點之核心，該章其餘論述，或引述，或議論，或讚同，或駁辯，要皆不逃此二旨。</w:t>
      </w:r>
    </w:p>
    <w:p>
      <w:pPr>
        <w:bidi w:val="0"/>
        <w:rPr>
          <w:rFonts w:hint="eastAsia"/>
          <w:lang w:val="en-US" w:eastAsia="zh-CN"/>
        </w:rPr>
      </w:pPr>
      <w:r>
        <w:rPr>
          <w:rFonts w:hint="eastAsia"/>
          <w:lang w:val="en-US" w:eastAsia="zh-CN"/>
        </w:rPr>
        <w:t>自皮氏之議論，吾人可獲得兩點觀察：</w:t>
      </w:r>
    </w:p>
    <w:p>
      <w:pPr>
        <w:numPr>
          <w:ilvl w:val="0"/>
          <w:numId w:val="3"/>
        </w:numPr>
        <w:bidi w:val="0"/>
        <w:rPr>
          <w:rFonts w:hint="eastAsia"/>
          <w:lang w:val="en-US" w:eastAsia="zh-CN"/>
        </w:rPr>
      </w:pPr>
      <w:r>
        <w:rPr>
          <w:rFonts w:hint="eastAsia"/>
          <w:lang w:val="en-US" w:eastAsia="zh-CN"/>
        </w:rPr>
        <w:t>皮氏以孔子為六經之作者，大多源自對於六經之功利態度及對孔子之信仰。所謂功利，並非貶義，由六經以求經濟、教育之用，乃今文學家之長處，誠嘉意也；而所謂對孔子之信仰，乃以為孔子聖人必作經以垂後世，若經不由孔子作，則孔子不如此偉大，徑淪為箋注家云云；若孔子不作六經，則六經非聖人所作，其重大意義將不復存在，經學將無以立足，終而導致「經學不明，孔教不尊」</w:t>
      </w:r>
      <w:r>
        <w:rPr>
          <w:rStyle w:val="11"/>
          <w:rFonts w:hint="eastAsia"/>
          <w:lang w:val="en-US" w:eastAsia="zh-CN"/>
        </w:rPr>
        <w:footnoteReference w:id="6"/>
      </w:r>
      <w:r>
        <w:rPr>
          <w:rFonts w:hint="eastAsia"/>
          <w:lang w:val="en-US" w:eastAsia="zh-CN"/>
        </w:rPr>
        <w:t>。皮氏之出發點固然有著亦經學經世濟民之情懷，然而其以此為唯一的視野展開經學史之撰述，似更有可商榷處。原因在於，皮氏以此功利與信仰作為論據，任其固化為先入為主之觀點，從而導向六經皆孔子所作之結論，如此則其他方面之文獻證據、邏輯推論，似成為一種附庸、裝飾。而這樣的議論，對於抱持同樣見解與信仰之今文學家，固然可以獲得共鳴，但對於不同見解的學者，尤其是重視文獻證據的古史辨派學者，在研究態度、切入角度上便已全然不同，使得二者無法站在同一平臺上取得平等、對應的討論。</w:t>
      </w:r>
    </w:p>
    <w:p>
      <w:pPr>
        <w:numPr>
          <w:ilvl w:val="0"/>
          <w:numId w:val="3"/>
        </w:numPr>
        <w:bidi w:val="0"/>
        <w:rPr>
          <w:rFonts w:hint="eastAsia"/>
          <w:lang w:val="en-US" w:eastAsia="zh-CN"/>
        </w:rPr>
      </w:pPr>
      <w:r>
        <w:rPr>
          <w:rFonts w:hint="eastAsia"/>
          <w:lang w:val="en-US" w:eastAsia="zh-CN"/>
        </w:rPr>
        <w:t>作為一部經學史，則當在歷史中的不同觀點之間，作敏銳的觀察，並如實且全面地陳述。然而，皮氏並未採取此一種角度，而選擇作為一個今文學派之捍衛者，守護今文學之精神，批判異見，攘臂以告天下之人，相與攻擊他派而棄之。如其討論六經之淵源，論《易》則斷言「伏羲畫卦，文王重卦」，《儀禮》則以為周公之遺云云，此等前提是否如實，在經學文獻之研究上便已充滿問題與不同之見解，而其對此竟未多加一言，而徑以之為定論，作為孔子作六經之前提，尤顯單薄。其對於孔子與六經之意見，則尤其如此，以今文學之角度攻擊他派，而不予之從始至終之梳理、闡述。這種態度，使得其《經學歷史》難免偏狹、偏袒之譏，而有失於廣博、周全矣。</w:t>
      </w:r>
    </w:p>
    <w:p>
      <w:pPr>
        <w:ind w:left="0" w:leftChars="0" w:firstLine="0" w:firstLineChars="0"/>
        <w:rPr>
          <w:rFonts w:hint="default"/>
          <w:lang w:val="en-US" w:eastAsia="zh-CN"/>
        </w:rPr>
      </w:pPr>
    </w:p>
    <w:p>
      <w:pPr>
        <w:pStyle w:val="3"/>
        <w:bidi w:val="0"/>
        <w:rPr>
          <w:rFonts w:hint="default"/>
          <w:lang w:val="en-US" w:eastAsia="zh-CN"/>
        </w:rPr>
      </w:pPr>
      <w:r>
        <w:rPr>
          <w:rFonts w:hint="eastAsia"/>
          <w:lang w:val="en-US" w:eastAsia="zh-CN"/>
        </w:rPr>
        <w:t>三、懷疑與否定：周予同的疑古駁辯</w:t>
      </w:r>
    </w:p>
    <w:p>
      <w:pPr>
        <w:bidi w:val="0"/>
        <w:rPr>
          <w:rFonts w:hint="default"/>
          <w:lang w:val="en-US" w:eastAsia="zh-CN"/>
        </w:rPr>
      </w:pPr>
      <w:r>
        <w:rPr>
          <w:rFonts w:hint="eastAsia"/>
          <w:lang w:val="en-US" w:eastAsia="zh-CN"/>
        </w:rPr>
        <w:t>周予同雖為皮錫瑞《經學歷史》作注，其立場與態度則未曾偏袒皮氏，在肯定該作在那一缺乏經學歷史梳理之時代具有相當積極意義之同時，也對於不足乃至其所認為之「荒謬」處做出批評。這些批評，要之有如下幾點。第一，指出皮氏宥於今文學家之視野，而未能跳出局限，即「不能超出一切經學的派別來記述經學，而只是立在今文派的旗幟之下來批評反對派」</w:t>
      </w:r>
      <w:r>
        <w:rPr>
          <w:rStyle w:val="11"/>
          <w:rFonts w:hint="eastAsia"/>
          <w:lang w:val="en-US" w:eastAsia="zh-CN"/>
        </w:rPr>
        <w:footnoteReference w:id="7"/>
      </w:r>
      <w:r>
        <w:rPr>
          <w:rFonts w:hint="eastAsia"/>
          <w:lang w:val="en-US" w:eastAsia="zh-CN"/>
        </w:rPr>
        <w:t>。第二，指出皮氏</w:t>
      </w:r>
      <w:r>
        <w:rPr>
          <w:rFonts w:hint="default"/>
          <w:lang w:val="en-US" w:eastAsia="zh-CN"/>
        </w:rPr>
        <w:t>缺少史學的角度。周氏謂：</w:t>
      </w:r>
    </w:p>
    <w:p>
      <w:pPr>
        <w:pStyle w:val="16"/>
        <w:bidi w:val="0"/>
        <w:rPr>
          <w:rFonts w:hint="eastAsia"/>
          <w:lang w:val="en-US" w:eastAsia="zh-CN"/>
        </w:rPr>
      </w:pPr>
      <w:r>
        <w:rPr>
          <w:rFonts w:hint="eastAsia"/>
          <w:lang w:val="en-US" w:eastAsia="zh-CN"/>
        </w:rPr>
        <w:t>因為他不是史學家，所以史料的搜集不完備，史料的排比不妥善，而且每每不能客觀地記述事實，而好加以主觀的議論。他這部書，假使粗略的翻閱，似乎不能將經古今文學、宋學的發生、變遷、異同、利弊一一顯示給我們。</w:t>
      </w:r>
      <w:r>
        <w:rPr>
          <w:rStyle w:val="11"/>
          <w:rFonts w:hint="eastAsia"/>
          <w:lang w:val="en-US" w:eastAsia="zh-CN"/>
        </w:rPr>
        <w:footnoteReference w:id="8"/>
      </w:r>
    </w:p>
    <w:p>
      <w:pPr>
        <w:bidi w:val="0"/>
        <w:ind w:left="0" w:leftChars="0" w:firstLine="0" w:firstLineChars="0"/>
        <w:rPr>
          <w:rFonts w:hint="eastAsia"/>
          <w:lang w:val="en-US" w:eastAsia="zh-CN"/>
        </w:rPr>
      </w:pPr>
      <w:r>
        <w:rPr>
          <w:rFonts w:hint="eastAsia"/>
          <w:lang w:val="en-US" w:eastAsia="zh-CN"/>
        </w:rPr>
        <w:t>第三，認為皮氏「孔教救國」、「六經致用」、「緯侯足徵」之說荒謬不經。</w:t>
      </w:r>
    </w:p>
    <w:p>
      <w:pPr>
        <w:bidi w:val="0"/>
        <w:rPr>
          <w:rFonts w:hint="default"/>
          <w:lang w:val="en-US" w:eastAsia="zh-CN"/>
        </w:rPr>
      </w:pPr>
      <w:r>
        <w:rPr>
          <w:rFonts w:hint="eastAsia"/>
          <w:lang w:val="en-US" w:eastAsia="zh-CN"/>
        </w:rPr>
        <w:t>基於上述觀點，周氏於其著作《群經概論》中，謂皮氏就孔子與六經關係之問題上，所持乃是「極端的主張」。</w:t>
      </w:r>
      <w:r>
        <w:rPr>
          <w:rStyle w:val="11"/>
          <w:rFonts w:hint="eastAsia"/>
          <w:lang w:val="en-US" w:eastAsia="zh-CN"/>
        </w:rPr>
        <w:footnoteReference w:id="9"/>
      </w:r>
      <w:r>
        <w:rPr>
          <w:rFonts w:hint="eastAsia"/>
          <w:lang w:val="en-US" w:eastAsia="zh-CN"/>
        </w:rPr>
        <w:t>周氏是當代新史學派學者，其上述評價，亦明晰可見該學派之傾向，如講求史料證據之縝密、態度之客觀、視野之超越等，是可貴的。而細究周氏對於皮錫瑞之評價，前兩項確屬皮氏不足之處，而第三項則似有商討餘地。尤其是其批判「六經致用」一條，亦似有走向另一極端之傾向。周氏曰：「今文學者每喜更進一步，貪求『六經致用』的史例，於是對於西漢君主利用迂儒的策略，愚而且誣地在讚歎着倣傚着。」</w:t>
      </w:r>
      <w:r>
        <w:rPr>
          <w:rStyle w:val="11"/>
          <w:rFonts w:hint="eastAsia"/>
          <w:lang w:val="en-US" w:eastAsia="zh-CN"/>
        </w:rPr>
        <w:footnoteReference w:id="10"/>
      </w:r>
      <w:r>
        <w:rPr>
          <w:rFonts w:hint="eastAsia"/>
          <w:lang w:val="en-US" w:eastAsia="zh-CN"/>
        </w:rPr>
        <w:t>周氏之言，不無以偏概全之嫌。借鑒經學思想以治國理政而有成效之案例不計其數，而周氏謂今文學者為荒謬，以西漢君主利用「迂儒」為辭而「一棒打死」，未免太過武斷，有失中正。而其駁斥「孔教救國」，雖可見其辯證、審慎的態度，然亦有斷然捨棄經學、全盤推翻經學與孔子之傾向。而實際上，周氏亦毫不掩飾：「在現在，經學之繼承的研究大可不必，而經學史的研究當立即開始。」</w:t>
      </w:r>
      <w:r>
        <w:rPr>
          <w:rStyle w:val="11"/>
          <w:rFonts w:hint="eastAsia"/>
          <w:lang w:val="en-US" w:eastAsia="zh-CN"/>
        </w:rPr>
        <w:footnoteReference w:id="11"/>
      </w:r>
      <w:r>
        <w:rPr>
          <w:rFonts w:hint="eastAsia"/>
          <w:lang w:val="en-US" w:eastAsia="zh-CN"/>
        </w:rPr>
        <w:t>甚至直言，讚成打倒孔子，廢棄經學。</w:t>
      </w:r>
      <w:r>
        <w:rPr>
          <w:rStyle w:val="11"/>
          <w:rFonts w:hint="eastAsia"/>
          <w:lang w:val="en-US" w:eastAsia="zh-CN"/>
        </w:rPr>
        <w:footnoteReference w:id="12"/>
      </w:r>
      <w:r>
        <w:rPr>
          <w:rFonts w:hint="eastAsia"/>
          <w:lang w:val="en-US" w:eastAsia="zh-CN"/>
        </w:rPr>
        <w:t>由此可見，周氏對於經學，只是全然將其作為既往之歷史研究，未見其對於當今之意義與價值。就此一點而言，實在未免偏激。誠如王利所言：「在『經學史』的研究上，周予同雖然時時站在抽離的角度對其批評，但不可否認的是，周予同自己也屬於這個陣營（指古史辨派）。」</w:t>
      </w:r>
      <w:r>
        <w:rPr>
          <w:rStyle w:val="11"/>
          <w:rFonts w:hint="eastAsia"/>
          <w:lang w:val="en-US" w:eastAsia="zh-CN"/>
        </w:rPr>
        <w:footnoteReference w:id="13"/>
      </w:r>
    </w:p>
    <w:p>
      <w:pPr>
        <w:bidi w:val="0"/>
        <w:rPr>
          <w:rFonts w:hint="default"/>
          <w:lang w:val="en-US" w:eastAsia="zh-CN"/>
        </w:rPr>
      </w:pPr>
    </w:p>
    <w:p>
      <w:pPr>
        <w:pStyle w:val="3"/>
        <w:bidi w:val="0"/>
        <w:rPr>
          <w:rFonts w:hint="eastAsia"/>
          <w:lang w:val="en-US" w:eastAsia="zh-CN"/>
        </w:rPr>
      </w:pPr>
      <w:r>
        <w:rPr>
          <w:rFonts w:hint="eastAsia"/>
          <w:lang w:val="en-US" w:eastAsia="zh-CN"/>
        </w:rPr>
        <w:t>四、結論</w:t>
      </w:r>
    </w:p>
    <w:p>
      <w:pPr>
        <w:bidi w:val="0"/>
        <w:rPr>
          <w:rFonts w:hint="eastAsia"/>
          <w:lang w:val="en-US" w:eastAsia="zh-CN"/>
        </w:rPr>
      </w:pPr>
      <w:r>
        <w:rPr>
          <w:rFonts w:hint="eastAsia"/>
          <w:lang w:val="en-US" w:eastAsia="zh-CN"/>
        </w:rPr>
        <w:t>皮錫瑞《經學歷史》以今文學家的視野為其著作的出發點，其從經學中發掘啟迪以期應用於社會之情懷，及其對於孔子思想、六經義理之重視，皆足以帶給今人以正向的思考、嘗試與啟發。然而，就「經學史」之角度而言，其所採取之態度則使《經學歷史》流於偏狹的一家之言，而未能如實、客觀、全面地描寫經學史的源流、發展，及各派之觀點。這一短板，也同樣反映在其對於孔子與六經關係的認知上。皮氏認定六經皆為孔子所作，其論述之原點在於經學濟世之功利思想以及對於孔子的精神信仰，而不從史料、證據角度出發，不能周全闡述他家之觀點，是其不足之處。</w:t>
      </w:r>
    </w:p>
    <w:p>
      <w:pPr>
        <w:bidi w:val="0"/>
        <w:rPr>
          <w:rFonts w:hint="eastAsia"/>
          <w:lang w:val="en-US" w:eastAsia="zh-CN"/>
        </w:rPr>
      </w:pPr>
      <w:r>
        <w:rPr>
          <w:rFonts w:hint="eastAsia"/>
          <w:lang w:val="en-US" w:eastAsia="zh-CN"/>
        </w:rPr>
        <w:t>周予同受新史學流派之影響，指出皮氏上述問題，然而在竭力倡導所謂「超出一切經學的派別來記述經學」的同時，亦不免陷入新史學派的流弊，全然以經學為死去的歷史，全然以文獻的角度討論經學問題的歷史，而忽視了經學的實用性、啟迪性，低估了歷史上經學所發揮的實際作用與影響，從而全盤否定經學、否定孔子，走向了另一極端。</w:t>
      </w:r>
    </w:p>
    <w:p>
      <w:pPr>
        <w:bidi w:val="0"/>
        <w:rPr>
          <w:rFonts w:hint="default"/>
          <w:lang w:val="en-US" w:eastAsia="zh-CN"/>
        </w:rPr>
      </w:pPr>
      <w:r>
        <w:rPr>
          <w:rFonts w:hint="eastAsia"/>
          <w:lang w:val="en-US" w:eastAsia="zh-CN"/>
        </w:rPr>
        <w:t>總觀</w:t>
      </w:r>
      <w:r>
        <w:rPr>
          <w:rFonts w:hint="default"/>
          <w:lang w:val="en-US" w:eastAsia="zh-CN"/>
        </w:rPr>
        <w:t>二人在孔子與六經問題上的論辯，</w:t>
      </w:r>
      <w:r>
        <w:rPr>
          <w:rFonts w:hint="eastAsia"/>
          <w:lang w:val="en-US" w:eastAsia="zh-CN"/>
        </w:rPr>
        <w:t>我們可以反思到：</w:t>
      </w:r>
      <w:r>
        <w:rPr>
          <w:rFonts w:hint="default"/>
          <w:lang w:val="en-US" w:eastAsia="zh-CN"/>
        </w:rPr>
        <w:t>經學之</w:t>
      </w:r>
      <w:r>
        <w:rPr>
          <w:rFonts w:hint="eastAsia"/>
          <w:lang w:val="en-US" w:eastAsia="zh-CN"/>
        </w:rPr>
        <w:t>研究</w:t>
      </w:r>
      <w:r>
        <w:rPr>
          <w:rFonts w:hint="default"/>
          <w:lang w:val="en-US" w:eastAsia="zh-CN"/>
        </w:rPr>
        <w:t>，不可為求善、美而捨真，亦不可執真而棄善、美。</w:t>
      </w:r>
      <w:r>
        <w:rPr>
          <w:rFonts w:hint="eastAsia"/>
          <w:lang w:val="en-US" w:eastAsia="zh-CN"/>
        </w:rPr>
        <w:t>皮錫瑞似</w:t>
      </w:r>
      <w:r>
        <w:rPr>
          <w:rFonts w:hint="default"/>
          <w:lang w:val="en-US" w:eastAsia="zh-CN"/>
        </w:rPr>
        <w:t>未免乎前者</w:t>
      </w:r>
      <w:r>
        <w:rPr>
          <w:rFonts w:hint="eastAsia"/>
          <w:lang w:val="en-US" w:eastAsia="zh-CN"/>
        </w:rPr>
        <w:t>，而周予同則傾向於後者。當今之經學與經學史之研究，皆需要一種真、善、美三者兼容並蓄的客觀態度。這樣的素養雖然不易達成，卻是每位</w:t>
      </w:r>
      <w:bookmarkStart w:id="0" w:name="_GoBack"/>
      <w:bookmarkEnd w:id="0"/>
      <w:r>
        <w:rPr>
          <w:rFonts w:hint="eastAsia"/>
          <w:lang w:val="en-US" w:eastAsia="zh-CN"/>
        </w:rPr>
        <w:t>經學研究者所應努力具備的。</w:t>
      </w:r>
    </w:p>
    <w:sectPr>
      <w:pgSz w:w="11906" w:h="16838"/>
      <w:pgMar w:top="1440" w:right="1440" w:bottom="1440" w:left="144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ingLiU">
    <w:altName w:val="PMingLiU-ExtB"/>
    <w:panose1 w:val="02020509000000000000"/>
    <w:charset w:val="88"/>
    <w:family w:val="modern"/>
    <w:pitch w:val="default"/>
    <w:sig w:usb0="00000000" w:usb1="00000000" w:usb2="00000016" w:usb3="00000000" w:csb0="00100001" w:csb1="00000000"/>
  </w:font>
  <w:font w:name="PMingLiU-ExtB">
    <w:panose1 w:val="02020500000000000000"/>
    <w:charset w:val="88"/>
    <w:family w:val="auto"/>
    <w:pitch w:val="default"/>
    <w:sig w:usb0="8000002F" w:usb1="02000008" w:usb2="00000000" w:usb3="00000000" w:csb0="00100001" w:csb1="00000000"/>
  </w:font>
  <w:font w:name="MingLiU">
    <w:altName w:val="宋体"/>
    <w:panose1 w:val="00000000000000000000"/>
    <w:charset w:val="86"/>
    <w:family w:val="auto"/>
    <w:pitch w:val="default"/>
    <w:sig w:usb0="00000000" w:usb1="00000000" w:usb2="00000000" w:usb3="00000000" w:csb0="00000000" w:csb1="00000000"/>
  </w:font>
  <w:font w:name="Linux Libertine">
    <w:panose1 w:val="02000503000000000000"/>
    <w:charset w:val="00"/>
    <w:family w:val="auto"/>
    <w:pitch w:val="default"/>
    <w:sig w:usb0="E0000AFF" w:usb1="5200E5FB" w:usb2="02000020" w:usb3="00000000" w:csb0="600001BF" w:csb1="00000000"/>
  </w:font>
  <w:font w:name="一点明体CP">
    <w:panose1 w:val="00000000000000000000"/>
    <w:charset w:val="88"/>
    <w:family w:val="auto"/>
    <w:pitch w:val="default"/>
    <w:sig w:usb0="E00002FF" w:usb1="3AC7EDFA" w:usb2="00000012" w:usb3="00000000" w:csb0="00100009" w:csb1="00000000"/>
  </w:font>
  <w:font w:name="DFKai-SB">
    <w:panose1 w:val="03000509000000000000"/>
    <w:charset w:val="88"/>
    <w:family w:val="auto"/>
    <w:pitch w:val="default"/>
    <w:sig w:usb0="00000003" w:usb1="082E0000" w:usb2="00000016" w:usb3="00000000" w:csb0="00100001" w:csb1="00000000"/>
  </w:font>
  <w:font w:name="MingLiU">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微软雅黑">
    <w:panose1 w:val="020B0503020204020204"/>
    <w:charset w:val="86"/>
    <w:family w:val="auto"/>
    <w:pitch w:val="default"/>
    <w:sig w:usb0="80000287" w:usb1="2ACF3C50" w:usb2="00000016" w:usb3="00000000" w:csb0="0004001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28">
    <w:p>
      <w:pPr>
        <w:spacing w:line="312" w:lineRule="auto"/>
        <w:ind w:firstLine="480"/>
      </w:pPr>
      <w:r>
        <w:separator/>
      </w:r>
    </w:p>
  </w:footnote>
  <w:footnote w:type="continuationSeparator" w:id="29">
    <w:p>
      <w:pPr>
        <w:spacing w:line="312" w:lineRule="auto"/>
        <w:ind w:firstLine="480"/>
      </w:pPr>
      <w:r>
        <w:continuationSeparator/>
      </w:r>
    </w:p>
  </w:footnote>
  <w:footnote w:id="0">
    <w:p>
      <w:pPr>
        <w:pStyle w:val="7"/>
        <w:bidi w:val="0"/>
        <w:rPr>
          <w:rFonts w:hint="default"/>
          <w:lang w:val="en-US" w:eastAsia="zh-CN"/>
        </w:rPr>
      </w:pPr>
      <w:r>
        <w:rPr>
          <w:rStyle w:val="11"/>
        </w:rPr>
        <w:footnoteRef/>
      </w:r>
      <w:r>
        <w:t xml:space="preserve"> </w:t>
      </w:r>
      <w:r>
        <w:rPr>
          <w:rFonts w:hint="eastAsia"/>
          <w:lang w:val="en-US" w:eastAsia="zh-CN"/>
        </w:rPr>
        <w:tab/>
      </w:r>
      <w:r>
        <w:rPr>
          <w:rFonts w:hint="eastAsia"/>
          <w:lang w:val="en-US" w:eastAsia="zh-CN"/>
        </w:rPr>
        <w:t>周予同：《群經概論》（臺北：臺灣商務印書館，1997年1月，2版），頁1-2。</w:t>
      </w:r>
    </w:p>
  </w:footnote>
  <w:footnote w:id="1">
    <w:p>
      <w:pPr>
        <w:pStyle w:val="7"/>
        <w:bidi w:val="0"/>
        <w:rPr>
          <w:rFonts w:hint="default"/>
          <w:lang w:val="en-US" w:eastAsia="zh-CN"/>
        </w:rPr>
      </w:pPr>
      <w:r>
        <w:rPr>
          <w:rStyle w:val="11"/>
        </w:rPr>
        <w:footnoteRef/>
      </w:r>
      <w:r>
        <w:t xml:space="preserve"> </w:t>
      </w:r>
      <w:r>
        <w:rPr>
          <w:rFonts w:hint="eastAsia"/>
          <w:lang w:val="en-US" w:eastAsia="zh-CN"/>
        </w:rPr>
        <w:tab/>
      </w:r>
      <w:r>
        <w:rPr>
          <w:rFonts w:hint="eastAsia"/>
          <w:lang w:val="en-US" w:eastAsia="zh-CN"/>
        </w:rPr>
        <w:t>清·皮錫瑞：《經學歷史》（北京：中華書局，2014年6月，2版7刷），頁19。</w:t>
      </w:r>
    </w:p>
  </w:footnote>
  <w:footnote w:id="2">
    <w:p>
      <w:pPr>
        <w:pStyle w:val="7"/>
        <w:bidi w:val="0"/>
        <w:rPr>
          <w:rFonts w:hint="eastAsia"/>
          <w:lang w:val="en-US" w:eastAsia="zh-CN"/>
        </w:rPr>
      </w:pPr>
      <w:r>
        <w:rPr>
          <w:rStyle w:val="11"/>
        </w:rPr>
        <w:footnoteRef/>
      </w:r>
      <w:r>
        <w:t xml:space="preserve"> </w:t>
      </w:r>
      <w:r>
        <w:rPr>
          <w:rFonts w:hint="eastAsia"/>
          <w:lang w:val="en-US" w:eastAsia="zh-CN"/>
        </w:rPr>
        <w:tab/>
      </w:r>
      <w:r>
        <w:rPr>
          <w:rFonts w:hint="eastAsia"/>
          <w:lang w:val="en-US" w:eastAsia="zh-CN"/>
        </w:rPr>
        <w:t>清·皮錫瑞：《經學歷史》，頁19-20。</w:t>
      </w:r>
    </w:p>
  </w:footnote>
  <w:footnote w:id="3">
    <w:p>
      <w:pPr>
        <w:pStyle w:val="7"/>
        <w:bidi w:val="0"/>
        <w:ind w:left="432" w:hanging="432"/>
      </w:pPr>
      <w:r>
        <w:rPr>
          <w:rStyle w:val="11"/>
        </w:rPr>
        <w:footnoteRef/>
      </w:r>
      <w:r>
        <w:t xml:space="preserve"> </w:t>
      </w:r>
      <w:r>
        <w:rPr>
          <w:rFonts w:hint="eastAsia" w:eastAsia="宋体"/>
          <w:lang w:val="en-US" w:eastAsia="zh-CN"/>
        </w:rPr>
        <w:tab/>
      </w:r>
      <w:r>
        <w:rPr>
          <w:rFonts w:hint="eastAsia"/>
        </w:rPr>
        <w:t>清·皮錫瑞：《經學歷史》，頁</w:t>
      </w:r>
      <w:r>
        <w:rPr>
          <w:rFonts w:hint="eastAsia" w:eastAsia="宋体"/>
          <w:lang w:val="en-US" w:eastAsia="zh-CN"/>
        </w:rPr>
        <w:t>26</w:t>
      </w:r>
      <w:r>
        <w:rPr>
          <w:rFonts w:hint="eastAsia"/>
        </w:rPr>
        <w:t>。</w:t>
      </w:r>
    </w:p>
  </w:footnote>
  <w:footnote w:id="4">
    <w:p>
      <w:pPr>
        <w:pStyle w:val="7"/>
        <w:bidi w:val="0"/>
      </w:pPr>
      <w:r>
        <w:rPr>
          <w:rStyle w:val="11"/>
        </w:rPr>
        <w:footnoteRef/>
      </w:r>
      <w:r>
        <w:t xml:space="preserve"> </w:t>
      </w:r>
      <w:r>
        <w:rPr>
          <w:rFonts w:hint="eastAsia"/>
          <w:lang w:val="en-US" w:eastAsia="zh-CN"/>
        </w:rPr>
        <w:tab/>
      </w:r>
      <w:r>
        <w:rPr>
          <w:rFonts w:hint="eastAsia"/>
        </w:rPr>
        <w:t>清·皮錫瑞：《經學歷史》，頁</w:t>
      </w:r>
      <w:r>
        <w:rPr>
          <w:rFonts w:hint="eastAsia"/>
          <w:lang w:val="en-US" w:eastAsia="zh-CN"/>
        </w:rPr>
        <w:t>27</w:t>
      </w:r>
      <w:r>
        <w:rPr>
          <w:rFonts w:hint="eastAsia"/>
        </w:rPr>
        <w:t>。</w:t>
      </w:r>
    </w:p>
  </w:footnote>
  <w:footnote w:id="5">
    <w:p>
      <w:pPr>
        <w:pStyle w:val="7"/>
        <w:bidi w:val="0"/>
      </w:pPr>
      <w:r>
        <w:rPr>
          <w:rStyle w:val="11"/>
        </w:rPr>
        <w:footnoteRef/>
      </w:r>
      <w:r>
        <w:t xml:space="preserve"> </w:t>
      </w:r>
      <w:r>
        <w:rPr>
          <w:rFonts w:hint="eastAsia"/>
          <w:lang w:val="en-US" w:eastAsia="zh-CN"/>
        </w:rPr>
        <w:tab/>
      </w:r>
      <w:r>
        <w:rPr>
          <w:rFonts w:hint="eastAsia"/>
        </w:rPr>
        <w:t>清·皮錫瑞：《經學歷史》，頁27。</w:t>
      </w:r>
    </w:p>
  </w:footnote>
  <w:footnote w:id="6">
    <w:p>
      <w:pPr>
        <w:pStyle w:val="7"/>
        <w:bidi w:val="0"/>
      </w:pPr>
      <w:r>
        <w:rPr>
          <w:rStyle w:val="11"/>
        </w:rPr>
        <w:footnoteRef/>
      </w:r>
      <w:r>
        <w:t xml:space="preserve"> </w:t>
      </w:r>
      <w:r>
        <w:rPr>
          <w:rFonts w:hint="eastAsia"/>
          <w:lang w:val="en-US" w:eastAsia="zh-CN"/>
        </w:rPr>
        <w:tab/>
      </w:r>
      <w:r>
        <w:rPr>
          <w:rFonts w:hint="eastAsia"/>
        </w:rPr>
        <w:t>清·皮錫瑞：《經學歷史》，頁27。</w:t>
      </w:r>
    </w:p>
  </w:footnote>
  <w:footnote w:id="7">
    <w:p>
      <w:pPr>
        <w:pStyle w:val="7"/>
        <w:bidi w:val="0"/>
        <w:rPr>
          <w:rFonts w:hint="eastAsia" w:eastAsia="宋体"/>
          <w:lang w:val="en-US" w:eastAsia="zh-CN"/>
        </w:rPr>
      </w:pPr>
      <w:r>
        <w:rPr>
          <w:rStyle w:val="11"/>
        </w:rPr>
        <w:footnoteRef/>
      </w:r>
      <w:r>
        <w:t xml:space="preserve"> </w:t>
      </w:r>
      <w:r>
        <w:rPr>
          <w:rFonts w:hint="eastAsia" w:eastAsia="宋体"/>
          <w:lang w:val="en-US" w:eastAsia="zh-CN"/>
        </w:rPr>
        <w:tab/>
      </w:r>
      <w:r>
        <w:rPr>
          <w:rFonts w:hint="eastAsia"/>
        </w:rPr>
        <w:t>清·皮錫瑞：《經學歷史》，頁</w:t>
      </w:r>
      <w:r>
        <w:rPr>
          <w:rFonts w:hint="eastAsia" w:eastAsia="宋体"/>
          <w:lang w:val="en-US" w:eastAsia="zh-CN"/>
        </w:rPr>
        <w:t>11</w:t>
      </w:r>
      <w:r>
        <w:rPr>
          <w:rFonts w:hint="eastAsia"/>
        </w:rPr>
        <w:t>。</w:t>
      </w:r>
    </w:p>
  </w:footnote>
  <w:footnote w:id="8">
    <w:p>
      <w:pPr>
        <w:pStyle w:val="7"/>
        <w:bidi w:val="0"/>
      </w:pPr>
      <w:r>
        <w:rPr>
          <w:rStyle w:val="11"/>
        </w:rPr>
        <w:footnoteRef/>
      </w:r>
      <w:r>
        <w:t xml:space="preserve"> </w:t>
      </w:r>
      <w:r>
        <w:rPr>
          <w:rFonts w:hint="eastAsia" w:eastAsia="宋体"/>
          <w:lang w:val="en-US" w:eastAsia="zh-CN"/>
        </w:rPr>
        <w:tab/>
      </w:r>
      <w:r>
        <w:rPr>
          <w:rFonts w:hint="eastAsia"/>
        </w:rPr>
        <w:t>清·皮錫瑞：《經學歷史》，頁</w:t>
      </w:r>
      <w:r>
        <w:rPr>
          <w:rFonts w:hint="eastAsia" w:eastAsia="宋体"/>
          <w:lang w:val="en-US" w:eastAsia="zh-CN"/>
        </w:rPr>
        <w:t>11</w:t>
      </w:r>
      <w:r>
        <w:rPr>
          <w:rFonts w:hint="eastAsia"/>
        </w:rPr>
        <w:t>。</w:t>
      </w:r>
    </w:p>
  </w:footnote>
  <w:footnote w:id="9">
    <w:p>
      <w:pPr>
        <w:pStyle w:val="7"/>
        <w:bidi w:val="0"/>
        <w:rPr>
          <w:rFonts w:hint="default"/>
          <w:lang w:val="en-US" w:eastAsia="zh-CN"/>
        </w:rPr>
      </w:pPr>
      <w:r>
        <w:rPr>
          <w:rStyle w:val="11"/>
        </w:rPr>
        <w:footnoteRef/>
      </w:r>
      <w:r>
        <w:t xml:space="preserve"> </w:t>
      </w:r>
      <w:r>
        <w:rPr>
          <w:rFonts w:hint="eastAsia"/>
          <w:lang w:val="en-US" w:eastAsia="zh-CN"/>
        </w:rPr>
        <w:tab/>
        <w:t>周予同：《群經概論》（臺北：臺灣商務印書館，1997年1月，2版），頁20。</w:t>
      </w:r>
    </w:p>
  </w:footnote>
  <w:footnote w:id="10">
    <w:p>
      <w:pPr>
        <w:pStyle w:val="7"/>
        <w:bidi w:val="0"/>
        <w:rPr>
          <w:rFonts w:hint="eastAsia"/>
          <w:lang w:val="en-US" w:eastAsia="zh-CN"/>
        </w:rPr>
      </w:pPr>
      <w:r>
        <w:rPr>
          <w:rStyle w:val="11"/>
        </w:rPr>
        <w:footnoteRef/>
      </w:r>
      <w:r>
        <w:t xml:space="preserve"> </w:t>
      </w:r>
      <w:r>
        <w:rPr>
          <w:rFonts w:hint="eastAsia" w:eastAsia="宋体"/>
          <w:lang w:val="en-US" w:eastAsia="zh-CN"/>
        </w:rPr>
        <w:tab/>
      </w:r>
      <w:r>
        <w:rPr>
          <w:rFonts w:hint="eastAsia"/>
        </w:rPr>
        <w:t>清·皮錫瑞：《經學歷史》，頁</w:t>
      </w:r>
      <w:r>
        <w:rPr>
          <w:rFonts w:hint="eastAsia" w:eastAsia="宋体"/>
          <w:lang w:val="en-US" w:eastAsia="zh-CN"/>
        </w:rPr>
        <w:t>12</w:t>
      </w:r>
      <w:r>
        <w:rPr>
          <w:rFonts w:hint="eastAsia"/>
        </w:rPr>
        <w:t>。</w:t>
      </w:r>
      <w:r>
        <w:rPr>
          <w:rFonts w:hint="eastAsia"/>
          <w:lang w:val="en-US" w:eastAsia="zh-CN"/>
        </w:rPr>
        <w:tab/>
      </w:r>
    </w:p>
  </w:footnote>
  <w:footnote w:id="11">
    <w:p>
      <w:pPr>
        <w:pStyle w:val="7"/>
        <w:bidi w:val="0"/>
      </w:pPr>
      <w:r>
        <w:rPr>
          <w:rStyle w:val="11"/>
        </w:rPr>
        <w:footnoteRef/>
      </w:r>
      <w:r>
        <w:t xml:space="preserve"> </w:t>
      </w:r>
      <w:r>
        <w:rPr>
          <w:rFonts w:hint="eastAsia" w:eastAsia="宋体"/>
          <w:lang w:val="en-US" w:eastAsia="zh-CN"/>
        </w:rPr>
        <w:tab/>
      </w:r>
      <w:r>
        <w:rPr>
          <w:rFonts w:hint="eastAsia"/>
        </w:rPr>
        <w:t>清·皮錫瑞：《經學歷史》，頁</w:t>
      </w:r>
      <w:r>
        <w:rPr>
          <w:rFonts w:hint="eastAsia"/>
          <w:lang w:val="en-US" w:eastAsia="zh-CN"/>
        </w:rPr>
        <w:t>6</w:t>
      </w:r>
      <w:r>
        <w:rPr>
          <w:rFonts w:hint="eastAsia"/>
        </w:rPr>
        <w:t>。</w:t>
      </w:r>
    </w:p>
  </w:footnote>
  <w:footnote w:id="12">
    <w:p>
      <w:pPr>
        <w:pStyle w:val="7"/>
        <w:snapToGrid w:val="0"/>
        <w:rPr>
          <w:rFonts w:hint="eastAsia" w:eastAsia="宋体"/>
          <w:lang w:val="en-US" w:eastAsia="zh-CN"/>
        </w:rPr>
      </w:pPr>
      <w:r>
        <w:rPr>
          <w:rStyle w:val="11"/>
        </w:rPr>
        <w:footnoteRef/>
      </w:r>
      <w:r>
        <w:t xml:space="preserve"> </w:t>
      </w:r>
      <w:r>
        <w:rPr>
          <w:rFonts w:hint="eastAsia" w:eastAsia="宋体"/>
          <w:lang w:val="en-US" w:eastAsia="zh-CN"/>
        </w:rPr>
        <w:tab/>
      </w:r>
      <w:r>
        <w:rPr>
          <w:rFonts w:hint="eastAsia"/>
        </w:rPr>
        <w:t>清·皮錫瑞：《經學歷史》，頁</w:t>
      </w:r>
      <w:r>
        <w:rPr>
          <w:rFonts w:hint="eastAsia" w:asciiTheme="minorHAnsi" w:eastAsiaTheme="minorEastAsia"/>
          <w:lang w:val="en-US" w:eastAsia="zh-CN"/>
        </w:rPr>
        <w:t>6</w:t>
      </w:r>
      <w:r>
        <w:rPr>
          <w:rFonts w:hint="eastAsia"/>
        </w:rPr>
        <w:t>。</w:t>
      </w:r>
    </w:p>
  </w:footnote>
  <w:footnote w:id="13">
    <w:p>
      <w:pPr>
        <w:pStyle w:val="7"/>
        <w:bidi w:val="0"/>
        <w:rPr>
          <w:rFonts w:hint="default"/>
          <w:lang w:val="en-US" w:eastAsia="zh-CN"/>
        </w:rPr>
      </w:pPr>
      <w:r>
        <w:rPr>
          <w:rStyle w:val="11"/>
        </w:rPr>
        <w:footnoteRef/>
      </w:r>
      <w:r>
        <w:t xml:space="preserve"> </w:t>
      </w:r>
      <w:r>
        <w:rPr>
          <w:rFonts w:hint="eastAsia" w:eastAsia="宋体"/>
          <w:lang w:val="en-US" w:eastAsia="zh-CN"/>
        </w:rPr>
        <w:tab/>
      </w:r>
      <w:r>
        <w:rPr>
          <w:rFonts w:hint="eastAsia"/>
          <w:lang w:val="en-US" w:eastAsia="zh-CN"/>
        </w:rPr>
        <w:t>王利：〈淺論周予同的中國經學史研究〉，林慶彰總顧問、馮曉庭主編：《</w:t>
      </w:r>
      <w:r>
        <w:rPr>
          <w:rFonts w:hint="eastAsia"/>
        </w:rPr>
        <w:t>經學研究論叢</w:t>
      </w:r>
      <w:r>
        <w:rPr>
          <w:rFonts w:hint="eastAsia"/>
          <w:lang w:val="en-US" w:eastAsia="zh-CN"/>
        </w:rPr>
        <w:t>·</w:t>
      </w:r>
      <w:r>
        <w:rPr>
          <w:rFonts w:hint="eastAsia"/>
        </w:rPr>
        <w:t>第二十三輯》</w:t>
      </w:r>
      <w:r>
        <w:rPr>
          <w:rFonts w:hint="eastAsia"/>
          <w:lang w:eastAsia="zh-CN"/>
        </w:rPr>
        <w:t>（</w:t>
      </w:r>
      <w:r>
        <w:rPr>
          <w:rFonts w:hint="eastAsia"/>
          <w:lang w:val="en-US" w:eastAsia="zh-CN"/>
        </w:rPr>
        <w:t>新北：華藝學術出版社，2017年10月</w:t>
      </w:r>
      <w:r>
        <w:rPr>
          <w:rFonts w:hint="eastAsia"/>
          <w:lang w:eastAsia="zh-CN"/>
        </w:rPr>
        <w:t>），</w:t>
      </w:r>
      <w:r>
        <w:rPr>
          <w:rFonts w:hint="eastAsia"/>
          <w:lang w:val="en-US" w:eastAsia="zh-CN"/>
        </w:rPr>
        <w:t>頁26-27。</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8A7E3D"/>
    <w:multiLevelType w:val="singleLevel"/>
    <w:tmpl w:val="928A7E3D"/>
    <w:lvl w:ilvl="0" w:tentative="0">
      <w:start w:val="1"/>
      <w:numFmt w:val="chineseCounting"/>
      <w:suff w:val="nothing"/>
      <w:lvlText w:val="%1，"/>
      <w:lvlJc w:val="left"/>
      <w:rPr>
        <w:rFonts w:hint="eastAsia"/>
      </w:rPr>
    </w:lvl>
  </w:abstractNum>
  <w:abstractNum w:abstractNumId="1">
    <w:nsid w:val="9499BC55"/>
    <w:multiLevelType w:val="singleLevel"/>
    <w:tmpl w:val="9499BC55"/>
    <w:lvl w:ilvl="0" w:tentative="0">
      <w:start w:val="2"/>
      <w:numFmt w:val="chineseCounting"/>
      <w:suff w:val="nothing"/>
      <w:lvlText w:val="%1、"/>
      <w:lvlJc w:val="left"/>
      <w:rPr>
        <w:rFonts w:hint="eastAsia"/>
      </w:rPr>
    </w:lvl>
  </w:abstractNum>
  <w:abstractNum w:abstractNumId="2">
    <w:nsid w:val="EEC6FF8B"/>
    <w:multiLevelType w:val="singleLevel"/>
    <w:tmpl w:val="EEC6FF8B"/>
    <w:lvl w:ilvl="0" w:tentative="0">
      <w:start w:val="2"/>
      <w:numFmt w:val="chineseCounting"/>
      <w:suff w:val="nothing"/>
      <w:lvlText w:val="第%1，"/>
      <w:lvlJc w:val="left"/>
      <w:rPr>
        <w:rFonts w:hint="eastAsia"/>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1"/>
  <w:doNotDisplayPageBoundaries w:val="1"/>
  <w:bordersDoNotSurroundHeader w:val="1"/>
  <w:bordersDoNotSurroundFooter w:val="1"/>
  <w:attachedTemplate r:id="rId1"/>
  <w:documentProtection w:enforcement="0"/>
  <w:defaultTabStop w:val="420"/>
  <w:drawingGridVerticalSpacing w:val="156"/>
  <w:displayHorizontalDrawingGridEvery w:val="0"/>
  <w:displayVerticalDrawingGridEvery w:val="2"/>
  <w:characterSpacingControl w:val="compressPunctuation"/>
  <w:footnotePr>
    <w:footnote w:id="28"/>
    <w:footnote w:id="29"/>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OWFhMWNhMGEwZjI3OGIzYTI4MTI5YzJmMWZjMWY4MjUifQ=="/>
  </w:docVars>
  <w:rsids>
    <w:rsidRoot w:val="3F660182"/>
    <w:rsid w:val="000E4713"/>
    <w:rsid w:val="002075B0"/>
    <w:rsid w:val="002E5505"/>
    <w:rsid w:val="004B5DF2"/>
    <w:rsid w:val="005727FC"/>
    <w:rsid w:val="007516D2"/>
    <w:rsid w:val="008347D2"/>
    <w:rsid w:val="00AE64A5"/>
    <w:rsid w:val="00B31DFE"/>
    <w:rsid w:val="00BF55AB"/>
    <w:rsid w:val="00D5514E"/>
    <w:rsid w:val="00E0476A"/>
    <w:rsid w:val="00E40F2A"/>
    <w:rsid w:val="00E75939"/>
    <w:rsid w:val="018E7FE0"/>
    <w:rsid w:val="01B758F2"/>
    <w:rsid w:val="01E330ED"/>
    <w:rsid w:val="01EB6600"/>
    <w:rsid w:val="022B70A4"/>
    <w:rsid w:val="02E80EE5"/>
    <w:rsid w:val="032B45A6"/>
    <w:rsid w:val="033867AD"/>
    <w:rsid w:val="03894DD0"/>
    <w:rsid w:val="03FB327E"/>
    <w:rsid w:val="047F4170"/>
    <w:rsid w:val="052371B9"/>
    <w:rsid w:val="05294145"/>
    <w:rsid w:val="063026FF"/>
    <w:rsid w:val="0649381C"/>
    <w:rsid w:val="06617F45"/>
    <w:rsid w:val="06787267"/>
    <w:rsid w:val="06DC792F"/>
    <w:rsid w:val="072372D7"/>
    <w:rsid w:val="074643B0"/>
    <w:rsid w:val="077037D0"/>
    <w:rsid w:val="079242F8"/>
    <w:rsid w:val="07E51E00"/>
    <w:rsid w:val="07ED5713"/>
    <w:rsid w:val="087B579C"/>
    <w:rsid w:val="08AF5C29"/>
    <w:rsid w:val="092D0E00"/>
    <w:rsid w:val="09943E95"/>
    <w:rsid w:val="0A2D651C"/>
    <w:rsid w:val="0A47495D"/>
    <w:rsid w:val="0AEF20F1"/>
    <w:rsid w:val="0B3A4312"/>
    <w:rsid w:val="0B492A1C"/>
    <w:rsid w:val="0B5F1D07"/>
    <w:rsid w:val="0BC66A8A"/>
    <w:rsid w:val="0BF0024E"/>
    <w:rsid w:val="0BF03547"/>
    <w:rsid w:val="0CC3270A"/>
    <w:rsid w:val="0D3A7BDB"/>
    <w:rsid w:val="0D682535"/>
    <w:rsid w:val="0D811F32"/>
    <w:rsid w:val="0D8140FC"/>
    <w:rsid w:val="0DE9417F"/>
    <w:rsid w:val="0EAC7583"/>
    <w:rsid w:val="0EE52CA2"/>
    <w:rsid w:val="0EF35042"/>
    <w:rsid w:val="0F75480A"/>
    <w:rsid w:val="0FA02485"/>
    <w:rsid w:val="0FA16A41"/>
    <w:rsid w:val="0FE8131A"/>
    <w:rsid w:val="100E3C78"/>
    <w:rsid w:val="10A43130"/>
    <w:rsid w:val="111E2BCB"/>
    <w:rsid w:val="11447392"/>
    <w:rsid w:val="11667325"/>
    <w:rsid w:val="116C0B49"/>
    <w:rsid w:val="11A11369"/>
    <w:rsid w:val="11A75DD1"/>
    <w:rsid w:val="1202478C"/>
    <w:rsid w:val="12143609"/>
    <w:rsid w:val="12C020E5"/>
    <w:rsid w:val="12F710AF"/>
    <w:rsid w:val="12F75B73"/>
    <w:rsid w:val="13206BDC"/>
    <w:rsid w:val="1336707D"/>
    <w:rsid w:val="13704B81"/>
    <w:rsid w:val="13A40237"/>
    <w:rsid w:val="13E22F6A"/>
    <w:rsid w:val="144D1EDE"/>
    <w:rsid w:val="146818D2"/>
    <w:rsid w:val="14D41873"/>
    <w:rsid w:val="15135C5C"/>
    <w:rsid w:val="15606817"/>
    <w:rsid w:val="15CC0D12"/>
    <w:rsid w:val="16055595"/>
    <w:rsid w:val="164B6DB3"/>
    <w:rsid w:val="16623C1F"/>
    <w:rsid w:val="166D075F"/>
    <w:rsid w:val="16D821CA"/>
    <w:rsid w:val="17021BF1"/>
    <w:rsid w:val="170C6C34"/>
    <w:rsid w:val="17610D55"/>
    <w:rsid w:val="17621EAD"/>
    <w:rsid w:val="17686B78"/>
    <w:rsid w:val="17A6426B"/>
    <w:rsid w:val="180B6E3A"/>
    <w:rsid w:val="181D71CA"/>
    <w:rsid w:val="1846126C"/>
    <w:rsid w:val="18764B66"/>
    <w:rsid w:val="18A06597"/>
    <w:rsid w:val="18A95B03"/>
    <w:rsid w:val="190E1315"/>
    <w:rsid w:val="194C5A03"/>
    <w:rsid w:val="197672CC"/>
    <w:rsid w:val="1A55230D"/>
    <w:rsid w:val="1A795693"/>
    <w:rsid w:val="1AA026C5"/>
    <w:rsid w:val="1AD02F55"/>
    <w:rsid w:val="1B0D1A30"/>
    <w:rsid w:val="1B465F0C"/>
    <w:rsid w:val="1B68182E"/>
    <w:rsid w:val="1B6D184A"/>
    <w:rsid w:val="1B96440A"/>
    <w:rsid w:val="1C814AD6"/>
    <w:rsid w:val="1C830A9C"/>
    <w:rsid w:val="1C9A6F8E"/>
    <w:rsid w:val="1CCC71F6"/>
    <w:rsid w:val="1CCE39CF"/>
    <w:rsid w:val="1D14796B"/>
    <w:rsid w:val="1D3A608C"/>
    <w:rsid w:val="1D3F2714"/>
    <w:rsid w:val="1D455355"/>
    <w:rsid w:val="1E4D1FDD"/>
    <w:rsid w:val="1E94438C"/>
    <w:rsid w:val="1E957BFC"/>
    <w:rsid w:val="1EB94C86"/>
    <w:rsid w:val="1EF6794B"/>
    <w:rsid w:val="1FD83950"/>
    <w:rsid w:val="1FF93449"/>
    <w:rsid w:val="20100A74"/>
    <w:rsid w:val="206E342C"/>
    <w:rsid w:val="20F22313"/>
    <w:rsid w:val="20F7226C"/>
    <w:rsid w:val="20FD1FEE"/>
    <w:rsid w:val="21164238"/>
    <w:rsid w:val="215A248B"/>
    <w:rsid w:val="218B7E2B"/>
    <w:rsid w:val="21B90887"/>
    <w:rsid w:val="21E870C8"/>
    <w:rsid w:val="21F30A03"/>
    <w:rsid w:val="220C72EA"/>
    <w:rsid w:val="22140AA7"/>
    <w:rsid w:val="22245484"/>
    <w:rsid w:val="2289430A"/>
    <w:rsid w:val="22B76619"/>
    <w:rsid w:val="22E6332D"/>
    <w:rsid w:val="22F8385B"/>
    <w:rsid w:val="23151201"/>
    <w:rsid w:val="23764E3C"/>
    <w:rsid w:val="23B60C6B"/>
    <w:rsid w:val="244F4E96"/>
    <w:rsid w:val="24800CBD"/>
    <w:rsid w:val="248B0C8D"/>
    <w:rsid w:val="249143FF"/>
    <w:rsid w:val="24D54E38"/>
    <w:rsid w:val="25167EE1"/>
    <w:rsid w:val="253C3211"/>
    <w:rsid w:val="253D276D"/>
    <w:rsid w:val="262E428C"/>
    <w:rsid w:val="267C4771"/>
    <w:rsid w:val="26B5494E"/>
    <w:rsid w:val="26CC01EC"/>
    <w:rsid w:val="27116EE3"/>
    <w:rsid w:val="27271252"/>
    <w:rsid w:val="27630C0D"/>
    <w:rsid w:val="27757E13"/>
    <w:rsid w:val="27794726"/>
    <w:rsid w:val="278C0674"/>
    <w:rsid w:val="27F9025D"/>
    <w:rsid w:val="280C702D"/>
    <w:rsid w:val="28A21F74"/>
    <w:rsid w:val="28B51B10"/>
    <w:rsid w:val="28E86B18"/>
    <w:rsid w:val="290C39BB"/>
    <w:rsid w:val="292D1579"/>
    <w:rsid w:val="293D616A"/>
    <w:rsid w:val="2941166A"/>
    <w:rsid w:val="29592F9E"/>
    <w:rsid w:val="298A041E"/>
    <w:rsid w:val="2A3A59D3"/>
    <w:rsid w:val="2A4100AB"/>
    <w:rsid w:val="2A6E417F"/>
    <w:rsid w:val="2A8D238D"/>
    <w:rsid w:val="2A940223"/>
    <w:rsid w:val="2A966F7F"/>
    <w:rsid w:val="2AD20E76"/>
    <w:rsid w:val="2AFC36F9"/>
    <w:rsid w:val="2B576213"/>
    <w:rsid w:val="2BDC4DA3"/>
    <w:rsid w:val="2C9E56FB"/>
    <w:rsid w:val="2D0831B9"/>
    <w:rsid w:val="2D3D0723"/>
    <w:rsid w:val="2D417DC4"/>
    <w:rsid w:val="2D487044"/>
    <w:rsid w:val="2D5179D9"/>
    <w:rsid w:val="2D8F58DB"/>
    <w:rsid w:val="2DD65871"/>
    <w:rsid w:val="2E0F0132"/>
    <w:rsid w:val="2E1D6661"/>
    <w:rsid w:val="2E3C1B78"/>
    <w:rsid w:val="2EB044DD"/>
    <w:rsid w:val="2EB55C55"/>
    <w:rsid w:val="2ECF6B89"/>
    <w:rsid w:val="2EF97AA8"/>
    <w:rsid w:val="2FAA3E44"/>
    <w:rsid w:val="2FCF6A36"/>
    <w:rsid w:val="2FD04C58"/>
    <w:rsid w:val="300D094F"/>
    <w:rsid w:val="303E4D2C"/>
    <w:rsid w:val="305631B0"/>
    <w:rsid w:val="31155964"/>
    <w:rsid w:val="31207528"/>
    <w:rsid w:val="3139076F"/>
    <w:rsid w:val="31401E86"/>
    <w:rsid w:val="315736A9"/>
    <w:rsid w:val="31792228"/>
    <w:rsid w:val="318C3A90"/>
    <w:rsid w:val="31A11CF2"/>
    <w:rsid w:val="31CC2AB5"/>
    <w:rsid w:val="31FE024F"/>
    <w:rsid w:val="32077A08"/>
    <w:rsid w:val="323D6058"/>
    <w:rsid w:val="324F04E5"/>
    <w:rsid w:val="326B5847"/>
    <w:rsid w:val="32B325DD"/>
    <w:rsid w:val="32E4586C"/>
    <w:rsid w:val="32F92528"/>
    <w:rsid w:val="33007EC5"/>
    <w:rsid w:val="33056DA6"/>
    <w:rsid w:val="33323ACB"/>
    <w:rsid w:val="333E32EE"/>
    <w:rsid w:val="33483ECA"/>
    <w:rsid w:val="334A1F86"/>
    <w:rsid w:val="33672202"/>
    <w:rsid w:val="337309C8"/>
    <w:rsid w:val="33825E8E"/>
    <w:rsid w:val="33BA43D6"/>
    <w:rsid w:val="33C17780"/>
    <w:rsid w:val="33F43812"/>
    <w:rsid w:val="33FA1699"/>
    <w:rsid w:val="3476323C"/>
    <w:rsid w:val="34906F55"/>
    <w:rsid w:val="34D646D2"/>
    <w:rsid w:val="35B228C0"/>
    <w:rsid w:val="360337E4"/>
    <w:rsid w:val="3623374C"/>
    <w:rsid w:val="36294D9E"/>
    <w:rsid w:val="36337DBF"/>
    <w:rsid w:val="363C12D3"/>
    <w:rsid w:val="36C256E2"/>
    <w:rsid w:val="372E10B3"/>
    <w:rsid w:val="37B12EC9"/>
    <w:rsid w:val="37E242E4"/>
    <w:rsid w:val="38196358"/>
    <w:rsid w:val="382E4886"/>
    <w:rsid w:val="38345EAF"/>
    <w:rsid w:val="38363E93"/>
    <w:rsid w:val="38766ABF"/>
    <w:rsid w:val="38C4326F"/>
    <w:rsid w:val="38CA4E80"/>
    <w:rsid w:val="38CD0000"/>
    <w:rsid w:val="38EC1D81"/>
    <w:rsid w:val="39015F7E"/>
    <w:rsid w:val="39214003"/>
    <w:rsid w:val="394F655D"/>
    <w:rsid w:val="39B36303"/>
    <w:rsid w:val="39F535B4"/>
    <w:rsid w:val="3A0B02A5"/>
    <w:rsid w:val="3A11712E"/>
    <w:rsid w:val="3A6A2276"/>
    <w:rsid w:val="3A8415A5"/>
    <w:rsid w:val="3A8A6374"/>
    <w:rsid w:val="3AAA6FE7"/>
    <w:rsid w:val="3ACE78C8"/>
    <w:rsid w:val="3ACE7FFB"/>
    <w:rsid w:val="3B1F0D34"/>
    <w:rsid w:val="3B303744"/>
    <w:rsid w:val="3B3A420A"/>
    <w:rsid w:val="3B5A46F4"/>
    <w:rsid w:val="3B6A55E9"/>
    <w:rsid w:val="3BD90BC3"/>
    <w:rsid w:val="3BDE35CF"/>
    <w:rsid w:val="3C01265D"/>
    <w:rsid w:val="3C2C3D81"/>
    <w:rsid w:val="3C402102"/>
    <w:rsid w:val="3C753DE4"/>
    <w:rsid w:val="3CD472CF"/>
    <w:rsid w:val="3CDE382A"/>
    <w:rsid w:val="3D2555FE"/>
    <w:rsid w:val="3DB7311F"/>
    <w:rsid w:val="3DC075D9"/>
    <w:rsid w:val="3DF01C91"/>
    <w:rsid w:val="3DF266E8"/>
    <w:rsid w:val="3E332976"/>
    <w:rsid w:val="3E3A0F51"/>
    <w:rsid w:val="3E653FEF"/>
    <w:rsid w:val="3E7E4689"/>
    <w:rsid w:val="3E8912B2"/>
    <w:rsid w:val="3EC3599D"/>
    <w:rsid w:val="3EDF3732"/>
    <w:rsid w:val="3F142977"/>
    <w:rsid w:val="3F19362F"/>
    <w:rsid w:val="3F660182"/>
    <w:rsid w:val="403E6B5C"/>
    <w:rsid w:val="40665471"/>
    <w:rsid w:val="40763113"/>
    <w:rsid w:val="408F125D"/>
    <w:rsid w:val="409B3943"/>
    <w:rsid w:val="40EC28A0"/>
    <w:rsid w:val="416A7593"/>
    <w:rsid w:val="41B052A9"/>
    <w:rsid w:val="41FA5652"/>
    <w:rsid w:val="4239090E"/>
    <w:rsid w:val="42701CB0"/>
    <w:rsid w:val="43370708"/>
    <w:rsid w:val="43562319"/>
    <w:rsid w:val="438D7342"/>
    <w:rsid w:val="439A2DE0"/>
    <w:rsid w:val="439C056B"/>
    <w:rsid w:val="43AF1C6E"/>
    <w:rsid w:val="444E3F5B"/>
    <w:rsid w:val="44F137CD"/>
    <w:rsid w:val="44F7284E"/>
    <w:rsid w:val="453F5497"/>
    <w:rsid w:val="45486F32"/>
    <w:rsid w:val="458B1F2F"/>
    <w:rsid w:val="46020B59"/>
    <w:rsid w:val="46257B5A"/>
    <w:rsid w:val="46363D4D"/>
    <w:rsid w:val="464B19C3"/>
    <w:rsid w:val="46F839BF"/>
    <w:rsid w:val="474A6017"/>
    <w:rsid w:val="477703FD"/>
    <w:rsid w:val="477D5DAB"/>
    <w:rsid w:val="47C013BF"/>
    <w:rsid w:val="47F63AC9"/>
    <w:rsid w:val="48006C4D"/>
    <w:rsid w:val="481D0C4D"/>
    <w:rsid w:val="481D611E"/>
    <w:rsid w:val="48441AE2"/>
    <w:rsid w:val="487A3570"/>
    <w:rsid w:val="48BC1E1B"/>
    <w:rsid w:val="4940260E"/>
    <w:rsid w:val="497E7020"/>
    <w:rsid w:val="49B26D3A"/>
    <w:rsid w:val="49BA4BB5"/>
    <w:rsid w:val="49CE2AE0"/>
    <w:rsid w:val="4A602A9E"/>
    <w:rsid w:val="4A6B58F1"/>
    <w:rsid w:val="4A8348D5"/>
    <w:rsid w:val="4ABD14F2"/>
    <w:rsid w:val="4B0C2C85"/>
    <w:rsid w:val="4B943974"/>
    <w:rsid w:val="4B9C1265"/>
    <w:rsid w:val="4BA2668E"/>
    <w:rsid w:val="4BF440D2"/>
    <w:rsid w:val="4BFF0195"/>
    <w:rsid w:val="4C28150F"/>
    <w:rsid w:val="4C932A1E"/>
    <w:rsid w:val="4C9B7030"/>
    <w:rsid w:val="4D267CB5"/>
    <w:rsid w:val="4D537BCC"/>
    <w:rsid w:val="4D8847A0"/>
    <w:rsid w:val="4DA95270"/>
    <w:rsid w:val="4DB72B71"/>
    <w:rsid w:val="4DCF025A"/>
    <w:rsid w:val="4E437B70"/>
    <w:rsid w:val="4E511C4F"/>
    <w:rsid w:val="4E74417F"/>
    <w:rsid w:val="4E755B7D"/>
    <w:rsid w:val="4ED57894"/>
    <w:rsid w:val="4EEF58EC"/>
    <w:rsid w:val="4EF51CF5"/>
    <w:rsid w:val="4F102BF9"/>
    <w:rsid w:val="4F191BCA"/>
    <w:rsid w:val="4F1F6FB0"/>
    <w:rsid w:val="4F313872"/>
    <w:rsid w:val="4F54685C"/>
    <w:rsid w:val="4FB07AD1"/>
    <w:rsid w:val="4FB57E19"/>
    <w:rsid w:val="4FED0255"/>
    <w:rsid w:val="4FFB152B"/>
    <w:rsid w:val="500E62A3"/>
    <w:rsid w:val="504A54BA"/>
    <w:rsid w:val="504E089D"/>
    <w:rsid w:val="509A0CBA"/>
    <w:rsid w:val="50A37259"/>
    <w:rsid w:val="51012A2A"/>
    <w:rsid w:val="51100ACD"/>
    <w:rsid w:val="51267BAB"/>
    <w:rsid w:val="518B17DE"/>
    <w:rsid w:val="52015172"/>
    <w:rsid w:val="52A40355"/>
    <w:rsid w:val="52B458D1"/>
    <w:rsid w:val="53651204"/>
    <w:rsid w:val="53770657"/>
    <w:rsid w:val="5424586C"/>
    <w:rsid w:val="542D593B"/>
    <w:rsid w:val="54CD57B1"/>
    <w:rsid w:val="54E25F4A"/>
    <w:rsid w:val="54F56A9F"/>
    <w:rsid w:val="55010D7B"/>
    <w:rsid w:val="55757C4D"/>
    <w:rsid w:val="561811D7"/>
    <w:rsid w:val="56196DA3"/>
    <w:rsid w:val="56482CA8"/>
    <w:rsid w:val="56C728BC"/>
    <w:rsid w:val="56D33F47"/>
    <w:rsid w:val="56F94A4A"/>
    <w:rsid w:val="573A559E"/>
    <w:rsid w:val="57A2133D"/>
    <w:rsid w:val="57A33651"/>
    <w:rsid w:val="57B009E2"/>
    <w:rsid w:val="57FB6E78"/>
    <w:rsid w:val="58A9170D"/>
    <w:rsid w:val="599836DB"/>
    <w:rsid w:val="59BB77F2"/>
    <w:rsid w:val="5A05734E"/>
    <w:rsid w:val="5A81693D"/>
    <w:rsid w:val="5A835483"/>
    <w:rsid w:val="5AC66142"/>
    <w:rsid w:val="5ADF33D9"/>
    <w:rsid w:val="5AE74E5C"/>
    <w:rsid w:val="5AEF298F"/>
    <w:rsid w:val="5AF22715"/>
    <w:rsid w:val="5B0533B9"/>
    <w:rsid w:val="5B286A62"/>
    <w:rsid w:val="5B450A59"/>
    <w:rsid w:val="5B4D682A"/>
    <w:rsid w:val="5B705825"/>
    <w:rsid w:val="5C205074"/>
    <w:rsid w:val="5C961BA3"/>
    <w:rsid w:val="5D4D3A0F"/>
    <w:rsid w:val="5DE5177C"/>
    <w:rsid w:val="5DF02F39"/>
    <w:rsid w:val="5E2D6537"/>
    <w:rsid w:val="5E9C226E"/>
    <w:rsid w:val="5EB3608B"/>
    <w:rsid w:val="5ED44800"/>
    <w:rsid w:val="5F06031F"/>
    <w:rsid w:val="5F0E4646"/>
    <w:rsid w:val="5F341908"/>
    <w:rsid w:val="5F3F27B1"/>
    <w:rsid w:val="5F3F3CAC"/>
    <w:rsid w:val="5F753CCC"/>
    <w:rsid w:val="5F78268D"/>
    <w:rsid w:val="5F9A63C3"/>
    <w:rsid w:val="5FB9640F"/>
    <w:rsid w:val="5FEB7E6A"/>
    <w:rsid w:val="5FF27864"/>
    <w:rsid w:val="605E5518"/>
    <w:rsid w:val="60D43D6C"/>
    <w:rsid w:val="61090CF2"/>
    <w:rsid w:val="61B3267E"/>
    <w:rsid w:val="61BA62AA"/>
    <w:rsid w:val="61D373F6"/>
    <w:rsid w:val="61F75E61"/>
    <w:rsid w:val="61FC4416"/>
    <w:rsid w:val="6201027D"/>
    <w:rsid w:val="62792795"/>
    <w:rsid w:val="62980575"/>
    <w:rsid w:val="629806CC"/>
    <w:rsid w:val="629D1B93"/>
    <w:rsid w:val="62EC3019"/>
    <w:rsid w:val="633A7FF8"/>
    <w:rsid w:val="63912AC9"/>
    <w:rsid w:val="647749B0"/>
    <w:rsid w:val="64CC2606"/>
    <w:rsid w:val="657A4758"/>
    <w:rsid w:val="65B10218"/>
    <w:rsid w:val="65CF74CC"/>
    <w:rsid w:val="65F939E9"/>
    <w:rsid w:val="66145920"/>
    <w:rsid w:val="662D6E65"/>
    <w:rsid w:val="66973948"/>
    <w:rsid w:val="66C029EE"/>
    <w:rsid w:val="671907D0"/>
    <w:rsid w:val="671E7333"/>
    <w:rsid w:val="674B090A"/>
    <w:rsid w:val="67866F06"/>
    <w:rsid w:val="67983FA6"/>
    <w:rsid w:val="67C7768B"/>
    <w:rsid w:val="67C86FB6"/>
    <w:rsid w:val="689A2AA0"/>
    <w:rsid w:val="68A01A72"/>
    <w:rsid w:val="68CE69DE"/>
    <w:rsid w:val="68DC6892"/>
    <w:rsid w:val="68EB48D1"/>
    <w:rsid w:val="691010D0"/>
    <w:rsid w:val="69344B44"/>
    <w:rsid w:val="698405D2"/>
    <w:rsid w:val="69C7495C"/>
    <w:rsid w:val="69CE4DCD"/>
    <w:rsid w:val="69D414A0"/>
    <w:rsid w:val="6A2A3A11"/>
    <w:rsid w:val="6A4A042A"/>
    <w:rsid w:val="6A883F8B"/>
    <w:rsid w:val="6A9C42B0"/>
    <w:rsid w:val="6AA4737B"/>
    <w:rsid w:val="6ACF34DD"/>
    <w:rsid w:val="6AD438DD"/>
    <w:rsid w:val="6AE75D56"/>
    <w:rsid w:val="6AF0379C"/>
    <w:rsid w:val="6B1C4F9E"/>
    <w:rsid w:val="6B3C7DBA"/>
    <w:rsid w:val="6B4A1065"/>
    <w:rsid w:val="6BDF3BAF"/>
    <w:rsid w:val="6BE23594"/>
    <w:rsid w:val="6C007AA3"/>
    <w:rsid w:val="6C2814C5"/>
    <w:rsid w:val="6C2C0D17"/>
    <w:rsid w:val="6C533345"/>
    <w:rsid w:val="6C99583A"/>
    <w:rsid w:val="6D0202A4"/>
    <w:rsid w:val="6D141449"/>
    <w:rsid w:val="6D39459F"/>
    <w:rsid w:val="6D6A558C"/>
    <w:rsid w:val="6D901C92"/>
    <w:rsid w:val="6DC9271B"/>
    <w:rsid w:val="6DD33C92"/>
    <w:rsid w:val="6E3A7D13"/>
    <w:rsid w:val="6EAC3EBA"/>
    <w:rsid w:val="6EC930FA"/>
    <w:rsid w:val="6F3C7901"/>
    <w:rsid w:val="6F403205"/>
    <w:rsid w:val="706A28AB"/>
    <w:rsid w:val="70B9559C"/>
    <w:rsid w:val="70BF5715"/>
    <w:rsid w:val="70E31128"/>
    <w:rsid w:val="710D3E50"/>
    <w:rsid w:val="714A7581"/>
    <w:rsid w:val="719E7633"/>
    <w:rsid w:val="71F26D98"/>
    <w:rsid w:val="72071D58"/>
    <w:rsid w:val="721248CB"/>
    <w:rsid w:val="726A7902"/>
    <w:rsid w:val="729224CC"/>
    <w:rsid w:val="729B57EB"/>
    <w:rsid w:val="72D606BB"/>
    <w:rsid w:val="73A93247"/>
    <w:rsid w:val="73D56FFD"/>
    <w:rsid w:val="74597FFB"/>
    <w:rsid w:val="746A6F02"/>
    <w:rsid w:val="749F52B0"/>
    <w:rsid w:val="74BB47FB"/>
    <w:rsid w:val="74EC7034"/>
    <w:rsid w:val="755354F4"/>
    <w:rsid w:val="75562107"/>
    <w:rsid w:val="75871615"/>
    <w:rsid w:val="758C7A19"/>
    <w:rsid w:val="75A66146"/>
    <w:rsid w:val="76136D78"/>
    <w:rsid w:val="761864BB"/>
    <w:rsid w:val="7628463F"/>
    <w:rsid w:val="765221CE"/>
    <w:rsid w:val="770F7641"/>
    <w:rsid w:val="772A272F"/>
    <w:rsid w:val="77B746D8"/>
    <w:rsid w:val="780F7865"/>
    <w:rsid w:val="782024EF"/>
    <w:rsid w:val="78333039"/>
    <w:rsid w:val="783C63CF"/>
    <w:rsid w:val="786B2332"/>
    <w:rsid w:val="788B5125"/>
    <w:rsid w:val="78B778CD"/>
    <w:rsid w:val="78C43061"/>
    <w:rsid w:val="78DD6110"/>
    <w:rsid w:val="78EC009A"/>
    <w:rsid w:val="78F879EB"/>
    <w:rsid w:val="79062E6A"/>
    <w:rsid w:val="79133B8F"/>
    <w:rsid w:val="794D5C08"/>
    <w:rsid w:val="79815D85"/>
    <w:rsid w:val="79B32C38"/>
    <w:rsid w:val="7A86018B"/>
    <w:rsid w:val="7AA6340B"/>
    <w:rsid w:val="7ADE098E"/>
    <w:rsid w:val="7B336566"/>
    <w:rsid w:val="7B4909FD"/>
    <w:rsid w:val="7B4C2448"/>
    <w:rsid w:val="7B7320B3"/>
    <w:rsid w:val="7BA71570"/>
    <w:rsid w:val="7BFE129D"/>
    <w:rsid w:val="7C8173E8"/>
    <w:rsid w:val="7CA43026"/>
    <w:rsid w:val="7CD26E5D"/>
    <w:rsid w:val="7CDA78EB"/>
    <w:rsid w:val="7CEC036D"/>
    <w:rsid w:val="7D17267D"/>
    <w:rsid w:val="7D77677D"/>
    <w:rsid w:val="7DAC505A"/>
    <w:rsid w:val="7DE80ABD"/>
    <w:rsid w:val="7DF01841"/>
    <w:rsid w:val="7E1521EE"/>
    <w:rsid w:val="7E2F1723"/>
    <w:rsid w:val="7E316AAD"/>
    <w:rsid w:val="7E3447AC"/>
    <w:rsid w:val="7E420125"/>
    <w:rsid w:val="7E711D30"/>
    <w:rsid w:val="7E98001E"/>
    <w:rsid w:val="7F3D4D93"/>
    <w:rsid w:val="7FC313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nhideWhenUsed="0" w:uiPriority="0" w:semiHidden="0" w:name="footnote text"/>
    <w:lsdException w:qFormat="1" w:uiPriority="99" w:semiHidden="0" w:name="annotation text"/>
    <w:lsdException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nhideWhenUsed="0" w:uiPriority="0" w:semiHidden="0"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iPriority="1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djustRightInd w:val="0"/>
      <w:snapToGrid w:val="0"/>
      <w:spacing w:line="312" w:lineRule="auto"/>
      <w:ind w:firstLine="720" w:firstLineChars="200"/>
      <w:jc w:val="both"/>
      <w:textAlignment w:val="auto"/>
    </w:pPr>
    <w:rPr>
      <w:rFonts w:ascii="Linux Libertine" w:hAnsi="Linux Libertine" w:eastAsia="一点明体CP" w:cs="Linux Libertine"/>
      <w:kern w:val="2"/>
      <w:sz w:val="24"/>
      <w:szCs w:val="24"/>
      <w:lang w:val="en-GB" w:eastAsia="zh-CN" w:bidi="ar-SA"/>
    </w:rPr>
  </w:style>
  <w:style w:type="paragraph" w:styleId="2">
    <w:name w:val="heading 1"/>
    <w:basedOn w:val="1"/>
    <w:next w:val="1"/>
    <w:link w:val="12"/>
    <w:qFormat/>
    <w:uiPriority w:val="0"/>
    <w:pPr>
      <w:keepNext/>
      <w:keepLines/>
      <w:spacing w:line="360" w:lineRule="auto"/>
      <w:ind w:firstLine="0" w:firstLineChars="0"/>
      <w:jc w:val="center"/>
      <w:outlineLvl w:val="0"/>
    </w:pPr>
    <w:rPr>
      <w:rFonts w:ascii="Linux Libertine" w:hAnsi="Linux Libertine" w:eastAsia="一点明体CP"/>
      <w:b/>
      <w:bCs/>
      <w:kern w:val="44"/>
      <w:sz w:val="36"/>
      <w:szCs w:val="36"/>
    </w:rPr>
  </w:style>
  <w:style w:type="paragraph" w:styleId="3">
    <w:name w:val="heading 2"/>
    <w:basedOn w:val="1"/>
    <w:next w:val="1"/>
    <w:link w:val="13"/>
    <w:unhideWhenUsed/>
    <w:qFormat/>
    <w:uiPriority w:val="0"/>
    <w:pPr>
      <w:keepNext/>
      <w:keepLines/>
      <w:pageBreakBefore w:val="0"/>
      <w:spacing w:line="360" w:lineRule="auto"/>
      <w:ind w:firstLine="0" w:firstLineChars="0"/>
      <w:jc w:val="left"/>
      <w:outlineLvl w:val="1"/>
    </w:pPr>
    <w:rPr>
      <w:b/>
      <w:bCs/>
      <w:sz w:val="32"/>
      <w:szCs w:val="32"/>
    </w:rPr>
  </w:style>
  <w:style w:type="paragraph" w:styleId="4">
    <w:name w:val="heading 3"/>
    <w:basedOn w:val="1"/>
    <w:next w:val="1"/>
    <w:link w:val="14"/>
    <w:unhideWhenUsed/>
    <w:qFormat/>
    <w:uiPriority w:val="0"/>
    <w:pPr>
      <w:keepNext/>
      <w:keepLines/>
      <w:ind w:firstLine="0" w:firstLineChars="0"/>
      <w:jc w:val="left"/>
      <w:outlineLvl w:val="2"/>
    </w:pPr>
    <w:rPr>
      <w:b/>
      <w:bCs/>
      <w:sz w:val="24"/>
      <w:szCs w:val="24"/>
    </w:rPr>
  </w:style>
  <w:style w:type="paragraph" w:styleId="5">
    <w:name w:val="heading 4"/>
    <w:basedOn w:val="1"/>
    <w:next w:val="1"/>
    <w:link w:val="15"/>
    <w:semiHidden/>
    <w:unhideWhenUsed/>
    <w:qFormat/>
    <w:uiPriority w:val="0"/>
    <w:pPr>
      <w:keepNext/>
      <w:keepLines/>
      <w:spacing w:line="360" w:lineRule="auto"/>
      <w:jc w:val="left"/>
      <w:outlineLvl w:val="3"/>
    </w:pPr>
    <w:rPr>
      <w:rFonts w:ascii="Linux Libertine" w:hAnsi="Linux Libertine" w:eastAsia="一点明体CP" w:cs="Linux Libertine"/>
      <w:b/>
      <w:bCs/>
      <w:sz w:val="24"/>
      <w:szCs w:val="24"/>
    </w:rPr>
  </w:style>
  <w:style w:type="character" w:default="1" w:styleId="10">
    <w:name w:val="Default Paragraph Font"/>
    <w:semiHidden/>
    <w:unhideWhenUsed/>
    <w:qFormat/>
    <w:uiPriority w:val="1"/>
    <w:rPr>
      <w:rFonts w:ascii="Linux Libertine" w:hAnsi="Linux Libertine" w:eastAsia="一点明体CP" w:cs="Linux Libertine"/>
      <w:sz w:val="24"/>
      <w:szCs w:val="24"/>
    </w:rPr>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6">
    <w:name w:val="annotation text"/>
    <w:basedOn w:val="1"/>
    <w:unhideWhenUsed/>
    <w:qFormat/>
    <w:uiPriority w:val="99"/>
    <w:pPr>
      <w:jc w:val="left"/>
    </w:pPr>
  </w:style>
  <w:style w:type="paragraph" w:styleId="7">
    <w:name w:val="footnote text"/>
    <w:basedOn w:val="1"/>
    <w:qFormat/>
    <w:uiPriority w:val="0"/>
    <w:pPr>
      <w:snapToGrid w:val="0"/>
      <w:spacing w:line="264" w:lineRule="auto"/>
      <w:ind w:left="432" w:leftChars="0" w:hanging="432" w:hangingChars="120"/>
      <w:jc w:val="left"/>
    </w:pPr>
    <w:rPr>
      <w:sz w:val="18"/>
    </w:rPr>
  </w:style>
  <w:style w:type="table" w:styleId="9">
    <w:name w:val="Table Grid"/>
    <w:basedOn w:val="8"/>
    <w:qFormat/>
    <w:uiPriority w:val="39"/>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footnote reference"/>
    <w:basedOn w:val="10"/>
    <w:qFormat/>
    <w:uiPriority w:val="0"/>
    <w:rPr>
      <w:vertAlign w:val="superscript"/>
    </w:rPr>
  </w:style>
  <w:style w:type="character" w:customStyle="1" w:styleId="12">
    <w:name w:val="标题 1 字符"/>
    <w:basedOn w:val="10"/>
    <w:link w:val="2"/>
    <w:qFormat/>
    <w:uiPriority w:val="0"/>
    <w:rPr>
      <w:rFonts w:ascii="Linux Libertine" w:hAnsi="Linux Libertine" w:eastAsia="一点明体CP"/>
      <w:b/>
      <w:bCs/>
      <w:kern w:val="44"/>
      <w:sz w:val="36"/>
      <w:szCs w:val="36"/>
    </w:rPr>
  </w:style>
  <w:style w:type="character" w:customStyle="1" w:styleId="13">
    <w:name w:val="标题 2 字符"/>
    <w:basedOn w:val="10"/>
    <w:link w:val="3"/>
    <w:semiHidden/>
    <w:qFormat/>
    <w:uiPriority w:val="0"/>
    <w:rPr>
      <w:rFonts w:ascii="Linux Libertine" w:hAnsi="Linux Libertine" w:eastAsia="一点明体CP" w:cs="Linux Libertine"/>
      <w:b/>
      <w:bCs/>
      <w:sz w:val="32"/>
      <w:szCs w:val="32"/>
    </w:rPr>
  </w:style>
  <w:style w:type="character" w:customStyle="1" w:styleId="14">
    <w:name w:val="标题 3 字符"/>
    <w:basedOn w:val="10"/>
    <w:link w:val="4"/>
    <w:semiHidden/>
    <w:qFormat/>
    <w:uiPriority w:val="0"/>
    <w:rPr>
      <w:rFonts w:ascii="Linux Libertine" w:hAnsi="Linux Libertine" w:eastAsia="一点明体CP"/>
      <w:b/>
      <w:bCs/>
      <w:sz w:val="24"/>
      <w:szCs w:val="24"/>
    </w:rPr>
  </w:style>
  <w:style w:type="character" w:customStyle="1" w:styleId="15">
    <w:name w:val="标题 4 字符"/>
    <w:basedOn w:val="10"/>
    <w:link w:val="5"/>
    <w:semiHidden/>
    <w:qFormat/>
    <w:uiPriority w:val="0"/>
    <w:rPr>
      <w:rFonts w:ascii="Linux Libertine" w:hAnsi="Linux Libertine" w:eastAsia="一点明体CP" w:cs="Linux Libertine"/>
      <w:b/>
      <w:bCs/>
      <w:sz w:val="24"/>
      <w:szCs w:val="24"/>
    </w:rPr>
  </w:style>
  <w:style w:type="paragraph" w:customStyle="1" w:styleId="16">
    <w:name w:val="独立引文"/>
    <w:next w:val="1"/>
    <w:qFormat/>
    <w:uiPriority w:val="0"/>
    <w:pPr>
      <w:adjustRightInd w:val="0"/>
      <w:snapToGrid w:val="0"/>
      <w:spacing w:before="50" w:beforeLines="50" w:after="80" w:afterLines="80" w:line="288" w:lineRule="auto"/>
      <w:ind w:left="720" w:leftChars="300" w:firstLine="0" w:firstLineChars="0"/>
    </w:pPr>
    <w:rPr>
      <w:rFonts w:ascii="Linux Libertine" w:hAnsi="Linux Libertine" w:eastAsia="DFKai-SB" w:cs="Linux Libertine"/>
      <w:spacing w:val="6"/>
      <w:sz w:val="24"/>
      <w:szCs w:val="24"/>
      <w:lang w:val="en-US"/>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eichen%20Gao\&#20020;&#26102;&#25991;&#20214;&#22841;\Weichen%20Gao\&#20013;&#25991;&#27169;&#26495;-2.dotm"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自定义">
      <a:majorFont>
        <a:latin typeface="Times New Roman"/>
        <a:ea typeface="DFKai-SB"/>
        <a:cs typeface=""/>
      </a:majorFont>
      <a:minorFont>
        <a:latin typeface="Times New Roman"/>
        <a:ea typeface="MingLiU"/>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4CA32C-34AA-4362-B11E-9F7F884D6F57}">
  <ds:schemaRefs/>
</ds:datastoreItem>
</file>

<file path=docProps/app.xml><?xml version="1.0" encoding="utf-8"?>
<Properties xmlns="http://schemas.openxmlformats.org/officeDocument/2006/extended-properties" xmlns:vt="http://schemas.openxmlformats.org/officeDocument/2006/docPropsVTypes">
  <Template>中文模板-2.dotm</Template>
  <Pages>5</Pages>
  <Words>3513</Words>
  <Characters>3513</Characters>
  <Lines>0</Lines>
  <Paragraphs>0</Paragraphs>
  <TotalTime>6</TotalTime>
  <ScaleCrop>false</ScaleCrop>
  <LinksUpToDate>false</LinksUpToDate>
  <CharactersWithSpaces>3515</CharactersWithSpaces>
  <Application>WPS Office_11.1.0.12302_F1E327BC-269C-435d-A152-05C5408002CA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2022-08-06T14:14:00Z</dcterms:created>
  <dc:creator>Weichen Gao</dc:creator>
  <cp:lastModifiedBy>Weichen Gao</cp:lastModifiedBy>
  <dcterms:modified xsi:type="dcterms:W3CDTF">2022-08-12T00:15:26Z</dcterms:modified>
  <cp:revision>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2052-11.1.0.12302</vt:lpwstr>
  </property>
  <property fmtid="{D5CDD505-2E9C-101B-9397-08002B2CF9AE}" pid="3" name="ICV">
    <vt:lpwstr>FD7E576FFF6B40CEAE6C4A5D88E7041B</vt:lpwstr>
  </property>
</Properties>
</file>