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26DD3" w14:textId="77777777" w:rsidR="003347F7" w:rsidRPr="001C7928" w:rsidRDefault="003347F7" w:rsidP="003347F7">
      <w:pPr>
        <w:jc w:val="center"/>
        <w:rPr>
          <w:b/>
          <w:bCs/>
          <w:sz w:val="28"/>
          <w:szCs w:val="28"/>
        </w:rPr>
      </w:pPr>
      <w:r w:rsidRPr="001C7928">
        <w:rPr>
          <w:b/>
          <w:bCs/>
          <w:sz w:val="28"/>
          <w:szCs w:val="28"/>
        </w:rPr>
        <w:t>A critical evaluation and the identification of next teaching and learning</w:t>
      </w:r>
    </w:p>
    <w:p w14:paraId="68AC07D3" w14:textId="77777777" w:rsidR="003347F7" w:rsidRPr="001C7928" w:rsidRDefault="003347F7" w:rsidP="003347F7">
      <w:pPr>
        <w:jc w:val="center"/>
        <w:rPr>
          <w:b/>
          <w:bCs/>
          <w:sz w:val="28"/>
          <w:szCs w:val="28"/>
        </w:rPr>
      </w:pPr>
      <w:r w:rsidRPr="001C7928">
        <w:rPr>
          <w:b/>
          <w:bCs/>
          <w:sz w:val="28"/>
          <w:szCs w:val="28"/>
        </w:rPr>
        <w:t>steps focusing on a case study of an individual learner or a group of</w:t>
      </w:r>
    </w:p>
    <w:p w14:paraId="2AB51121" w14:textId="77777777" w:rsidR="003347F7" w:rsidRPr="001C7928" w:rsidRDefault="003347F7" w:rsidP="003347F7">
      <w:pPr>
        <w:jc w:val="center"/>
        <w:rPr>
          <w:b/>
          <w:bCs/>
          <w:sz w:val="28"/>
          <w:szCs w:val="28"/>
        </w:rPr>
      </w:pPr>
      <w:r w:rsidRPr="001C7928">
        <w:rPr>
          <w:b/>
          <w:bCs/>
          <w:sz w:val="28"/>
          <w:szCs w:val="28"/>
        </w:rPr>
        <w:t>learners, based on an observed critical incident.</w:t>
      </w:r>
    </w:p>
    <w:p w14:paraId="7F5EF2E8" w14:textId="77777777" w:rsidR="003347F7" w:rsidRDefault="003347F7" w:rsidP="003347F7">
      <w:pPr>
        <w:jc w:val="center"/>
        <w:rPr>
          <w:b/>
          <w:bCs/>
          <w:sz w:val="28"/>
          <w:szCs w:val="28"/>
          <w:u w:val="single"/>
        </w:rPr>
      </w:pPr>
    </w:p>
    <w:p w14:paraId="789998E7" w14:textId="77777777" w:rsidR="003347F7" w:rsidRPr="001C7928" w:rsidRDefault="003347F7" w:rsidP="003347F7">
      <w:pPr>
        <w:jc w:val="center"/>
        <w:rPr>
          <w:b/>
          <w:bCs/>
          <w:sz w:val="32"/>
          <w:szCs w:val="32"/>
        </w:rPr>
      </w:pPr>
      <w:r w:rsidRPr="001C7928">
        <w:rPr>
          <w:b/>
          <w:bCs/>
          <w:sz w:val="32"/>
          <w:szCs w:val="32"/>
        </w:rPr>
        <w:t>Rachel Matthews</w:t>
      </w:r>
    </w:p>
    <w:p w14:paraId="378BC20A" w14:textId="77777777" w:rsidR="003347F7" w:rsidRPr="001C7928" w:rsidRDefault="003347F7" w:rsidP="003347F7">
      <w:pPr>
        <w:jc w:val="center"/>
        <w:rPr>
          <w:b/>
          <w:bCs/>
          <w:sz w:val="32"/>
          <w:szCs w:val="32"/>
        </w:rPr>
      </w:pPr>
      <w:r w:rsidRPr="001C7928">
        <w:rPr>
          <w:b/>
          <w:bCs/>
          <w:sz w:val="32"/>
          <w:szCs w:val="32"/>
        </w:rPr>
        <w:t>0800077</w:t>
      </w:r>
    </w:p>
    <w:p w14:paraId="079FD7AC" w14:textId="77777777" w:rsidR="003347F7" w:rsidRPr="001C7928" w:rsidRDefault="003347F7" w:rsidP="003347F7">
      <w:pPr>
        <w:jc w:val="center"/>
        <w:rPr>
          <w:b/>
          <w:bCs/>
          <w:sz w:val="32"/>
          <w:szCs w:val="32"/>
        </w:rPr>
      </w:pPr>
      <w:r w:rsidRPr="001C7928">
        <w:rPr>
          <w:b/>
          <w:bCs/>
          <w:sz w:val="32"/>
          <w:szCs w:val="32"/>
        </w:rPr>
        <w:t xml:space="preserve">Word Count: </w:t>
      </w:r>
      <w:r>
        <w:rPr>
          <w:b/>
          <w:bCs/>
          <w:sz w:val="32"/>
          <w:szCs w:val="32"/>
        </w:rPr>
        <w:t>4397</w:t>
      </w:r>
    </w:p>
    <w:p w14:paraId="1A219364" w14:textId="77777777" w:rsidR="003347F7" w:rsidRDefault="003347F7" w:rsidP="003347F7">
      <w:pPr>
        <w:jc w:val="center"/>
        <w:rPr>
          <w:sz w:val="28"/>
          <w:szCs w:val="28"/>
        </w:rPr>
      </w:pPr>
    </w:p>
    <w:p w14:paraId="152015C2" w14:textId="77777777" w:rsidR="003347F7" w:rsidRDefault="003347F7" w:rsidP="003347F7">
      <w:pPr>
        <w:jc w:val="center"/>
        <w:rPr>
          <w:sz w:val="28"/>
          <w:szCs w:val="28"/>
        </w:rPr>
      </w:pPr>
    </w:p>
    <w:p w14:paraId="0AEF7052" w14:textId="77777777" w:rsidR="003347F7" w:rsidRDefault="003347F7" w:rsidP="003347F7">
      <w:pPr>
        <w:jc w:val="center"/>
        <w:rPr>
          <w:sz w:val="28"/>
          <w:szCs w:val="28"/>
        </w:rPr>
      </w:pPr>
    </w:p>
    <w:p w14:paraId="1EB4C026" w14:textId="77777777" w:rsidR="003347F7" w:rsidRDefault="003347F7" w:rsidP="003347F7">
      <w:pPr>
        <w:jc w:val="center"/>
        <w:rPr>
          <w:sz w:val="28"/>
          <w:szCs w:val="28"/>
        </w:rPr>
      </w:pPr>
    </w:p>
    <w:p w14:paraId="173C3ACA" w14:textId="77777777" w:rsidR="003347F7" w:rsidRDefault="003347F7" w:rsidP="003347F7">
      <w:pPr>
        <w:jc w:val="center"/>
        <w:rPr>
          <w:sz w:val="28"/>
          <w:szCs w:val="28"/>
        </w:rPr>
      </w:pPr>
    </w:p>
    <w:p w14:paraId="7CA807B5" w14:textId="77777777" w:rsidR="003347F7" w:rsidRDefault="003347F7" w:rsidP="003347F7">
      <w:pPr>
        <w:jc w:val="center"/>
        <w:rPr>
          <w:sz w:val="28"/>
          <w:szCs w:val="28"/>
        </w:rPr>
      </w:pPr>
    </w:p>
    <w:p w14:paraId="553CB106" w14:textId="77777777" w:rsidR="003347F7" w:rsidRDefault="003347F7" w:rsidP="003347F7">
      <w:pPr>
        <w:jc w:val="center"/>
        <w:rPr>
          <w:sz w:val="28"/>
          <w:szCs w:val="28"/>
        </w:rPr>
      </w:pPr>
    </w:p>
    <w:p w14:paraId="14602034" w14:textId="77777777" w:rsidR="003347F7" w:rsidRDefault="003347F7" w:rsidP="003347F7">
      <w:pPr>
        <w:jc w:val="center"/>
        <w:rPr>
          <w:sz w:val="28"/>
          <w:szCs w:val="28"/>
        </w:rPr>
      </w:pPr>
    </w:p>
    <w:p w14:paraId="46C02961" w14:textId="77777777" w:rsidR="003347F7" w:rsidRDefault="003347F7" w:rsidP="003347F7">
      <w:pPr>
        <w:jc w:val="center"/>
        <w:rPr>
          <w:sz w:val="28"/>
          <w:szCs w:val="28"/>
        </w:rPr>
      </w:pPr>
    </w:p>
    <w:p w14:paraId="55005ACF" w14:textId="77777777" w:rsidR="003347F7" w:rsidRDefault="003347F7" w:rsidP="003347F7">
      <w:pPr>
        <w:jc w:val="center"/>
        <w:rPr>
          <w:sz w:val="28"/>
          <w:szCs w:val="28"/>
        </w:rPr>
      </w:pPr>
    </w:p>
    <w:p w14:paraId="09A8989C" w14:textId="77777777" w:rsidR="003347F7" w:rsidRDefault="003347F7" w:rsidP="003347F7">
      <w:pPr>
        <w:jc w:val="center"/>
        <w:rPr>
          <w:sz w:val="28"/>
          <w:szCs w:val="28"/>
        </w:rPr>
      </w:pPr>
    </w:p>
    <w:p w14:paraId="23F3513F" w14:textId="77777777" w:rsidR="003347F7" w:rsidRDefault="003347F7" w:rsidP="003347F7">
      <w:pPr>
        <w:jc w:val="center"/>
        <w:rPr>
          <w:sz w:val="28"/>
          <w:szCs w:val="28"/>
        </w:rPr>
      </w:pPr>
    </w:p>
    <w:p w14:paraId="488096AF" w14:textId="77777777" w:rsidR="003347F7" w:rsidRDefault="003347F7" w:rsidP="003347F7">
      <w:pPr>
        <w:jc w:val="center"/>
        <w:rPr>
          <w:sz w:val="28"/>
          <w:szCs w:val="28"/>
        </w:rPr>
      </w:pPr>
    </w:p>
    <w:p w14:paraId="08218547" w14:textId="77777777" w:rsidR="003347F7" w:rsidRDefault="003347F7" w:rsidP="003347F7">
      <w:pPr>
        <w:jc w:val="center"/>
        <w:rPr>
          <w:sz w:val="28"/>
          <w:szCs w:val="28"/>
        </w:rPr>
      </w:pPr>
    </w:p>
    <w:p w14:paraId="0902B622" w14:textId="77777777" w:rsidR="003347F7" w:rsidRDefault="003347F7" w:rsidP="003347F7">
      <w:pPr>
        <w:jc w:val="center"/>
        <w:rPr>
          <w:sz w:val="28"/>
          <w:szCs w:val="28"/>
        </w:rPr>
      </w:pPr>
    </w:p>
    <w:p w14:paraId="4811F8D0" w14:textId="77777777" w:rsidR="003347F7" w:rsidRDefault="003347F7" w:rsidP="003347F7">
      <w:pPr>
        <w:jc w:val="center"/>
        <w:rPr>
          <w:sz w:val="28"/>
          <w:szCs w:val="28"/>
        </w:rPr>
      </w:pPr>
    </w:p>
    <w:p w14:paraId="748321D2" w14:textId="77777777" w:rsidR="003347F7" w:rsidRDefault="003347F7" w:rsidP="003347F7">
      <w:pPr>
        <w:jc w:val="center"/>
        <w:rPr>
          <w:sz w:val="28"/>
          <w:szCs w:val="28"/>
        </w:rPr>
      </w:pPr>
    </w:p>
    <w:p w14:paraId="65B56275" w14:textId="77777777" w:rsidR="003347F7" w:rsidRDefault="003347F7" w:rsidP="003347F7">
      <w:pPr>
        <w:rPr>
          <w:sz w:val="28"/>
          <w:szCs w:val="28"/>
        </w:rPr>
      </w:pPr>
    </w:p>
    <w:p w14:paraId="7A8F155E" w14:textId="77777777" w:rsidR="003347F7" w:rsidRDefault="003347F7" w:rsidP="003347F7">
      <w:pPr>
        <w:spacing w:line="360" w:lineRule="auto"/>
        <w:rPr>
          <w:sz w:val="28"/>
          <w:szCs w:val="28"/>
        </w:rPr>
      </w:pPr>
    </w:p>
    <w:p w14:paraId="5E33A272" w14:textId="77777777" w:rsidR="003347F7" w:rsidRPr="007C238D" w:rsidRDefault="003347F7" w:rsidP="003347F7">
      <w:pPr>
        <w:spacing w:line="360" w:lineRule="auto"/>
        <w:jc w:val="center"/>
        <w:rPr>
          <w:b/>
          <w:bCs/>
          <w:u w:val="single"/>
        </w:rPr>
      </w:pPr>
      <w:r w:rsidRPr="007C238D">
        <w:rPr>
          <w:b/>
          <w:bCs/>
          <w:u w:val="single"/>
        </w:rPr>
        <w:lastRenderedPageBreak/>
        <w:t>Introduction</w:t>
      </w:r>
    </w:p>
    <w:p w14:paraId="7DEBCD72" w14:textId="77777777" w:rsidR="003347F7" w:rsidRDefault="003347F7" w:rsidP="003347F7">
      <w:pPr>
        <w:spacing w:line="360" w:lineRule="auto"/>
      </w:pPr>
      <w:r w:rsidRPr="007110F3">
        <w:t xml:space="preserve">The focus of this assignment is to evaluate an observed critical incident within a mainstream classroom setting as well as </w:t>
      </w:r>
      <w:r>
        <w:t xml:space="preserve">to </w:t>
      </w:r>
      <w:r w:rsidRPr="007110F3">
        <w:t xml:space="preserve">identify </w:t>
      </w:r>
      <w:r>
        <w:t xml:space="preserve">the </w:t>
      </w:r>
      <w:r w:rsidRPr="007110F3">
        <w:t xml:space="preserve">next steps in my own teaching and learning practice using reflective practice. Tripp (2012) supports this and observes that deep analysis of ‘critical incidents’ can inform teacher </w:t>
      </w:r>
      <w:r>
        <w:t>judgement</w:t>
      </w:r>
      <w:r w:rsidRPr="007110F3">
        <w:t xml:space="preserve"> and practice and although they can be serious in nature, they may also be observed moments that are ‘funny, sad, witty</w:t>
      </w:r>
      <w:proofErr w:type="gramStart"/>
      <w:r w:rsidRPr="007110F3">
        <w:t>…..</w:t>
      </w:r>
      <w:proofErr w:type="gramEnd"/>
      <w:r w:rsidRPr="007110F3">
        <w:t xml:space="preserve">boring, good’ or possibly even ‘trivial.’ </w:t>
      </w:r>
      <w:r>
        <w:t>A practitioner needs to reflect</w:t>
      </w:r>
      <w:r w:rsidRPr="007110F3">
        <w:t xml:space="preserve"> on critical incidents as “the observed incident offers a rare opportunity for deeper understanding of your development and pedagogy” (Tripp, 2012).</w:t>
      </w:r>
      <w:r w:rsidRPr="001B1897">
        <w:t xml:space="preserve"> </w:t>
      </w:r>
      <w:r>
        <w:t xml:space="preserve">Critical incident analysis is a useful technique for self-reflection (Mohammed, 2016). Some take the term to mean no more than constructive self-criticism of one’s actions with a view to improvement (Calderhead, 1989). </w:t>
      </w:r>
      <w:r w:rsidRPr="001B1897">
        <w:t xml:space="preserve">The theoretical underpinnings of reflective </w:t>
      </w:r>
      <w:r>
        <w:t>practice</w:t>
      </w:r>
      <w:r w:rsidRPr="001B1897">
        <w:t xml:space="preserve"> and its application to teaching</w:t>
      </w:r>
      <w:r>
        <w:t xml:space="preserve"> </w:t>
      </w:r>
      <w:r w:rsidRPr="001B1897">
        <w:t xml:space="preserve">will be further explored in the </w:t>
      </w:r>
      <w:r>
        <w:t xml:space="preserve">sections </w:t>
      </w:r>
      <w:r w:rsidRPr="001B1897">
        <w:t>that follow.</w:t>
      </w:r>
      <w:r w:rsidRPr="008B2D55">
        <w:t xml:space="preserve"> After a review of the literature, I will highlight some important points to help</w:t>
      </w:r>
      <w:r>
        <w:t xml:space="preserve"> </w:t>
      </w:r>
      <w:r w:rsidRPr="008B2D55">
        <w:t xml:space="preserve">better comprehend the </w:t>
      </w:r>
      <w:r>
        <w:t>critical incident</w:t>
      </w:r>
      <w:r w:rsidRPr="008B2D55">
        <w:t xml:space="preserve"> in question. After that, I will provide my reflection and suggest some next </w:t>
      </w:r>
      <w:r>
        <w:t xml:space="preserve">teaching and learning </w:t>
      </w:r>
      <w:r w:rsidRPr="008B2D55">
        <w:t xml:space="preserve">steps for </w:t>
      </w:r>
      <w:r>
        <w:t xml:space="preserve">my </w:t>
      </w:r>
      <w:r w:rsidRPr="008B2D55">
        <w:t>future practi</w:t>
      </w:r>
      <w:r>
        <w:t>ce.</w:t>
      </w:r>
    </w:p>
    <w:p w14:paraId="5A358D0B" w14:textId="77777777" w:rsidR="003347F7" w:rsidRPr="007C238D" w:rsidRDefault="003347F7" w:rsidP="003347F7">
      <w:pPr>
        <w:spacing w:line="360" w:lineRule="auto"/>
        <w:jc w:val="center"/>
        <w:rPr>
          <w:b/>
          <w:bCs/>
          <w:u w:val="single"/>
        </w:rPr>
      </w:pPr>
      <w:r w:rsidRPr="007C238D">
        <w:rPr>
          <w:b/>
          <w:bCs/>
          <w:u w:val="single"/>
        </w:rPr>
        <w:t>School Context</w:t>
      </w:r>
    </w:p>
    <w:p w14:paraId="5370B7EF" w14:textId="77777777" w:rsidR="003347F7" w:rsidRDefault="003347F7" w:rsidP="003347F7">
      <w:pPr>
        <w:spacing w:line="360" w:lineRule="auto"/>
      </w:pPr>
      <w:r>
        <w:t>It is important to note that b</w:t>
      </w:r>
      <w:r w:rsidRPr="002E2038">
        <w:t>ecause of the observer's</w:t>
      </w:r>
      <w:r>
        <w:t xml:space="preserve"> </w:t>
      </w:r>
      <w:r w:rsidRPr="002E2038">
        <w:t xml:space="preserve">position in this situation, </w:t>
      </w:r>
      <w:r>
        <w:t>the following parts must treat</w:t>
      </w:r>
      <w:r w:rsidRPr="002E2038">
        <w:t xml:space="preserve"> the individuals </w:t>
      </w:r>
      <w:r>
        <w:t>I</w:t>
      </w:r>
      <w:r w:rsidRPr="002E2038">
        <w:t xml:space="preserve"> have watched </w:t>
      </w:r>
      <w:r>
        <w:t>under</w:t>
      </w:r>
      <w:r w:rsidRPr="002E2038">
        <w:t xml:space="preserve"> BERA Guidelines.</w:t>
      </w:r>
      <w:r>
        <w:t xml:space="preserve"> The following sections align with BERA Guidelines regarding the treatment of the participants that have been observed during the observation. </w:t>
      </w:r>
      <w:r w:rsidRPr="002951CA">
        <w:t xml:space="preserve">To comply with the standard for educational research, the following parts will guarantee that the </w:t>
      </w:r>
      <w:r>
        <w:t>information</w:t>
      </w:r>
      <w:r w:rsidRPr="002951CA">
        <w:t xml:space="preserve"> obtained is kept private and anonymous (BERA, 2018).</w:t>
      </w:r>
      <w:r>
        <w:t xml:space="preserve"> This information covers the school, staff members, and pupils' names. </w:t>
      </w:r>
    </w:p>
    <w:p w14:paraId="264D3CF8" w14:textId="77777777" w:rsidR="003347F7" w:rsidRDefault="003347F7" w:rsidP="003347F7">
      <w:pPr>
        <w:spacing w:line="360" w:lineRule="auto"/>
      </w:pPr>
      <w:r w:rsidRPr="00E96713">
        <w:t xml:space="preserve">The observed critical incident took place at an English medium primary school based in the Swansea Local Authority. The school has 435 mixed-gender pupils on roll between ages 3-11 (Estyn, 2023). The school is made up of 16 classes. The school has </w:t>
      </w:r>
      <w:r>
        <w:t>a two-form</w:t>
      </w:r>
      <w:r w:rsidRPr="00E96713">
        <w:t xml:space="preserve"> entry for each year group from Nursery to Year 6. The classes are not </w:t>
      </w:r>
      <w:r>
        <w:t>mixed-year</w:t>
      </w:r>
      <w:r w:rsidRPr="00E96713">
        <w:t xml:space="preserve"> groups. (</w:t>
      </w:r>
      <w:proofErr w:type="spellStart"/>
      <w:proofErr w:type="gramStart"/>
      <w:r w:rsidRPr="00E96713">
        <w:t>mylocalschool.gov.wales</w:t>
      </w:r>
      <w:proofErr w:type="spellEnd"/>
      <w:proofErr w:type="gramEnd"/>
      <w:r w:rsidRPr="00E96713">
        <w:t>).</w:t>
      </w:r>
      <w:r>
        <w:t xml:space="preserve"> The incident recorded occurred within Key Stage 2 as opposed to the Foundation Phase. </w:t>
      </w:r>
      <w:r w:rsidRPr="0057755B">
        <w:t xml:space="preserve">The observed child </w:t>
      </w:r>
      <w:r>
        <w:t xml:space="preserve">(child X) </w:t>
      </w:r>
      <w:r w:rsidRPr="0057755B">
        <w:t xml:space="preserve">was a pupil in a Year 4 class. The class was made up of </w:t>
      </w:r>
      <w:r>
        <w:t>mixed-sex</w:t>
      </w:r>
      <w:r w:rsidRPr="0057755B">
        <w:t xml:space="preserve"> pupils – 14 boys and 9 girls. The class were working towards Progression </w:t>
      </w:r>
      <w:r>
        <w:t>Step</w:t>
      </w:r>
      <w:r w:rsidRPr="0057755B">
        <w:t xml:space="preserve"> 3 within the new Welsh curriculum. The class had a male teacher and a female teaching assistant (TA) supporting the lower ability (LA) group. The class had 2 pupils with ALN, one with ASD</w:t>
      </w:r>
      <w:r>
        <w:t>,</w:t>
      </w:r>
      <w:r w:rsidRPr="0057755B">
        <w:t xml:space="preserve"> and two pupils with English as </w:t>
      </w:r>
      <w:r>
        <w:t xml:space="preserve">an </w:t>
      </w:r>
      <w:r w:rsidRPr="0057755B">
        <w:t xml:space="preserve">additional language (EAL). The class </w:t>
      </w:r>
      <w:r>
        <w:t>were</w:t>
      </w:r>
      <w:r w:rsidRPr="0057755B">
        <w:t xml:space="preserve"> grouped </w:t>
      </w:r>
      <w:r>
        <w:t>into</w:t>
      </w:r>
      <w:r w:rsidRPr="0057755B">
        <w:t xml:space="preserve"> ability groups and sat at tables in these groups.</w:t>
      </w:r>
      <w:r>
        <w:t xml:space="preserve"> </w:t>
      </w:r>
      <w:r w:rsidRPr="0057755B">
        <w:t>The observed critical incident took place during the first lesson of the day.</w:t>
      </w:r>
      <w:r>
        <w:t xml:space="preserve"> The researcher observed the clock showing 9:15 a.m. This is of significance as it is the start of the day and close to the transition from home to school.</w:t>
      </w:r>
      <w:r w:rsidRPr="0057755B">
        <w:t xml:space="preserve"> </w:t>
      </w:r>
      <w:r w:rsidRPr="0057755B">
        <w:lastRenderedPageBreak/>
        <w:t>It is important to</w:t>
      </w:r>
      <w:r>
        <w:t xml:space="preserve"> also </w:t>
      </w:r>
      <w:r w:rsidRPr="0057755B">
        <w:t>note that the date of the observation is July 25</w:t>
      </w:r>
      <w:r w:rsidRPr="0057755B">
        <w:rPr>
          <w:vertAlign w:val="superscript"/>
        </w:rPr>
        <w:t>th</w:t>
      </w:r>
      <w:r w:rsidRPr="0057755B">
        <w:t xml:space="preserve">. </w:t>
      </w:r>
      <w:r>
        <w:t xml:space="preserve"> </w:t>
      </w:r>
      <w:r w:rsidRPr="0057755B">
        <w:t xml:space="preserve">This could have some impact on </w:t>
      </w:r>
      <w:r>
        <w:t xml:space="preserve">the observed </w:t>
      </w:r>
      <w:r w:rsidRPr="0057755B">
        <w:t xml:space="preserve">child </w:t>
      </w:r>
      <w:r>
        <w:t>X’</w:t>
      </w:r>
      <w:r w:rsidRPr="0057755B">
        <w:t xml:space="preserve">s behaviour as </w:t>
      </w:r>
      <w:r>
        <w:t>it is</w:t>
      </w:r>
      <w:r w:rsidRPr="0057755B">
        <w:t xml:space="preserve"> nearly the end of the academic year The </w:t>
      </w:r>
      <w:r>
        <w:t xml:space="preserve">main </w:t>
      </w:r>
      <w:r w:rsidRPr="0057755B">
        <w:t>aim of the lesson was “to make inferences” which has its place within the AoLE Languages, Literacy and Communication. The researcher observed</w:t>
      </w:r>
      <w:r>
        <w:t xml:space="preserve"> child X</w:t>
      </w:r>
      <w:r w:rsidRPr="0057755B">
        <w:t xml:space="preserve"> disengaged during the introduction of the lesson. Child X was observed fiddling with his pen, drawing on his fingers</w:t>
      </w:r>
      <w:r>
        <w:t>,</w:t>
      </w:r>
      <w:r w:rsidRPr="0057755B">
        <w:t xml:space="preserve"> and licking his fingers. When the pupil saw the teacher start a practical activity involving footwear, the behaviour ceased, and the child became highly engaged in the </w:t>
      </w:r>
      <w:r>
        <w:t xml:space="preserve">practical </w:t>
      </w:r>
      <w:r w:rsidRPr="0057755B">
        <w:t xml:space="preserve">activity with his peers. The researcher observed this enjoyment of practical engagement at several different times throughout the lesson. This led to </w:t>
      </w:r>
      <w:r>
        <w:t xml:space="preserve">a </w:t>
      </w:r>
      <w:r w:rsidRPr="0057755B">
        <w:t xml:space="preserve">deeper study of behaviour management and the theoretical underpinnings of </w:t>
      </w:r>
      <w:r>
        <w:t xml:space="preserve">constructivism </w:t>
      </w:r>
      <w:r w:rsidRPr="0057755B">
        <w:t xml:space="preserve">as a pedagogical approach. </w:t>
      </w:r>
    </w:p>
    <w:p w14:paraId="7C28B435" w14:textId="77777777" w:rsidR="003347F7" w:rsidRPr="0057755B" w:rsidRDefault="003347F7" w:rsidP="003347F7">
      <w:pPr>
        <w:spacing w:line="360" w:lineRule="auto"/>
      </w:pPr>
    </w:p>
    <w:p w14:paraId="40964559" w14:textId="77777777" w:rsidR="003347F7" w:rsidRPr="005B258A" w:rsidRDefault="003347F7" w:rsidP="003347F7">
      <w:pPr>
        <w:spacing w:line="360" w:lineRule="auto"/>
        <w:jc w:val="center"/>
      </w:pPr>
      <w:r w:rsidRPr="005B258A">
        <w:rPr>
          <w:b/>
          <w:bCs/>
          <w:u w:val="single"/>
        </w:rPr>
        <w:t>Connection to the Four Purposes</w:t>
      </w:r>
    </w:p>
    <w:p w14:paraId="5FEF36FB" w14:textId="77777777" w:rsidR="003347F7" w:rsidRDefault="003347F7" w:rsidP="003347F7">
      <w:pPr>
        <w:spacing w:line="360" w:lineRule="auto"/>
        <w:rPr>
          <w:highlight w:val="yellow"/>
        </w:rPr>
      </w:pPr>
      <w:r w:rsidRPr="00656306">
        <w:t xml:space="preserve">The </w:t>
      </w:r>
      <w:r>
        <w:t xml:space="preserve">chosen incident </w:t>
      </w:r>
      <w:r w:rsidRPr="00656306">
        <w:t xml:space="preserve">observation will be described and examined </w:t>
      </w:r>
      <w:r>
        <w:t>concerning</w:t>
      </w:r>
      <w:r w:rsidRPr="00656306">
        <w:t xml:space="preserve"> the Four Purposes and the new Welsh curriculum.</w:t>
      </w:r>
      <w:r>
        <w:t xml:space="preserve"> The four purposes are the shared vision and aspiration for every child and young person in Wales. </w:t>
      </w:r>
      <w:r w:rsidRPr="001531AC">
        <w:t xml:space="preserve">It is also critical to obtain a broader perspective of the incident considering </w:t>
      </w:r>
      <w:r>
        <w:t>"</w:t>
      </w:r>
      <w:r w:rsidRPr="001531AC">
        <w:t>the 'Curriculum for Wales 2022' reform.</w:t>
      </w:r>
      <w:r>
        <w:t xml:space="preserve"> In 2015, Professor Graham Donaldson compiled a report</w:t>
      </w:r>
      <w:r w:rsidRPr="000B3ABE">
        <w:t xml:space="preserve"> </w:t>
      </w:r>
      <w:r>
        <w:t xml:space="preserve">on the Review of Curriculum and Assessment Arrangements in Wales from the Foundation Phase to Key Stage 4. (Donaldson, 2015, p.1). There was a need for curriculum reform in Wales as “the Welsh Government recognised how important it is that each child and young person in Wales should be able to benefit from curriculum and assessment arrangements that will best meet their present needs and equip them for their future lives to help each one of them to grow as a capable, healthy, well-rounded individual who can thrive in the face of unknown future challenges (Donaldson, 2015, </w:t>
      </w:r>
      <w:r w:rsidRPr="009836B2">
        <w:t>p.7). Producing individuals with such qualities is key to being able to meet the changing pressures and challenges facing Wales and the wider world today, and in the future (Donaldson, 2015).</w:t>
      </w:r>
      <w:r>
        <w:t xml:space="preserve"> </w:t>
      </w:r>
      <w:r w:rsidRPr="009836B2">
        <w:t>The</w:t>
      </w:r>
      <w:r w:rsidRPr="00062B52">
        <w:t xml:space="preserve"> delivery of the curriculum is to be driven by the four purposes that together, indicate what education should now be providing to strive for achievement across Wales (Welsh Government, 2021).</w:t>
      </w:r>
      <w:r w:rsidRPr="00CD1637">
        <w:t xml:space="preserve"> </w:t>
      </w:r>
      <w:r>
        <w:t>The Welsh Government highlight the importance of critical and civic engagement. “</w:t>
      </w:r>
      <w:r w:rsidRPr="00180E9E">
        <w:t>Critical engagement refers to two main categories of active learning and engagement</w:t>
      </w:r>
      <w:r>
        <w:t xml:space="preserve">” (MCAD Intranet). One of these categories is, </w:t>
      </w:r>
      <w:r w:rsidRPr="00180E9E">
        <w:t>how you act/interact in the classroom</w:t>
      </w:r>
      <w:r>
        <w:t>. T</w:t>
      </w:r>
      <w:r w:rsidRPr="002F745F">
        <w:t>he concept of “engagement” is predicated on the belief that learning improves when students are inquisitive, interested, or inspired, and that learning tends to suffer when students are bored, dispassionate, disaffected, or otherwise</w:t>
      </w:r>
      <w:r>
        <w:t xml:space="preserve"> </w:t>
      </w:r>
      <w:r w:rsidRPr="002F745F">
        <w:t>“disengaged.”</w:t>
      </w:r>
      <w:r>
        <w:t xml:space="preserve"> (</w:t>
      </w:r>
      <w:r w:rsidRPr="00207DFC">
        <w:t>edglossary.org</w:t>
      </w:r>
      <w:r>
        <w:t xml:space="preserve">). The researcher observed child X appearing bored and disengaged during the lesson introduction. </w:t>
      </w:r>
    </w:p>
    <w:p w14:paraId="771D183E" w14:textId="77777777" w:rsidR="003347F7" w:rsidRDefault="003347F7" w:rsidP="003347F7">
      <w:pPr>
        <w:spacing w:line="360" w:lineRule="auto"/>
        <w:jc w:val="center"/>
        <w:rPr>
          <w:b/>
          <w:bCs/>
          <w:u w:val="single"/>
        </w:rPr>
      </w:pPr>
      <w:r w:rsidRPr="005B258A">
        <w:rPr>
          <w:b/>
          <w:bCs/>
          <w:u w:val="single"/>
        </w:rPr>
        <w:lastRenderedPageBreak/>
        <w:t>Critical Incident Overview</w:t>
      </w:r>
    </w:p>
    <w:p w14:paraId="3237F34B" w14:textId="77777777" w:rsidR="003347F7" w:rsidRDefault="003347F7" w:rsidP="003347F7">
      <w:pPr>
        <w:spacing w:line="360" w:lineRule="auto"/>
      </w:pPr>
      <w:r w:rsidRPr="00DD077B">
        <w:t>The selected incident for this assignment took place during a Year 4 class's first lesson of the day, and it is described in</w:t>
      </w:r>
      <w:r>
        <w:t xml:space="preserve"> more detail in</w:t>
      </w:r>
      <w:r w:rsidRPr="00DD077B">
        <w:t xml:space="preserve"> Appendix A.</w:t>
      </w:r>
      <w:r>
        <w:t xml:space="preserve"> The number of pupils in attendance was 23, with one class teacher and a TA.</w:t>
      </w:r>
      <w:r w:rsidRPr="007A2953">
        <w:t xml:space="preserve"> </w:t>
      </w:r>
      <w:r>
        <w:t xml:space="preserve">The observed critical incident was involved in the higher ability grouping on a table of 3 boys. 2 were sat next to each other and one was on the opposite side of the table. A seating plan of the classroom is evidenced in Appendix B. </w:t>
      </w:r>
    </w:p>
    <w:p w14:paraId="277D45F6" w14:textId="77777777" w:rsidR="003347F7" w:rsidRDefault="003347F7" w:rsidP="003347F7">
      <w:pPr>
        <w:spacing w:line="360" w:lineRule="auto"/>
      </w:pPr>
      <w:r>
        <w:t>To put the incident in context, the pupils all sat at their desks as the teacher stood at the front of the class leading the opening task. The teacher had a picture on the interactive whiteboard with the question “What inferences can you make?”. All the children had whiteboards and pens to write their answers on. The teacher and the class listened as a pupil shared his answer with the class. The teacher then instructs the class on his expectations of having 5 more inferences shared. He gives this instruction in Welsh asking the children for ‘pump’ inferences. At this point, much of the class are eager to share their thinking and several children raise their hands. Child X is looking down at his desk and is fiddling with the pen rolling it back and forth, not engaged in the learning or offering to share ideas. The child begins to move a sheet of paper on the desk to see if the pen would move. The child then flicks the pen with his finger to make it move. At this point, many children in the class have their hands raised to respond to the teacher's instruction of pump inferences. Child X looks up briefly. He continues to play with his pen, this time tapping it against the edge of the table. The teacher stops the class and explains the main part of the lesson. He explains that each table will receive a piece of footwear and that the children can touch it, smell it, and look at it to make inferences. It is at this point that child X becomes increasingly engaged and lifts his head, sits up straight, folds his arms, and puts his pen down. The children are instructed to work with peers in their groups at their table. It is at this point that Child X becomes increasingly engaged and shows enjoyment and participation in the practical task.</w:t>
      </w:r>
    </w:p>
    <w:p w14:paraId="0BF1AD4F" w14:textId="77777777" w:rsidR="003347F7" w:rsidRDefault="003347F7" w:rsidP="003347F7">
      <w:pPr>
        <w:spacing w:line="360" w:lineRule="auto"/>
        <w:jc w:val="center"/>
        <w:rPr>
          <w:b/>
          <w:bCs/>
          <w:u w:val="single"/>
        </w:rPr>
      </w:pPr>
      <w:r w:rsidRPr="007C238D">
        <w:rPr>
          <w:b/>
          <w:bCs/>
          <w:u w:val="single"/>
        </w:rPr>
        <w:t>Literature Review</w:t>
      </w:r>
    </w:p>
    <w:p w14:paraId="5192795A" w14:textId="77777777" w:rsidR="003347F7" w:rsidRDefault="003347F7" w:rsidP="003347F7">
      <w:pPr>
        <w:spacing w:line="360" w:lineRule="auto"/>
      </w:pPr>
      <w:r w:rsidRPr="00015500">
        <w:t>Some key areas can now be discussed within a review of the literatur</w:t>
      </w:r>
      <w:r>
        <w:t xml:space="preserve">e which were highlighted during the observed incident. The following literature review will focus on learning theories of disengagement as well as the factors of this, before also discussing the role of behaviour management within the classroom to engage children. When doing this, I will also look at theories of behaviourism including cognitive load therapy and Maslow's Hierarchy of Needs. </w:t>
      </w:r>
    </w:p>
    <w:p w14:paraId="7B4660BC" w14:textId="77777777" w:rsidR="003347F7" w:rsidRDefault="003347F7" w:rsidP="003347F7">
      <w:pPr>
        <w:spacing w:line="360" w:lineRule="auto"/>
      </w:pPr>
      <w:r>
        <w:t>There are many different learning theories relating to disengagement in education. Here are some of the key learning theories and their connections to disengagement.</w:t>
      </w:r>
      <w:r w:rsidRPr="002876DD">
        <w:t xml:space="preserve"> </w:t>
      </w:r>
      <w:r>
        <w:t xml:space="preserve">First, it is significant to look at </w:t>
      </w:r>
      <w:r>
        <w:lastRenderedPageBreak/>
        <w:t xml:space="preserve">behaviourism. </w:t>
      </w:r>
      <w:r w:rsidRPr="002876DD">
        <w:t xml:space="preserve">According to behaviourism, connections between </w:t>
      </w:r>
      <w:r>
        <w:t xml:space="preserve">external </w:t>
      </w:r>
      <w:r w:rsidRPr="002876DD">
        <w:t xml:space="preserve">stimuli and responses lead to </w:t>
      </w:r>
      <w:r w:rsidRPr="00C8156D">
        <w:t>learning</w:t>
      </w:r>
      <w:r>
        <w:t xml:space="preserve"> </w:t>
      </w:r>
      <w:r w:rsidRPr="00C8156D">
        <w:t>(Behlol</w:t>
      </w:r>
      <w:r>
        <w:t xml:space="preserve"> &amp; </w:t>
      </w:r>
      <w:r w:rsidRPr="00C8156D">
        <w:t>D</w:t>
      </w:r>
      <w:r w:rsidRPr="000D7C21">
        <w:t>ad,</w:t>
      </w:r>
      <w:r>
        <w:t xml:space="preserve"> </w:t>
      </w:r>
      <w:r w:rsidRPr="000D7C21">
        <w:t>2010).</w:t>
      </w:r>
      <w:r>
        <w:t xml:space="preserve"> Klein (1996) states that behaviourism is a school of thought that emphasizes the role of experience in governing behaviour both the drives that initiate behaviour and the specific behaviours motivated by these drives are learned through our interaction with the environment (p. 23). This tells us that learners are motivated by reward or praise which reinforces learning. Watson (2013) agrees by saying that “the learner starts off as a clean slate (</w:t>
      </w:r>
      <w:proofErr w:type="gramStart"/>
      <w:r>
        <w:t>i.e.</w:t>
      </w:r>
      <w:proofErr w:type="gramEnd"/>
      <w:r>
        <w:t xml:space="preserve"> tabula rasa) and behaviour is shaped through positive reinforcement or negative reinforcement. During the observation, child X may have become disengaged during the introduction as he was not motivated by external rewards or punishment. It is fair to say that if he received negative reinforcement the behaviour of fiddling with his pen may have stopped. </w:t>
      </w:r>
      <w:r w:rsidRPr="007D330B">
        <w:t>Negative reinforcement is the encouragement of certain behaviours by removing or avoiding a negative outcome or stimuli</w:t>
      </w:r>
      <w:r>
        <w:t xml:space="preserve"> </w:t>
      </w:r>
      <w:r w:rsidRPr="00B84358">
        <w:t>(Cherry, K 2022).</w:t>
      </w:r>
      <w:r>
        <w:t xml:space="preserve"> </w:t>
      </w:r>
      <w:r w:rsidRPr="00126904">
        <w:t>B. F. Skinner created the operant conditioning theory of learning in the 1930s, and it includes negative reinforcement.</w:t>
      </w:r>
      <w:r>
        <w:t xml:space="preserve"> </w:t>
      </w:r>
      <w:r w:rsidRPr="00D53B38">
        <w:t>Reinforcement is the central concept of operant conditioning.</w:t>
      </w:r>
      <w:r>
        <w:t xml:space="preserve"> Cited in Gray and McBlain 2015, Skinner believes that rewards/positive reinforcers lead to good behaviour and punishment/negative reinforcers eliminate unacceptable behaviour (p. 62).</w:t>
      </w:r>
      <w:r w:rsidRPr="00D53B38">
        <w:t xml:space="preserve"> </w:t>
      </w:r>
      <w:r>
        <w:t xml:space="preserve">Skinner coined the term operant or instrumental conditioning to explain the influence positive or negative reinforcers have on shaping and maintaining the child's behaviour (Gray and </w:t>
      </w:r>
      <w:proofErr w:type="spellStart"/>
      <w:r>
        <w:t>MacBlain</w:t>
      </w:r>
      <w:proofErr w:type="spellEnd"/>
      <w:r>
        <w:t>, 2015, p.4).</w:t>
      </w:r>
      <w:r w:rsidRPr="00D53B38">
        <w:t xml:space="preserve"> Behaviours that receive reinforcement are more likely to recur. </w:t>
      </w:r>
      <w:r>
        <w:t xml:space="preserve">Skinner demonstrated his operant conditioning theory by observing animals in what researchers became to know as Skinner's box. This experiment involved a hungry rat inside his Skinner box to demonstrate the effects of positive reinforcement. </w:t>
      </w:r>
      <w:r w:rsidRPr="00C1450C">
        <w:t>People have long applied operant conditioning to help children and teenagers learn in schoo</w:t>
      </w:r>
      <w:r>
        <w:t xml:space="preserve">l (Kandola, 2020). This method is simple and effective as it encourages changes in behaviour. To link the observed incident with operant conditioning, to stop child x’s behaviour of playing with the pen and licking his fingers, removing the pen from the child would have stopped the behaviour. This is an example of negative reinforcement. </w:t>
      </w:r>
    </w:p>
    <w:p w14:paraId="55FA13D7" w14:textId="77777777" w:rsidR="003347F7" w:rsidRDefault="003347F7" w:rsidP="003347F7">
      <w:pPr>
        <w:spacing w:line="360" w:lineRule="auto"/>
      </w:pPr>
      <w:r>
        <w:t xml:space="preserve">It is important to say that different factors will motivate different pupils and that all pupils are different in their learning. We must consider, individual pupil characteristics, teaching methods, and classroom environment when looking at disengagement.  Cognitive load theory has a connection to disengagement. This varies for each pupil as each child has their own cognitive load. This theory was formulated by John Sweller (1998) to explain that our working memory can only manage a limited amount of information at one time. (Sweller, 2002). TES, 2023 agrees and explains that </w:t>
      </w:r>
      <w:r w:rsidRPr="008135AC">
        <w:t>Cognitive load theory suggests that working memory can only manage a limited amount of information at one time</w:t>
      </w:r>
      <w:r>
        <w:t xml:space="preserve">. </w:t>
      </w:r>
      <w:r w:rsidRPr="004E46C9">
        <w:t>The cognitive load involved in a task is the cognitive effort (or amount of information processing) required by a person to perform this task.’</w:t>
      </w:r>
      <w:r>
        <w:t xml:space="preserve"> (Reif, 2010 cited in </w:t>
      </w:r>
      <w:proofErr w:type="spellStart"/>
      <w:r>
        <w:t>Shiblie</w:t>
      </w:r>
      <w:proofErr w:type="spellEnd"/>
      <w:r>
        <w:t xml:space="preserve"> and West 2018).</w:t>
      </w:r>
      <w:r w:rsidRPr="008135AC">
        <w:t xml:space="preserve"> </w:t>
      </w:r>
      <w:r>
        <w:lastRenderedPageBreak/>
        <w:t>There are three forms of cognitive load, Intrinsic load (</w:t>
      </w:r>
      <w:r w:rsidRPr="00C75DD6">
        <w:t>the inherent difficulty of the material</w:t>
      </w:r>
      <w:r>
        <w:t>), Extraneous load (</w:t>
      </w:r>
      <w:r w:rsidRPr="000D4FA8">
        <w:t>generated by the way the material is presented</w:t>
      </w:r>
      <w:r>
        <w:t>),</w:t>
      </w:r>
      <w:r w:rsidRPr="000D4FA8">
        <w:t xml:space="preserve"> </w:t>
      </w:r>
      <w:r>
        <w:t>and Germane load (</w:t>
      </w:r>
      <w:r w:rsidRPr="002F5648">
        <w:t>the elements that aid information processing and contribute to the development of ‘schemas’</w:t>
      </w:r>
      <w:r>
        <w:t>). (</w:t>
      </w:r>
      <w:r w:rsidRPr="00161D60">
        <w:t>Kelleher</w:t>
      </w:r>
      <w:r>
        <w:t xml:space="preserve">, 2021). If the cognitive load is too high, the child may become disengaged and </w:t>
      </w:r>
      <w:proofErr w:type="spellStart"/>
      <w:r>
        <w:t>Keheller</w:t>
      </w:r>
      <w:proofErr w:type="spellEnd"/>
      <w:r>
        <w:t xml:space="preserve"> states that c</w:t>
      </w:r>
      <w:r w:rsidRPr="0073798F">
        <w:t>ognitive load is often a barrier to learning</w:t>
      </w:r>
      <w:r>
        <w:t xml:space="preserve"> (2021). </w:t>
      </w:r>
      <w:r w:rsidRPr="00C96C88">
        <w:t xml:space="preserve">When a task becomes too difficult or demanding, it can exhaust </w:t>
      </w:r>
      <w:r>
        <w:t xml:space="preserve">the pupil’s </w:t>
      </w:r>
      <w:r w:rsidRPr="00C96C88">
        <w:t>cognitive resources, resulting in frustration and disengagement. On the other hand, if a</w:t>
      </w:r>
      <w:r>
        <w:t xml:space="preserve"> task</w:t>
      </w:r>
      <w:r w:rsidRPr="00C96C88">
        <w:t xml:space="preserve"> is overly basic and does not challenge the p</w:t>
      </w:r>
      <w:r>
        <w:t>upil</w:t>
      </w:r>
      <w:r w:rsidRPr="00C96C88">
        <w:t xml:space="preserve">, it may </w:t>
      </w:r>
      <w:r>
        <w:t xml:space="preserve">also </w:t>
      </w:r>
      <w:r w:rsidRPr="00C96C88">
        <w:t>result in boredom and disengagement.</w:t>
      </w:r>
      <w:r>
        <w:t xml:space="preserve"> During the observed incident, it is fair to assume that the introduction task “What inferences can you make?” was pitched at a level too low for child X as he was part of a higher-ability group, and this potentially led to disengagement. There are several things that a teacher can do within the classroom to get the load just right for pupils. The case study will provide some further discussion of this. </w:t>
      </w:r>
    </w:p>
    <w:p w14:paraId="75D80F92" w14:textId="77777777" w:rsidR="003347F7" w:rsidRDefault="003347F7" w:rsidP="003347F7">
      <w:pPr>
        <w:spacing w:line="360" w:lineRule="auto"/>
      </w:pPr>
      <w:r>
        <w:t>Another theory that can be linked with disengagement is Maslow’s Hierarchy of Needs.  Abraham Maslow was an American psychologist, and he developed a theory in 1943 where he introduced the concept of a hierarchy of needs. Maslow’s pyramid of needs model is evidenced in Appendix C. Hopper (2020) states that “</w:t>
      </w:r>
      <w:r w:rsidRPr="00FB6D04">
        <w:t>Maslow proposed that human needs can be organized into a hierarchy</w:t>
      </w:r>
      <w:r>
        <w:t xml:space="preserve">” to better understand what motivates human beings (p.1). This theory highlights </w:t>
      </w:r>
      <w:r w:rsidRPr="00ED3E83">
        <w:t>that people are motivated by five basic categories of needs: physiological, safety, love, esteem, and self-actualization</w:t>
      </w:r>
      <w:r>
        <w:t xml:space="preserve"> (Hopper, 2020).</w:t>
      </w:r>
      <w:r w:rsidRPr="000B176A">
        <w:t xml:space="preserve"> Maslow’s Hierarchy of Needs has often been represented in a hierarchical pyramid with five levels.</w:t>
      </w:r>
      <w:r>
        <w:t xml:space="preserve"> In education, pupils</w:t>
      </w:r>
      <w:r w:rsidRPr="003C6802">
        <w:t xml:space="preserve"> are less likely to participate in learning if their basic </w:t>
      </w:r>
      <w:r>
        <w:t>needs (</w:t>
      </w:r>
      <w:r w:rsidRPr="003C6802">
        <w:t xml:space="preserve">physiological, safety, etc.) are not </w:t>
      </w:r>
      <w:r>
        <w:t>met</w:t>
      </w:r>
      <w:r w:rsidRPr="003C6802">
        <w:t xml:space="preserve">. If pupils are focused </w:t>
      </w:r>
      <w:r>
        <w:t>on</w:t>
      </w:r>
      <w:r w:rsidRPr="003C6802">
        <w:t xml:space="preserve"> meeting these basic requirements, they may become disengaged</w:t>
      </w:r>
      <w:r>
        <w:t xml:space="preserve">. This may have been the case with child X and a deeper analysis of this will follow in the case study. </w:t>
      </w:r>
    </w:p>
    <w:p w14:paraId="7CDA4687" w14:textId="77777777" w:rsidR="003347F7" w:rsidRDefault="003347F7" w:rsidP="003347F7">
      <w:pPr>
        <w:spacing w:line="360" w:lineRule="auto"/>
      </w:pPr>
      <w:r>
        <w:t>Here, we can also consider how a class teacher’s behaviour management strategies can be used to successfully engage children.</w:t>
      </w:r>
      <w:r w:rsidRPr="00E210E8">
        <w:t xml:space="preserve"> </w:t>
      </w:r>
      <w:r>
        <w:t>Parsonson, (2012) believes that one way to increase the engagement of all pupils includes having everyone write answers to teacher questions, instead of seeking for one right answer. The teacher in the observed incident was observed using this strategy as all the pupils had individual whiteboards and pens to write down their answers. Several children in the observed incident were engaged and this strategy worked well. Another strategy to consider is one that choice and access to preferred activities increases engagement and reduces problem behaviour</w:t>
      </w:r>
      <w:r w:rsidRPr="00C604A2">
        <w:t xml:space="preserve"> </w:t>
      </w:r>
      <w:r>
        <w:t>(</w:t>
      </w:r>
      <w:r w:rsidRPr="00C604A2">
        <w:t>Dunlap et al., 1994</w:t>
      </w:r>
      <w:r>
        <w:t xml:space="preserve">). </w:t>
      </w:r>
      <w:r w:rsidRPr="00F421D3">
        <w:t xml:space="preserve">Activities that are based on the specific interests of the children themselves can greatly boost </w:t>
      </w:r>
      <w:r>
        <w:t xml:space="preserve">engagement. During the main task of the observation, it may have been effective to have the children choose their footwear or objects of interest to make inferences on, rather than the teacher </w:t>
      </w:r>
      <w:r>
        <w:lastRenderedPageBreak/>
        <w:t>giving them a pre-chosen piece of footwear.</w:t>
      </w:r>
      <w:r w:rsidRPr="00574024">
        <w:t xml:space="preserve"> This validates the approach that suggests engaging in activities</w:t>
      </w:r>
      <w:r>
        <w:t xml:space="preserve"> of specific interest boosts engagement. </w:t>
      </w:r>
    </w:p>
    <w:p w14:paraId="5CD097DC" w14:textId="77777777" w:rsidR="003347F7" w:rsidRDefault="003347F7" w:rsidP="003347F7">
      <w:pPr>
        <w:spacing w:line="360" w:lineRule="auto"/>
        <w:jc w:val="center"/>
        <w:rPr>
          <w:b/>
          <w:bCs/>
          <w:u w:val="single"/>
        </w:rPr>
      </w:pPr>
      <w:r w:rsidRPr="007C238D">
        <w:rPr>
          <w:b/>
          <w:bCs/>
          <w:u w:val="single"/>
        </w:rPr>
        <w:t>Case Study</w:t>
      </w:r>
    </w:p>
    <w:p w14:paraId="495EC5A3" w14:textId="77777777" w:rsidR="003347F7" w:rsidRPr="00B066F7" w:rsidRDefault="003347F7" w:rsidP="003347F7">
      <w:pPr>
        <w:spacing w:line="360" w:lineRule="auto"/>
        <w:rPr>
          <w:highlight w:val="yellow"/>
        </w:rPr>
      </w:pPr>
      <w:r>
        <w:t>Wholey et al (1994) defines a case study as “a method of developing a complete understanding of a process, programme, event or activity” (p,163).</w:t>
      </w:r>
      <w:r w:rsidRPr="00F462E5">
        <w:t xml:space="preserve"> </w:t>
      </w:r>
      <w:r>
        <w:t>A</w:t>
      </w:r>
      <w:r w:rsidRPr="00F462E5">
        <w:t>ccording to Nisbet and Watt a ‘case study’ can be thought of as ‘an instance in action’ 1984 p.72 (in Cohen, Manion and Morrison 2006 p.253)</w:t>
      </w:r>
      <w:r>
        <w:t xml:space="preserve">. The observed incident as discussed in the overview above is significant as it tells us about disengagement in the classroom. It highlights the importance of the underpinnings of pupil engagement in a lesson. Here, we will discuss the literature a bit </w:t>
      </w:r>
      <w:r w:rsidRPr="0065270F">
        <w:t xml:space="preserve">further and aim to develop a complete understanding of the observed activity. The theories discussed here, highlight the importance of active, hands-on learning experiences, </w:t>
      </w:r>
      <w:r>
        <w:t xml:space="preserve">and </w:t>
      </w:r>
      <w:r w:rsidRPr="0065270F">
        <w:t xml:space="preserve">the importance of an adult or peer to scaffold learning. </w:t>
      </w:r>
    </w:p>
    <w:p w14:paraId="53D0DB93" w14:textId="77777777" w:rsidR="003347F7" w:rsidRDefault="003347F7" w:rsidP="003347F7">
      <w:pPr>
        <w:spacing w:line="360" w:lineRule="auto"/>
      </w:pPr>
      <w:r>
        <w:t>Let’s explore Cognitive Load Theory (CLT).</w:t>
      </w:r>
      <w:r w:rsidRPr="00530B45">
        <w:t xml:space="preserve"> CLT is a way of explaining how students learn new information</w:t>
      </w:r>
      <w:r>
        <w:t xml:space="preserve"> </w:t>
      </w:r>
      <w:bookmarkStart w:id="0" w:name="_Hlk149910797"/>
      <w:r>
        <w:t xml:space="preserve">(Twinkl, 2020). </w:t>
      </w:r>
      <w:bookmarkEnd w:id="0"/>
      <w:r w:rsidRPr="000C4CA4">
        <w:t>Achieving the ideal cognitive load in the classroom requires careful balancing</w:t>
      </w:r>
      <w:r>
        <w:t xml:space="preserve">. </w:t>
      </w:r>
      <w:r w:rsidRPr="00C10C29">
        <w:t>According to Clark et al. (2006), as an instructional designer, your goal is to reduce the extraneous load, maximize the germane load, and manage the intrinsic load.</w:t>
      </w:r>
      <w:r>
        <w:t xml:space="preserve"> Barry (2019) agrees and states that “</w:t>
      </w:r>
      <w:r w:rsidRPr="0081043B">
        <w:t>a great teacher should aim to reduce extraneous processing through smart learning design</w:t>
      </w:r>
      <w:r>
        <w:t>”.</w:t>
      </w:r>
      <w:r w:rsidRPr="00885A99">
        <w:t xml:space="preserve"> When we think about CLT in the context of the primary school classroom, balancing each type of CLT is crucial</w:t>
      </w:r>
      <w:r>
        <w:t xml:space="preserve"> </w:t>
      </w:r>
      <w:r w:rsidRPr="00885A99">
        <w:t>(Twinkl, 2020).</w:t>
      </w:r>
      <w:r>
        <w:t xml:space="preserve"> Teachers</w:t>
      </w:r>
      <w:r w:rsidRPr="007A18C5">
        <w:t xml:space="preserve"> can adjust the cognitive load </w:t>
      </w:r>
      <w:r>
        <w:t xml:space="preserve">in various ways including </w:t>
      </w:r>
      <w:r w:rsidRPr="007A18C5">
        <w:t>breaking down complex concepts into manageable chunks, using real-life examples,</w:t>
      </w:r>
      <w:r>
        <w:t xml:space="preserve"> scaffolding learning,</w:t>
      </w:r>
      <w:r w:rsidRPr="007A18C5">
        <w:t xml:space="preserve"> and providing opportunities for </w:t>
      </w:r>
      <w:r>
        <w:t>pupils</w:t>
      </w:r>
      <w:r w:rsidRPr="007A18C5">
        <w:t xml:space="preserve"> to practice and apply what they've learned</w:t>
      </w:r>
      <w:r>
        <w:t xml:space="preserve">. </w:t>
      </w:r>
      <w:r w:rsidRPr="00366747">
        <w:t>(Sweller et al., 2011)</w:t>
      </w:r>
      <w:r>
        <w:t xml:space="preserve">. </w:t>
      </w:r>
      <w:r w:rsidRPr="00A7473C">
        <w:t xml:space="preserve">The key is finding the right balance in task complexity to keep the cognitive load at an optimal level. This way, </w:t>
      </w:r>
      <w:r>
        <w:t xml:space="preserve">pupils </w:t>
      </w:r>
      <w:r w:rsidRPr="00A7473C">
        <w:t>stay engaged and can effectively process and retain information.</w:t>
      </w:r>
      <w:r w:rsidRPr="00B26F16">
        <w:t xml:space="preserve"> </w:t>
      </w:r>
      <w:r w:rsidRPr="00F63B07">
        <w:t xml:space="preserve">When </w:t>
      </w:r>
      <w:r>
        <w:t xml:space="preserve">pupils </w:t>
      </w:r>
      <w:r w:rsidRPr="00F63B07">
        <w:t>feel overwhelmed with information or tasks that exceed their cognitive capacity, they might disengage to cope with the stress.</w:t>
      </w:r>
      <w:r w:rsidRPr="00453D02">
        <w:t xml:space="preserve"> (Sweller et al., 2011)</w:t>
      </w:r>
    </w:p>
    <w:p w14:paraId="0E847CAF" w14:textId="77777777" w:rsidR="003347F7" w:rsidRDefault="003347F7" w:rsidP="003347F7">
      <w:pPr>
        <w:spacing w:line="360" w:lineRule="auto"/>
      </w:pPr>
      <w:r>
        <w:t xml:space="preserve">It is relevant to discuss the term scaffolding next. This is a strategy teachers can use to adjust a pupil's cognitive load and engage pupils in learning. </w:t>
      </w:r>
      <w:r w:rsidRPr="008A061E">
        <w:t xml:space="preserve">Lev Vygotsky (1896-1934) was a Soviet psychologist </w:t>
      </w:r>
      <w:r>
        <w:t>and</w:t>
      </w:r>
      <w:r w:rsidRPr="00A52608">
        <w:t xml:space="preserve"> a constructivist philosopher and thinker</w:t>
      </w:r>
      <w:r>
        <w:t xml:space="preserve">. Vygotsky developed </w:t>
      </w:r>
      <w:r w:rsidRPr="008A061E">
        <w:t>the term "zone of proximal development"</w:t>
      </w:r>
      <w:r>
        <w:t xml:space="preserve"> (ZPD)</w:t>
      </w:r>
      <w:r w:rsidRPr="008A061E">
        <w:t xml:space="preserve"> and conducted many studies that led to instructional scaffolding</w:t>
      </w:r>
      <w:r>
        <w:t xml:space="preserve"> (</w:t>
      </w:r>
      <w:proofErr w:type="spellStart"/>
      <w:r>
        <w:t>Sarikas</w:t>
      </w:r>
      <w:proofErr w:type="spellEnd"/>
      <w:r>
        <w:t xml:space="preserve">, 2020). Instructional scaffolding </w:t>
      </w:r>
      <w:r w:rsidRPr="0023335E">
        <w:t xml:space="preserve">also known as "Vygotsky scaffolding" or just "scaffolding," is a teaching method that helps students learn more by working with a teacher or a more advanced </w:t>
      </w:r>
      <w:r w:rsidRPr="00A52608">
        <w:t>student to achieve their learning goals (</w:t>
      </w:r>
      <w:proofErr w:type="spellStart"/>
      <w:r w:rsidRPr="00A52608">
        <w:t>Sarikas</w:t>
      </w:r>
      <w:proofErr w:type="spellEnd"/>
      <w:r w:rsidRPr="00A52608">
        <w:t>, 2020). Lev Vygotsky's theory focuses on the range of tasks that a learner can perform with the help of a more knowledgeable person</w:t>
      </w:r>
      <w:r>
        <w:t xml:space="preserve"> (MKP)</w:t>
      </w:r>
      <w:r w:rsidRPr="00A52608">
        <w:t>.</w:t>
      </w:r>
      <w:r>
        <w:t xml:space="preserve"> He believed that children learn from their interactions with more knowledgeable members of society. (</w:t>
      </w:r>
      <w:r w:rsidRPr="00085013">
        <w:t xml:space="preserve">Wood et al. </w:t>
      </w:r>
      <w:r w:rsidRPr="00085013">
        <w:lastRenderedPageBreak/>
        <w:t xml:space="preserve">(1976, p. 90) define scaffolding as a process “that enables a child or novice to solve a task or achieve </w:t>
      </w:r>
      <w:r w:rsidRPr="00415328">
        <w:t xml:space="preserve">a goal that would be beyond his unassisted efforts.” </w:t>
      </w:r>
      <w:r>
        <w:t xml:space="preserve">With support, from a MKP pupils can achieve the next step of their learning, challenge themselves, and </w:t>
      </w:r>
      <w:r w:rsidRPr="00830040">
        <w:t>facilitate their learning. This theory further suggests that students actively construct their own knowledge through hands-on experiences and interactions with their environment and that learning is seen as a process. (Gray &amp; McBlain, 2015)</w:t>
      </w:r>
      <w:r w:rsidRPr="00415328">
        <w:t xml:space="preserve"> </w:t>
      </w:r>
      <w:r>
        <w:t>The observed incident demonstrates hands-on experiences as well as group work through the practical footwear task. It is through these experiences that learning is constructed with support from peers or the teacher being the MKP. Practical engagement is essential to the constructivism process (University at Buffalo, 2023). I aim to utilize the use of practical activities and group work in my teaching.</w:t>
      </w:r>
    </w:p>
    <w:p w14:paraId="0BAFF6BB" w14:textId="77777777" w:rsidR="003347F7" w:rsidRDefault="003347F7" w:rsidP="003347F7">
      <w:pPr>
        <w:spacing w:line="360" w:lineRule="auto"/>
      </w:pPr>
      <w:r>
        <w:t xml:space="preserve">As the observed incident took place at 9:15 a.m., the time could be an indication child X’s lack of engagement during the introduction of the lesson. When referring to Maslow's Hierarchy of Needs (1943), the first level of the pyramid includes physiological needs and contains food, water, and sleep </w:t>
      </w:r>
      <w:bookmarkStart w:id="1" w:name="_Hlk149936114"/>
      <w:r>
        <w:t>(</w:t>
      </w:r>
      <w:proofErr w:type="spellStart"/>
      <w:r>
        <w:t>Mcleod</w:t>
      </w:r>
      <w:proofErr w:type="spellEnd"/>
      <w:r>
        <w:t xml:space="preserve">, S 2023). </w:t>
      </w:r>
      <w:bookmarkEnd w:id="1"/>
      <w:r>
        <w:t>The child may have come into school hungry and may not have had breakfast or a drink. He may have had little to no sleep. If these necessities</w:t>
      </w:r>
      <w:r w:rsidRPr="007E3ABB">
        <w:t xml:space="preserve"> are not met</w:t>
      </w:r>
      <w:r>
        <w:t xml:space="preserve"> a </w:t>
      </w:r>
      <w:r w:rsidRPr="007E3ABB">
        <w:t>child's physical and mental development may be impacted</w:t>
      </w:r>
      <w:r>
        <w:t xml:space="preserve"> </w:t>
      </w:r>
      <w:r w:rsidRPr="00490B93">
        <w:t>(</w:t>
      </w:r>
      <w:proofErr w:type="spellStart"/>
      <w:r w:rsidRPr="00490B93">
        <w:t>Mcle</w:t>
      </w:r>
      <w:r>
        <w:t>o</w:t>
      </w:r>
      <w:r w:rsidRPr="00490B93">
        <w:t>d</w:t>
      </w:r>
      <w:proofErr w:type="spellEnd"/>
      <w:r w:rsidRPr="00490B93">
        <w:t xml:space="preserve">, S 2023). </w:t>
      </w:r>
      <w:r>
        <w:t xml:space="preserve">Child X could have had arguments at home, or arguments </w:t>
      </w:r>
      <w:r w:rsidRPr="00A617D1">
        <w:t>with peers</w:t>
      </w:r>
      <w:r>
        <w:t>, or have the feeling of not being loved</w:t>
      </w:r>
      <w:r w:rsidRPr="00A617D1">
        <w:t>.</w:t>
      </w:r>
      <w:r>
        <w:t xml:space="preserve"> This would come under the third level of love and belonging. If a child experiences a lack of these needs, they may become focused on meeting these needs or may become withdrawn which can be seen as a lack of engagement in the classroom.</w:t>
      </w:r>
      <w:r w:rsidRPr="00A617D1">
        <w:t xml:space="preserve"> A teaching and learning strategy that could have been used here would be o</w:t>
      </w:r>
      <w:r>
        <w:t>ne</w:t>
      </w:r>
      <w:r w:rsidRPr="00A617D1">
        <w:t xml:space="preserve"> linked to </w:t>
      </w:r>
      <w:r>
        <w:t>pupil well-being</w:t>
      </w:r>
      <w:r w:rsidRPr="00A617D1">
        <w:t>.</w:t>
      </w:r>
      <w:r>
        <w:t xml:space="preserve"> One strategy that would be of high importance within the school environment is one of pupil well-being check-ins at the start of the school day. This way pupils can identify their needs and the school or teacher would then be active in meeting these needs. An example of good practice would be an Emotional check-in chart, filled in by pupils, or an Emotion Wheel for younger pupils (</w:t>
      </w:r>
      <w:r w:rsidRPr="00B223F9">
        <w:t>mentallyhealthyschools.org.uk</w:t>
      </w:r>
      <w:r>
        <w:t>). I plan to apply these in my practice.</w:t>
      </w:r>
    </w:p>
    <w:p w14:paraId="78991D67" w14:textId="77777777" w:rsidR="003347F7" w:rsidRDefault="003347F7" w:rsidP="003347F7">
      <w:pPr>
        <w:spacing w:line="360" w:lineRule="auto"/>
      </w:pPr>
    </w:p>
    <w:p w14:paraId="2509DE79" w14:textId="77777777" w:rsidR="003347F7" w:rsidRDefault="003347F7" w:rsidP="003347F7">
      <w:pPr>
        <w:spacing w:line="360" w:lineRule="auto"/>
      </w:pPr>
    </w:p>
    <w:p w14:paraId="06A88AB9" w14:textId="77777777" w:rsidR="003347F7" w:rsidRPr="008C3216" w:rsidRDefault="003347F7" w:rsidP="003347F7">
      <w:pPr>
        <w:spacing w:line="360" w:lineRule="auto"/>
      </w:pPr>
    </w:p>
    <w:p w14:paraId="0ADE889E" w14:textId="77777777" w:rsidR="003347F7" w:rsidRDefault="003347F7" w:rsidP="003347F7">
      <w:pPr>
        <w:spacing w:line="360" w:lineRule="auto"/>
        <w:jc w:val="center"/>
        <w:rPr>
          <w:b/>
          <w:bCs/>
          <w:u w:val="single"/>
        </w:rPr>
      </w:pPr>
      <w:r w:rsidRPr="007C238D">
        <w:rPr>
          <w:b/>
          <w:bCs/>
          <w:u w:val="single"/>
        </w:rPr>
        <w:t>Reflection and evaluation of next teaching steps</w:t>
      </w:r>
    </w:p>
    <w:p w14:paraId="162BCBB9" w14:textId="77777777" w:rsidR="003347F7" w:rsidRDefault="003347F7" w:rsidP="003347F7">
      <w:pPr>
        <w:spacing w:line="360" w:lineRule="auto"/>
      </w:pPr>
      <w:r>
        <w:t xml:space="preserve">The </w:t>
      </w:r>
      <w:r w:rsidRPr="0078361E">
        <w:t xml:space="preserve">classroom-based </w:t>
      </w:r>
      <w:r>
        <w:t xml:space="preserve">incident </w:t>
      </w:r>
      <w:r w:rsidRPr="0078361E">
        <w:t xml:space="preserve">allowed for additional thought </w:t>
      </w:r>
      <w:r>
        <w:t>to</w:t>
      </w:r>
      <w:r w:rsidRPr="0078361E">
        <w:t xml:space="preserve"> critically examine the incident </w:t>
      </w:r>
      <w:r>
        <w:t>from</w:t>
      </w:r>
      <w:r w:rsidRPr="0078361E">
        <w:t xml:space="preserve"> a broader perspective.</w:t>
      </w:r>
      <w:r>
        <w:t xml:space="preserve"> This incident has been used as a tool for critical reflection. Donaldson (2015) suggests that the process of critical reflection highlights the significance of </w:t>
      </w:r>
      <w:r w:rsidRPr="002A7316">
        <w:t xml:space="preserve">understanding the wider </w:t>
      </w:r>
      <w:r w:rsidRPr="002A7316">
        <w:lastRenderedPageBreak/>
        <w:t>justifications for teaching practice</w:t>
      </w:r>
      <w:r>
        <w:t>. Schon, (1983) supports this and says that r</w:t>
      </w:r>
      <w:r w:rsidRPr="000F3E7A">
        <w:t xml:space="preserve">eflective practice is the ability to reflect on one's actions </w:t>
      </w:r>
      <w:proofErr w:type="gramStart"/>
      <w:r w:rsidRPr="000F3E7A">
        <w:t>so as to</w:t>
      </w:r>
      <w:proofErr w:type="gramEnd"/>
      <w:r w:rsidRPr="000F3E7A">
        <w:t xml:space="preserve"> engage in a process of continuous learning</w:t>
      </w:r>
      <w:r>
        <w:t>. Reflective practice, more specifically in teacher education, involves observing and experiencing for the purpose of analysis to improve future practice (Belvis et al., 2013).</w:t>
      </w:r>
      <w:r w:rsidRPr="00C60C30">
        <w:t xml:space="preserve"> Theories regarding reflective practice have continued to expand, but it is through the </w:t>
      </w:r>
      <w:r>
        <w:t>lens</w:t>
      </w:r>
      <w:r w:rsidRPr="00C60C30">
        <w:t xml:space="preserve"> of Dewey (1933) and Schön (1983) that teacher education has been viewed most frequently (Griffiths, 2000; Collin et al., 2013).</w:t>
      </w:r>
      <w:r w:rsidRPr="008C7276">
        <w:t xml:space="preserve"> </w:t>
      </w:r>
      <w:r w:rsidRPr="00681A03">
        <w:t>Dewey (1933) said the three attributes of a reflective individual are: open-mindedness, responsibility</w:t>
      </w:r>
      <w:r>
        <w:t>,</w:t>
      </w:r>
      <w:r w:rsidRPr="00681A03">
        <w:t xml:space="preserve"> and wholeheartedness</w:t>
      </w:r>
      <w:r>
        <w:t xml:space="preserve">. Schon’s model of reflection </w:t>
      </w:r>
      <w:r w:rsidRPr="006B0D8B">
        <w:t>model has the strength of considering reflection in action (during an event/experience) with those that happen in hindsight (after the event)</w:t>
      </w:r>
      <w:r>
        <w:t xml:space="preserve"> (Schon, 1983). More recent models such as Brookfield’s lenses argue that four lenses can</w:t>
      </w:r>
      <w:r w:rsidRPr="003D6382">
        <w:t xml:space="preserve"> be engaged by teachers in a process of critical reflection: (1) the autobiographical, (2) the students' eyes, (3) our colleagues' experiences, and (4) theoretical literature</w:t>
      </w:r>
      <w:r>
        <w:t xml:space="preserve"> (Janse,2020). </w:t>
      </w:r>
      <w:r w:rsidRPr="00365040">
        <w:t xml:space="preserve">However, I believe that using a reflective framework, such as Gibbs (1988), will help me structure my reflection and subsequent effects, in the form of </w:t>
      </w:r>
      <w:r>
        <w:t xml:space="preserve">the </w:t>
      </w:r>
      <w:r w:rsidRPr="00365040">
        <w:t xml:space="preserve">next </w:t>
      </w:r>
      <w:r>
        <w:t xml:space="preserve">teaching </w:t>
      </w:r>
      <w:r w:rsidRPr="00365040">
        <w:t>steps.</w:t>
      </w:r>
      <w:r w:rsidRPr="00B82C5A">
        <w:t xml:space="preserve"> </w:t>
      </w:r>
      <w:r>
        <w:t xml:space="preserve">In considering the observed critical incident through the lens of Gibb's Reflective Cycle (1988), a detailed description of the incident has been previously outlined and is also evident within Appendix A. </w:t>
      </w:r>
      <w:r w:rsidRPr="00C50E50">
        <w:t>Gibbs' Reflective Cycle was developed by Graham Gibbs in 1988 to give structure to learning from experiences.</w:t>
      </w:r>
      <w:r w:rsidRPr="004174F0">
        <w:t xml:space="preserve"> </w:t>
      </w:r>
      <w:r>
        <w:t>It covers 6 stages: Description, Feelings, Evaluation, Analysis, Conclusion, and Action plan (</w:t>
      </w:r>
      <w:r w:rsidRPr="00854E42">
        <w:t>Gibbs G (1988).</w:t>
      </w:r>
      <w:r w:rsidRPr="00E72D04">
        <w:t xml:space="preserve"> </w:t>
      </w:r>
      <w:r>
        <w:t>B</w:t>
      </w:r>
      <w:r w:rsidRPr="00E72D04">
        <w:t>y thinking about each stage, you are more likely to engage critically with your learning experience</w:t>
      </w:r>
      <w:r>
        <w:t>.</w:t>
      </w:r>
      <w:r w:rsidRPr="00C031D8">
        <w:t xml:space="preserve"> This strategy can be used to guide you through an event by using each stage to learn and plan from what went well or poorly.</w:t>
      </w:r>
      <w:r>
        <w:t xml:space="preserve"> The model is shown in Appendix D. </w:t>
      </w:r>
    </w:p>
    <w:p w14:paraId="29334622" w14:textId="77777777" w:rsidR="003347F7" w:rsidRDefault="003347F7" w:rsidP="003347F7">
      <w:pPr>
        <w:spacing w:line="360" w:lineRule="auto"/>
      </w:pPr>
      <w:r w:rsidRPr="00091148">
        <w:t xml:space="preserve">In my teaching, I aim to adopt numerous </w:t>
      </w:r>
      <w:r>
        <w:t xml:space="preserve">teaching and learning </w:t>
      </w:r>
      <w:r w:rsidRPr="00091148">
        <w:t>strategies.</w:t>
      </w:r>
      <w:r>
        <w:t xml:space="preserve"> As previously discussed </w:t>
      </w:r>
      <w:r w:rsidRPr="00742763">
        <w:t xml:space="preserve">above, I aim to plan hands-on learning experiences as well as group work and pupil </w:t>
      </w:r>
      <w:r>
        <w:t>check-ins</w:t>
      </w:r>
      <w:r w:rsidRPr="00742763">
        <w:t xml:space="preserve"> at the start of the day. </w:t>
      </w:r>
      <w:r>
        <w:t>The two educational theories that align well with hands-on learning experiences and group work are constructivism and social constructivism. Social constructivism emphasizes the social aspect of learning which is influenced by social interaction and collaboration.  Lev Vygotsky was a social constructivist and developed ZPD and scaffolding (Gray &amp; McBlain, 2015). In my teaching, I will implement several practical ways to use ZPD. Some of the strategies already discussed included group work and scaffolding as well as differentiated instruction and flexible grouping which I will discuss next.</w:t>
      </w:r>
    </w:p>
    <w:p w14:paraId="2F165C98" w14:textId="77777777" w:rsidR="003347F7" w:rsidRDefault="003347F7" w:rsidP="003347F7">
      <w:pPr>
        <w:spacing w:line="360" w:lineRule="auto"/>
      </w:pPr>
      <w:r>
        <w:t xml:space="preserve">During the delivery of my lessons, I </w:t>
      </w:r>
      <w:r w:rsidRPr="00742763">
        <w:t xml:space="preserve">will </w:t>
      </w:r>
      <w:r>
        <w:t>use</w:t>
      </w:r>
      <w:r w:rsidRPr="00742763">
        <w:t xml:space="preserve"> varied instructional methods</w:t>
      </w:r>
      <w:r>
        <w:t xml:space="preserve"> as different pupils have different learning styles. The term ‘‘learning styles’’ refers to the concept that individuals differ </w:t>
      </w:r>
      <w:proofErr w:type="gramStart"/>
      <w:r>
        <w:t>in regard to</w:t>
      </w:r>
      <w:proofErr w:type="gramEnd"/>
      <w:r>
        <w:t xml:space="preserve"> what mode of instruction or study is most effective for them (</w:t>
      </w:r>
      <w:r w:rsidRPr="00A7500B">
        <w:t>Pashler</w:t>
      </w:r>
      <w:r>
        <w:t xml:space="preserve"> et al, 2008). I will u</w:t>
      </w:r>
      <w:r w:rsidRPr="00742763">
        <w:t xml:space="preserve">se a combination of visuals, </w:t>
      </w:r>
      <w:r w:rsidRPr="00934143">
        <w:rPr>
          <w:rFonts w:cstheme="minorHAnsi"/>
        </w:rPr>
        <w:t>hands-on activities, and discussions</w:t>
      </w:r>
      <w:r>
        <w:rPr>
          <w:rFonts w:cstheme="minorHAnsi"/>
        </w:rPr>
        <w:t xml:space="preserve"> as</w:t>
      </w:r>
      <w:r w:rsidRPr="00934143">
        <w:rPr>
          <w:rFonts w:cstheme="minorHAnsi"/>
        </w:rPr>
        <w:t xml:space="preserve"> this way</w:t>
      </w:r>
      <w:r>
        <w:rPr>
          <w:rFonts w:cstheme="minorHAnsi"/>
        </w:rPr>
        <w:t xml:space="preserve"> the teaching will </w:t>
      </w:r>
      <w:r w:rsidRPr="00934143">
        <w:rPr>
          <w:rFonts w:cstheme="minorHAnsi"/>
        </w:rPr>
        <w:t>appea</w:t>
      </w:r>
      <w:r>
        <w:rPr>
          <w:rFonts w:cstheme="minorHAnsi"/>
        </w:rPr>
        <w:t xml:space="preserve">l </w:t>
      </w:r>
      <w:r w:rsidRPr="00934143">
        <w:rPr>
          <w:rFonts w:cstheme="minorHAnsi"/>
        </w:rPr>
        <w:t xml:space="preserve">to </w:t>
      </w:r>
      <w:r w:rsidRPr="00934143">
        <w:rPr>
          <w:rFonts w:cstheme="minorHAnsi"/>
        </w:rPr>
        <w:lastRenderedPageBreak/>
        <w:t>various styles</w:t>
      </w:r>
      <w:r>
        <w:rPr>
          <w:rFonts w:cstheme="minorHAnsi"/>
        </w:rPr>
        <w:t xml:space="preserve">. To make the lessons more engaging to pupils and avoid disengagement, I will not only tailor my teaching methods but also </w:t>
      </w:r>
      <w:r>
        <w:t>i</w:t>
      </w:r>
      <w:r w:rsidRPr="0023251F">
        <w:t>ncorporate interactive elements</w:t>
      </w:r>
      <w:r>
        <w:t xml:space="preserve">. For example, quizzes, presentations, acting, discussions, and debates. This idea can also be supported by constructivism and social constructivism. </w:t>
      </w:r>
    </w:p>
    <w:p w14:paraId="07EB0FAF" w14:textId="77777777" w:rsidR="003347F7" w:rsidRPr="00D60B32" w:rsidRDefault="003347F7" w:rsidP="003347F7">
      <w:pPr>
        <w:spacing w:line="360" w:lineRule="auto"/>
      </w:pPr>
      <w:r>
        <w:t>During the observed incident, the pupils were grouped into abilities, with some sitting in mixed abilities. McCarthy (2021) says that mixed-ability</w:t>
      </w:r>
      <w:r w:rsidRPr="00174165">
        <w:t xml:space="preserve"> grouping has the benefit of exposing pupils to the wider knowledge, background, and experience of others.</w:t>
      </w:r>
      <w:r>
        <w:t xml:space="preserve"> </w:t>
      </w:r>
      <w:r w:rsidRPr="00026272">
        <w:t>However, Parsons and Hallam (2014) did find that grouping can benefit more able pupils</w:t>
      </w:r>
      <w:r>
        <w:t xml:space="preserve"> as</w:t>
      </w:r>
      <w:r w:rsidRPr="002F7661">
        <w:t xml:space="preserve"> </w:t>
      </w:r>
      <w:r>
        <w:t>p</w:t>
      </w:r>
      <w:r w:rsidRPr="002F7661">
        <w:t>upils also have opportunities to work at a faster pace</w:t>
      </w:r>
      <w:r>
        <w:t xml:space="preserve">. However, </w:t>
      </w:r>
      <w:r w:rsidRPr="006138BF">
        <w:t>Goodwill</w:t>
      </w:r>
      <w:r>
        <w:t xml:space="preserve"> (2017) argues that</w:t>
      </w:r>
      <w:r w:rsidRPr="006138BF">
        <w:t xml:space="preserve"> </w:t>
      </w:r>
      <w:r w:rsidRPr="0047211A">
        <w:t>"</w:t>
      </w:r>
      <w:r>
        <w:t>t</w:t>
      </w:r>
      <w:r w:rsidRPr="0047211A">
        <w:t>here is no statutory requirement that suggests children should be grouped by ability."</w:t>
      </w:r>
      <w:r>
        <w:t xml:space="preserve">. In my practice, I will choose to group children based on ongoing assessments. This allows pupils to move through groups as they progress. During learning, pupils' ZPD changes therefore staying in one group all year goes against this. </w:t>
      </w:r>
    </w:p>
    <w:p w14:paraId="5FC56598" w14:textId="77777777" w:rsidR="003347F7" w:rsidRPr="00935334" w:rsidRDefault="003347F7" w:rsidP="003347F7">
      <w:pPr>
        <w:spacing w:line="360" w:lineRule="auto"/>
        <w:jc w:val="center"/>
        <w:rPr>
          <w:b/>
          <w:bCs/>
          <w:u w:val="single"/>
        </w:rPr>
      </w:pPr>
      <w:r w:rsidRPr="00442FCD">
        <w:rPr>
          <w:b/>
          <w:bCs/>
          <w:u w:val="single"/>
        </w:rPr>
        <w:t>Discussion</w:t>
      </w:r>
    </w:p>
    <w:p w14:paraId="32D75AD3" w14:textId="77777777" w:rsidR="003347F7" w:rsidRPr="00024ABD" w:rsidRDefault="003347F7" w:rsidP="003347F7">
      <w:pPr>
        <w:spacing w:line="360" w:lineRule="auto"/>
        <w:rPr>
          <w:rFonts w:cstheme="minorHAnsi"/>
        </w:rPr>
      </w:pPr>
      <w:r w:rsidRPr="00024ABD">
        <w:rPr>
          <w:rFonts w:cstheme="minorHAnsi"/>
        </w:rPr>
        <w:t xml:space="preserve">A definition for effective teaching is teaching that utilizes instructional strategies that are most appropriate for the content and the student and is carried out in a proficient manner that allows for real learning, (Baldwin 2021). Improving pupil progression involves implementing a combination of effective strategies including teaching methods and pupil engagement. In this essay, we have shown how effective teaching strategies in the classroom can impact pupil engagement which in turn leads to pupil progression. Some effective teaching strategies include differentiation, collaborative learning such as group activities, hands-on learning experiences, and scaffolding. </w:t>
      </w:r>
      <w:r>
        <w:rPr>
          <w:rFonts w:cstheme="minorHAnsi"/>
        </w:rPr>
        <w:t xml:space="preserve">I aim to </w:t>
      </w:r>
      <w:r w:rsidRPr="00024ABD">
        <w:rPr>
          <w:rFonts w:cstheme="minorHAnsi"/>
        </w:rPr>
        <w:t xml:space="preserve">encourage collaboration and critical thinking </w:t>
      </w:r>
      <w:r>
        <w:rPr>
          <w:rFonts w:cstheme="minorHAnsi"/>
        </w:rPr>
        <w:t xml:space="preserve">as well as making learning enjoyable for pupils. </w:t>
      </w:r>
    </w:p>
    <w:p w14:paraId="0AC42BFE" w14:textId="77777777" w:rsidR="003347F7" w:rsidRPr="005958C1" w:rsidRDefault="003347F7" w:rsidP="003347F7">
      <w:pPr>
        <w:spacing w:line="360" w:lineRule="auto"/>
        <w:rPr>
          <w:rFonts w:cstheme="minorHAnsi"/>
          <w:highlight w:val="yellow"/>
        </w:rPr>
      </w:pPr>
      <w:r w:rsidRPr="00024ABD">
        <w:rPr>
          <w:rFonts w:cstheme="minorHAnsi"/>
        </w:rPr>
        <w:t>The method and practices of a teacher are referred to as pedagogy. Pedagogy is defined simply as the method, and practice, of teaching. It encompasses teaching approaches, teaching theory, and feedback and assessment (</w:t>
      </w:r>
      <w:proofErr w:type="spellStart"/>
      <w:r w:rsidRPr="00024ABD">
        <w:rPr>
          <w:rFonts w:cstheme="minorHAnsi"/>
        </w:rPr>
        <w:t>Tes</w:t>
      </w:r>
      <w:proofErr w:type="spellEnd"/>
      <w:r w:rsidRPr="00024ABD">
        <w:rPr>
          <w:rFonts w:cstheme="minorHAnsi"/>
        </w:rPr>
        <w:t>, 2023). There is the suggestion that quality pedagogy is underpinned by the ability to reflect</w:t>
      </w:r>
      <w:r>
        <w:rPr>
          <w:rFonts w:cstheme="minorHAnsi"/>
        </w:rPr>
        <w:t xml:space="preserve"> </w:t>
      </w:r>
      <w:r w:rsidRPr="00024ABD">
        <w:rPr>
          <w:rFonts w:cstheme="minorHAnsi"/>
        </w:rPr>
        <w:t>(</w:t>
      </w:r>
      <w:proofErr w:type="spellStart"/>
      <w:r w:rsidRPr="00024ABD">
        <w:rPr>
          <w:rFonts w:cstheme="minorHAnsi"/>
        </w:rPr>
        <w:t>Tes</w:t>
      </w:r>
      <w:proofErr w:type="spellEnd"/>
      <w:r w:rsidRPr="00024ABD">
        <w:rPr>
          <w:rFonts w:cstheme="minorHAnsi"/>
        </w:rPr>
        <w:t>, 2023)</w:t>
      </w:r>
      <w:r>
        <w:rPr>
          <w:rFonts w:cstheme="minorHAnsi"/>
        </w:rPr>
        <w:t>. Engaging</w:t>
      </w:r>
      <w:r w:rsidRPr="00024ABD">
        <w:rPr>
          <w:rFonts w:cstheme="minorHAnsi"/>
        </w:rPr>
        <w:t xml:space="preserve"> with different reflective models, it has highlighted the importance of reflection as an effective tool for my development as a practitioner. I plan to use reflection after delivering a lesson, after </w:t>
      </w:r>
      <w:r>
        <w:rPr>
          <w:rFonts w:cstheme="minorHAnsi"/>
        </w:rPr>
        <w:t xml:space="preserve">pupil feedback, after conversations with staff members, and during professional development. Reflection will make me a better teacher as well as improve my lesson plans (Smith, 2022). </w:t>
      </w:r>
    </w:p>
    <w:p w14:paraId="22D872DC" w14:textId="77777777" w:rsidR="003347F7" w:rsidRDefault="003347F7" w:rsidP="003347F7">
      <w:pPr>
        <w:spacing w:line="360" w:lineRule="auto"/>
        <w:jc w:val="center"/>
        <w:rPr>
          <w:b/>
          <w:bCs/>
          <w:u w:val="single"/>
        </w:rPr>
      </w:pPr>
      <w:r w:rsidRPr="007C238D">
        <w:rPr>
          <w:b/>
          <w:bCs/>
          <w:u w:val="single"/>
        </w:rPr>
        <w:t>Conclusion and Recommendations</w:t>
      </w:r>
    </w:p>
    <w:p w14:paraId="64BB359D" w14:textId="77777777" w:rsidR="003347F7" w:rsidRDefault="003347F7" w:rsidP="003347F7">
      <w:pPr>
        <w:spacing w:line="360" w:lineRule="auto"/>
      </w:pPr>
      <w:r w:rsidRPr="000432D4">
        <w:t>The assignment brief called for interaction with a reflective practi</w:t>
      </w:r>
      <w:r>
        <w:t>c</w:t>
      </w:r>
      <w:r w:rsidRPr="000432D4">
        <w:t>e model in addition to a critical evaluation of the upcoming teaching and learning</w:t>
      </w:r>
      <w:r>
        <w:t xml:space="preserve"> steps</w:t>
      </w:r>
      <w:r w:rsidRPr="000432D4">
        <w:t>.</w:t>
      </w:r>
      <w:r>
        <w:t xml:space="preserve"> </w:t>
      </w:r>
      <w:r w:rsidRPr="00856B45">
        <w:t>Through</w:t>
      </w:r>
      <w:r>
        <w:t xml:space="preserve"> observation</w:t>
      </w:r>
      <w:r w:rsidRPr="00856B45">
        <w:t xml:space="preserve">, an incident was </w:t>
      </w:r>
      <w:r w:rsidRPr="00856B45">
        <w:lastRenderedPageBreak/>
        <w:t xml:space="preserve">recorded and applied for further critical reflection using Tripp’s (1993) methodology. The stages of reflection resulted in the outlining of </w:t>
      </w:r>
      <w:r>
        <w:t xml:space="preserve">the </w:t>
      </w:r>
      <w:r w:rsidRPr="00856B45">
        <w:t xml:space="preserve">next teaching </w:t>
      </w:r>
      <w:r>
        <w:t xml:space="preserve">and learning </w:t>
      </w:r>
      <w:r w:rsidRPr="00856B45">
        <w:t>steps relating to the observed incident.</w:t>
      </w:r>
      <w:r>
        <w:t xml:space="preserve"> Through engaging with relevant literature, it has made me more aware of the underlying factors of disengagement in pupils and what the teacher can do to engage children in the classroom. I have gained more understanding of the basic needs of children and how they impact learning if not met. </w:t>
      </w:r>
      <w:r w:rsidRPr="00856B45">
        <w:t xml:space="preserve">It was concluded that </w:t>
      </w:r>
      <w:r>
        <w:t>morning check-ins</w:t>
      </w:r>
      <w:r w:rsidRPr="00856B45">
        <w:t xml:space="preserve"> would be something that could be developed in </w:t>
      </w:r>
      <w:r>
        <w:t>my future</w:t>
      </w:r>
      <w:r w:rsidRPr="00856B45">
        <w:t xml:space="preserve"> practice after considering the significance of </w:t>
      </w:r>
      <w:r>
        <w:t xml:space="preserve">children's basic needs and well-being. </w:t>
      </w:r>
    </w:p>
    <w:p w14:paraId="0D380AA6" w14:textId="77777777" w:rsidR="003347F7" w:rsidRDefault="003347F7"/>
    <w:sectPr w:rsidR="003347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E35F4"/>
    <w:multiLevelType w:val="hybridMultilevel"/>
    <w:tmpl w:val="3E6C4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F1861"/>
    <w:multiLevelType w:val="hybridMultilevel"/>
    <w:tmpl w:val="FA9AA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95BB1"/>
    <w:multiLevelType w:val="hybridMultilevel"/>
    <w:tmpl w:val="DC7C0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143F99"/>
    <w:multiLevelType w:val="hybridMultilevel"/>
    <w:tmpl w:val="038AF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893158"/>
    <w:multiLevelType w:val="hybridMultilevel"/>
    <w:tmpl w:val="57561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3D0B39"/>
    <w:multiLevelType w:val="hybridMultilevel"/>
    <w:tmpl w:val="7CF64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3444356">
    <w:abstractNumId w:val="1"/>
  </w:num>
  <w:num w:numId="2" w16cid:durableId="1332830223">
    <w:abstractNumId w:val="4"/>
  </w:num>
  <w:num w:numId="3" w16cid:durableId="1528254967">
    <w:abstractNumId w:val="2"/>
  </w:num>
  <w:num w:numId="4" w16cid:durableId="379667716">
    <w:abstractNumId w:val="5"/>
  </w:num>
  <w:num w:numId="5" w16cid:durableId="2031182911">
    <w:abstractNumId w:val="0"/>
  </w:num>
  <w:num w:numId="6" w16cid:durableId="11141332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7F7"/>
    <w:rsid w:val="00334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054E6"/>
  <w15:chartTrackingRefBased/>
  <w15:docId w15:val="{EF3238AC-FD47-4445-84FF-2F4405623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7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47F7"/>
    <w:rPr>
      <w:color w:val="0563C1" w:themeColor="hyperlink"/>
      <w:u w:val="single"/>
    </w:rPr>
  </w:style>
  <w:style w:type="character" w:styleId="UnresolvedMention">
    <w:name w:val="Unresolved Mention"/>
    <w:basedOn w:val="DefaultParagraphFont"/>
    <w:uiPriority w:val="99"/>
    <w:semiHidden/>
    <w:unhideWhenUsed/>
    <w:rsid w:val="003347F7"/>
    <w:rPr>
      <w:color w:val="605E5C"/>
      <w:shd w:val="clear" w:color="auto" w:fill="E1DFDD"/>
    </w:rPr>
  </w:style>
  <w:style w:type="paragraph" w:styleId="ListParagraph">
    <w:name w:val="List Paragraph"/>
    <w:basedOn w:val="Normal"/>
    <w:uiPriority w:val="34"/>
    <w:qFormat/>
    <w:rsid w:val="003347F7"/>
    <w:pPr>
      <w:ind w:left="720"/>
      <w:contextualSpacing/>
    </w:pPr>
  </w:style>
  <w:style w:type="table" w:styleId="TableGrid">
    <w:name w:val="Table Grid"/>
    <w:basedOn w:val="TableNormal"/>
    <w:uiPriority w:val="39"/>
    <w:rsid w:val="003347F7"/>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4446</Words>
  <Characters>23654</Characters>
  <Application>Microsoft Office Word</Application>
  <DocSecurity>0</DocSecurity>
  <Lines>333</Lines>
  <Paragraphs>43</Paragraphs>
  <ScaleCrop>false</ScaleCrop>
  <Company/>
  <LinksUpToDate>false</LinksUpToDate>
  <CharactersWithSpaces>28057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Matthews</dc:creator>
  <cp:keywords/>
  <dc:description/>
  <cp:lastModifiedBy>Rachel Matthews</cp:lastModifiedBy>
  <cp:revision>2</cp:revision>
  <dcterms:created xsi:type="dcterms:W3CDTF">2023-11-04T14:31:00Z</dcterms:created>
  <dcterms:modified xsi:type="dcterms:W3CDTF">2023-11-04T14:31:00Z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77056981-5438-4b96-aea1-b362e81b9651</vt:lpwstr>
  </property>
</Properties>
</file>