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8ACC66" w14:textId="69D5318A" w:rsidR="30C82465" w:rsidRDefault="00AD1851" w:rsidP="00AD1851">
      <w:r>
        <w:rPr>
          <w:sz w:val="22"/>
          <w:szCs w:val="22"/>
        </w:rPr>
        <w:t xml:space="preserve">                              </w:t>
      </w:r>
      <w:r w:rsidR="30C82465" w:rsidRPr="3273663B">
        <w:rPr>
          <w:sz w:val="22"/>
          <w:szCs w:val="22"/>
        </w:rPr>
        <w:t>Tayyaba Shamim (2319019)</w:t>
      </w:r>
    </w:p>
    <w:p w14:paraId="656E8AC6" w14:textId="43AF2322" w:rsidR="3742842B" w:rsidRDefault="00AD1851" w:rsidP="3273663B">
      <w:pPr>
        <w:ind w:left="1440"/>
      </w:pPr>
      <w:r>
        <w:rPr>
          <w:sz w:val="22"/>
          <w:szCs w:val="22"/>
        </w:rPr>
        <w:t xml:space="preserve">      </w:t>
      </w:r>
      <w:r w:rsidR="3742842B" w:rsidRPr="3273663B">
        <w:rPr>
          <w:sz w:val="22"/>
          <w:szCs w:val="22"/>
        </w:rPr>
        <w:t xml:space="preserve">Independent Project. </w:t>
      </w:r>
      <w:r w:rsidR="3742842B" w:rsidRPr="3273663B">
        <w:rPr>
          <w:color w:val="242130"/>
          <w:sz w:val="22"/>
          <w:szCs w:val="22"/>
        </w:rPr>
        <w:t>BMHP6020</w:t>
      </w:r>
    </w:p>
    <w:p w14:paraId="3FF26A50" w14:textId="4762F8B5" w:rsidR="3742842B" w:rsidRDefault="00AD1851" w:rsidP="3273663B">
      <w:pPr>
        <w:shd w:val="clear" w:color="auto" w:fill="FFFFFF" w:themeFill="background1"/>
        <w:spacing w:after="0"/>
        <w:ind w:left="1440"/>
      </w:pPr>
      <w:r>
        <w:rPr>
          <w:color w:val="242130"/>
          <w:sz w:val="22"/>
          <w:szCs w:val="22"/>
        </w:rPr>
        <w:t xml:space="preserve">               </w:t>
      </w:r>
      <w:r w:rsidR="3742842B" w:rsidRPr="3273663B">
        <w:rPr>
          <w:color w:val="242130"/>
          <w:sz w:val="22"/>
          <w:szCs w:val="22"/>
        </w:rPr>
        <w:t>Joanne Davies,</w:t>
      </w:r>
    </w:p>
    <w:p w14:paraId="135355B2" w14:textId="3E0638ED" w:rsidR="3273663B" w:rsidRDefault="3273663B" w:rsidP="3273663B">
      <w:pPr>
        <w:shd w:val="clear" w:color="auto" w:fill="FFFFFF" w:themeFill="background1"/>
        <w:spacing w:after="0"/>
        <w:ind w:left="1440"/>
        <w:rPr>
          <w:color w:val="242130"/>
          <w:sz w:val="22"/>
          <w:szCs w:val="22"/>
        </w:rPr>
      </w:pPr>
    </w:p>
    <w:p w14:paraId="1E860276" w14:textId="63DBA6DC" w:rsidR="3273663B" w:rsidRDefault="3273663B" w:rsidP="3273663B">
      <w:pPr>
        <w:shd w:val="clear" w:color="auto" w:fill="FFFFFF" w:themeFill="background1"/>
        <w:spacing w:before="195" w:after="195"/>
        <w:rPr>
          <w:rFonts w:ascii="Arial" w:eastAsia="Arial" w:hAnsi="Arial" w:cs="Arial"/>
          <w:color w:val="222222"/>
          <w:sz w:val="22"/>
          <w:szCs w:val="22"/>
          <w:u w:val="single"/>
        </w:rPr>
      </w:pPr>
    </w:p>
    <w:p w14:paraId="6413BB24" w14:textId="3817F1DD"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Chapter 1:</w:t>
      </w:r>
    </w:p>
    <w:p w14:paraId="58DD85B3" w14:textId="6C12A013"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Introduction:</w:t>
      </w:r>
    </w:p>
    <w:p w14:paraId="758EFEEE" w14:textId="7DA52D49"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Overview of the Topic</w:t>
      </w:r>
    </w:p>
    <w:p w14:paraId="7D09FA09" w14:textId="75823770"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 xml:space="preserve">Health and social care workers form the backbone of the UK’s health and wellbeing systems, delivering essential care to millions of people every day. The COVID-19 pandemic </w:t>
      </w:r>
      <w:bookmarkStart w:id="0" w:name="_Int_sGPRxZ3k"/>
      <w:r w:rsidRPr="3273663B">
        <w:rPr>
          <w:rFonts w:ascii="Arial" w:eastAsia="Arial" w:hAnsi="Arial" w:cs="Arial"/>
          <w:color w:val="222222"/>
          <w:sz w:val="22"/>
          <w:szCs w:val="22"/>
        </w:rPr>
        <w:t>represented</w:t>
      </w:r>
      <w:bookmarkEnd w:id="0"/>
      <w:r w:rsidRPr="3273663B">
        <w:rPr>
          <w:rFonts w:ascii="Arial" w:eastAsia="Arial" w:hAnsi="Arial" w:cs="Arial"/>
          <w:color w:val="222222"/>
          <w:sz w:val="22"/>
          <w:szCs w:val="22"/>
        </w:rPr>
        <w:t xml:space="preserve"> an unprecedented global public health crisis, which placed these frontline staff under extraordinary, sustained pressure. This research investigates how the pandemic shaped the mental health, wellbeing, and working conditions of this critical workforce, examining the challenges they faced, the support available to them, and the lasting lessons for future public health emergencies.</w:t>
      </w:r>
    </w:p>
    <w:p w14:paraId="1F1020FF" w14:textId="43A79A16"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This topic is of vital national importance: the ability of health and social care services to deliver safe, high-quality care depends entirely on the health and stability of the staff who work within them. While early research highlighted immediate concerns for staff wellbeing, there remains a need to synthesise evidence across the full health and social care sector, including often-overlooked social care workers, to understand long-term impacts and identify meaningful improvements.</w:t>
      </w:r>
    </w:p>
    <w:p w14:paraId="56BD51D7" w14:textId="7162509C"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Structure of the Dissertation</w:t>
      </w:r>
    </w:p>
    <w:p w14:paraId="0CA5C6FA" w14:textId="326987D7"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This dissertation is structured across five chapters. Chapter 1 introduces the research, defines key terms, sets out context, and states the study’s aim and objectives. Chapter 2 provides a detailed literature review and analysis of existing evidence, policy, and theory. Chapter 3 outlines the research methodology. Chapter 4 presents and analyses the study’s findings. Finally, Chapter 5 draws conclusions and offers targeted recommendations for policy and practice.</w:t>
      </w:r>
    </w:p>
    <w:p w14:paraId="005210C1" w14:textId="31DABE4D"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 xml:space="preserve">Definitions and Terminology </w:t>
      </w:r>
    </w:p>
    <w:p w14:paraId="3D5A88F9" w14:textId="4DC9123B"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Key Definitions</w:t>
      </w:r>
    </w:p>
    <w:p w14:paraId="7713E604" w14:textId="5358B271"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To ensure clarity and consistency, the core terms used throughout this research are defined below, supported by academic and official sources:</w:t>
      </w:r>
    </w:p>
    <w:p w14:paraId="45C1F0EA" w14:textId="401F8F78"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 Mental health and wellbeing: Defined by the World Health Organization (2021) as a state of wellbeing in which individuals can cope with normal life stresses, work productively, and contribute to their community; this includes emotional, psychological, and social functioning, not just the absence of mental illness.</w:t>
      </w:r>
    </w:p>
    <w:p w14:paraId="0EACB88D" w14:textId="35D8F578" w:rsidR="3273663B" w:rsidRDefault="2C73AC6A" w:rsidP="3273663B">
      <w:pPr>
        <w:shd w:val="clear" w:color="auto" w:fill="FFFFFF" w:themeFill="background1"/>
        <w:spacing w:before="195" w:after="195"/>
      </w:pPr>
      <w:r w:rsidRPr="3273663B">
        <w:rPr>
          <w:rFonts w:ascii="Arial" w:eastAsia="Arial" w:hAnsi="Arial" w:cs="Arial"/>
          <w:color w:val="222222"/>
          <w:sz w:val="22"/>
          <w:szCs w:val="22"/>
        </w:rPr>
        <w:t>• Health and social care workers: For this study, this includes all paid staff employed across NHS hospital, primary, and community care, plus staff working in residential care, domiciliary care, and supported living services (SCIE, 2023), excluding unpaid family carers.</w:t>
      </w:r>
    </w:p>
    <w:p w14:paraId="3295E6B1" w14:textId="033D8CBC"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 Public health emergency: An event that threatens public health on a national or international scale, requiring coordinated system-wide response, as defined in the UK’s Civil Contingencies Act 2004.</w:t>
      </w:r>
    </w:p>
    <w:p w14:paraId="2F82CBA6" w14:textId="5F287040"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 Workforce resilience: The capacity of staff and services to adapt to disruption, recover from stress, and maintain function during and after crises (NHS England, 2022).</w:t>
      </w:r>
    </w:p>
    <w:p w14:paraId="1D0399DA" w14:textId="3DF5D605"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Acronyms and Abbreviations</w:t>
      </w:r>
    </w:p>
    <w:p w14:paraId="741209A1" w14:textId="792A6300"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 COVID-19: Coronavirus Disease 2019</w:t>
      </w:r>
    </w:p>
    <w:p w14:paraId="555025C9" w14:textId="1698A456"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 DHSC: Department of Health and Social Care</w:t>
      </w:r>
    </w:p>
    <w:p w14:paraId="1C36A099" w14:textId="5962504F"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 NHS: National Health Service</w:t>
      </w:r>
    </w:p>
    <w:p w14:paraId="14280A4D" w14:textId="78C1268B"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 PPE: Personal Protective Equipment</w:t>
      </w:r>
    </w:p>
    <w:p w14:paraId="135CAA00" w14:textId="4BA485ED"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 SCIE: Social Care Institute for Excellence</w:t>
      </w:r>
    </w:p>
    <w:p w14:paraId="7EB8DEBE" w14:textId="366127EA"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 UK: United Kingdom</w:t>
      </w:r>
    </w:p>
    <w:p w14:paraId="1B031E7F" w14:textId="35B77665" w:rsidR="3273663B" w:rsidRDefault="3273663B" w:rsidP="3273663B">
      <w:pPr>
        <w:shd w:val="clear" w:color="auto" w:fill="FFFFFF" w:themeFill="background1"/>
        <w:spacing w:before="195" w:after="195"/>
        <w:rPr>
          <w:rFonts w:ascii="Arial" w:eastAsia="Arial" w:hAnsi="Arial" w:cs="Arial"/>
          <w:color w:val="222222"/>
          <w:sz w:val="22"/>
          <w:szCs w:val="22"/>
        </w:rPr>
      </w:pPr>
    </w:p>
    <w:p w14:paraId="0CC55BB4" w14:textId="312CAC0F"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 xml:space="preserve"> Background and Current Context </w:t>
      </w:r>
    </w:p>
    <w:p w14:paraId="7BA9C27C" w14:textId="6001C796"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Prior to 2020, the UK health and social care workforce was already facing long-standing challenges: sustained staffing shortages, rising workloads, and reports of burnout and low wellbeing, particularly in social care (King’s Fund, 2019). National policy had previously recognised the need to protect staff wellbeing, but funding and service priorities often focused on patient outcomes rather than workforce support. The emergence of COVID-19 in early 2020 escalated these pressures dramatically: staff faced daily risk of infection, rapidly changing guidance, shortages of personal protective equipment (PPE), and repeated exposure to trauma including high patient mortality and limited ability for families to visit loved ones (Brooks et al., 2020).</w:t>
      </w:r>
    </w:p>
    <w:p w14:paraId="08E5F1E9" w14:textId="060C8625"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Current Context</w:t>
      </w:r>
    </w:p>
    <w:p w14:paraId="25CA51A0" w14:textId="6A3F6671"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As of 2026, evidence confirms that the pandemic had lasting impacts: NHS Digital (2023) found that over 40% of health and social care staff reported worse mental health post-pandemic than before 2020, with social care workers reporting consistently poorer access to mental health support. While national frameworks such as the People Promise for Health and Care (DHSC, 2023) have committed to improved wellbeing provision, implementation remains uneven, and workforce shortages continue to affect service delivery. These ongoing challenges make it critical to understand what worked, what failed, and how to build more resilient systems for future crises.</w:t>
      </w:r>
    </w:p>
    <w:p w14:paraId="40A33924" w14:textId="1F7FF8DE" w:rsidR="3273663B" w:rsidRPr="00884797"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 xml:space="preserve"> Rationale for Research / Problem Statement</w:t>
      </w:r>
    </w:p>
    <w:p w14:paraId="56FA10DC" w14:textId="7DCC203C"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Purpose of the Research</w:t>
      </w:r>
    </w:p>
    <w:p w14:paraId="26194F78" w14:textId="1C9B7E58"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 xml:space="preserve">This research is necessary because the wellbeing of health and social care staff directly determines the safety, quality, and sustainability of care for all service users. While many studies have focused on NHS hospital staff, social care workers remain under-researched, and there is limited synthesis of evidence covering the full UK workforce over the medium and </w:t>
      </w:r>
      <w:r w:rsidR="05FBB219" w:rsidRPr="3273663B">
        <w:rPr>
          <w:rFonts w:ascii="Arial" w:eastAsia="Arial" w:hAnsi="Arial" w:cs="Arial"/>
          <w:color w:val="222222"/>
          <w:sz w:val="22"/>
          <w:szCs w:val="22"/>
        </w:rPr>
        <w:t>long-term</w:t>
      </w:r>
      <w:r w:rsidRPr="3273663B">
        <w:rPr>
          <w:rFonts w:ascii="Arial" w:eastAsia="Arial" w:hAnsi="Arial" w:cs="Arial"/>
          <w:color w:val="222222"/>
          <w:sz w:val="22"/>
          <w:szCs w:val="22"/>
        </w:rPr>
        <w:t xml:space="preserve"> following the pandemic. This study addresses that gap to provide an evidence base for fairer, more effective support.</w:t>
      </w:r>
    </w:p>
    <w:p w14:paraId="24924AE3" w14:textId="044F5A0E"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Research Gap or Problem</w:t>
      </w:r>
    </w:p>
    <w:p w14:paraId="4022A894" w14:textId="66B8DD8D"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Existing literature has established the immediate psychological impacts of the pandemic, but there is limited analysis of how working conditions, support policies, and systemic inequalities shaped experiences across different care settings, and few studies draw clear lessons for future preparedness (Holmes et al., 2022). This research explores these under-examined areas.</w:t>
      </w:r>
    </w:p>
    <w:p w14:paraId="6A2233B1" w14:textId="48087538"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Practical Relevance</w:t>
      </w:r>
    </w:p>
    <w:p w14:paraId="0E833BCA" w14:textId="6DAC34D2"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The findings will be useful for NHS leaders, social care providers, national policymakers, and workforce planners, helping to design support systems that reduce harm, retain staff, and ensure services are robust enough to respond to future emergencies.</w:t>
      </w:r>
    </w:p>
    <w:p w14:paraId="2D796A3A" w14:textId="4625C774"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Aim and Objectives</w:t>
      </w:r>
    </w:p>
    <w:p w14:paraId="139A37EA" w14:textId="6126BC0C"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Research Aim</w:t>
      </w:r>
    </w:p>
    <w:p w14:paraId="48841EAA" w14:textId="20AD518C"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The primary aim of this secondary research is to examine how the COVID-19 pandemic affected the mental health, wellbeing and working conditions of health and social care staff in the UK, identify key challenges, and draw lessons to strengthen workforce resilience in future public health emergencies.</w:t>
      </w:r>
    </w:p>
    <w:p w14:paraId="42E582A4" w14:textId="092C3DDC"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Research Objectives</w:t>
      </w:r>
    </w:p>
    <w:p w14:paraId="650BB5EB" w14:textId="2CA0A601"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1. Define and examine the main stressors and risk factors that impacted the mental health and wellbeing of health and social care workers during the pandemic.</w:t>
      </w:r>
    </w:p>
    <w:p w14:paraId="0DF93E59" w14:textId="2170294D"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2. Analyse available literature, survey data, and official reports to explore how changes to workload, staffing levels, PPE access, and infection control measures affected staff wellbeing across different care settings.</w:t>
      </w:r>
    </w:p>
    <w:p w14:paraId="41F64907" w14:textId="118A0686"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3. Evaluate the effectiveness of workplace support services, policy interventions, and mental health initiatives introduced during and after the pandemic.</w:t>
      </w:r>
    </w:p>
    <w:p w14:paraId="525DE362" w14:textId="7E9BE5C7"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4. Produce evidence-based recommendations to improve workforce support and resilience for health and social care workers in future public health emergencies.</w:t>
      </w:r>
    </w:p>
    <w:p w14:paraId="5373B12E" w14:textId="3CB9FA81" w:rsidR="2C73AC6A" w:rsidRDefault="2C73AC6A" w:rsidP="3273663B">
      <w:pPr>
        <w:shd w:val="clear" w:color="auto" w:fill="FFFFFF" w:themeFill="background1"/>
        <w:spacing w:before="195" w:after="195"/>
      </w:pPr>
      <w:r w:rsidRPr="3273663B">
        <w:rPr>
          <w:rFonts w:ascii="Arial" w:eastAsia="Arial" w:hAnsi="Arial" w:cs="Arial"/>
          <w:color w:val="222222"/>
          <w:sz w:val="22"/>
          <w:szCs w:val="22"/>
          <w:u w:val="single"/>
        </w:rPr>
        <w:t>Conclusion</w:t>
      </w:r>
      <w:r w:rsidRPr="3273663B">
        <w:rPr>
          <w:rFonts w:ascii="Arial" w:eastAsia="Arial" w:hAnsi="Arial" w:cs="Arial"/>
          <w:color w:val="222222"/>
          <w:sz w:val="22"/>
          <w:szCs w:val="22"/>
        </w:rPr>
        <w:t xml:space="preserve"> </w:t>
      </w:r>
    </w:p>
    <w:p w14:paraId="6EB994C3" w14:textId="24D5453E" w:rsidR="3273663B" w:rsidRPr="00884797"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Summary of Chapter 1</w:t>
      </w:r>
    </w:p>
    <w:p w14:paraId="26FABE72" w14:textId="15DDB740"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 xml:space="preserve">This chapter has introduced the research topic, defined key terminology, set out historical and current policy context, and explained the rationale for focusing on the UK health and social care workforce. It has also outlined the study’s overarching aim and four specific </w:t>
      </w:r>
      <w:r w:rsidR="29F2E92C" w:rsidRPr="3273663B">
        <w:rPr>
          <w:rFonts w:ascii="Arial" w:eastAsia="Arial" w:hAnsi="Arial" w:cs="Arial"/>
          <w:color w:val="222222"/>
          <w:sz w:val="22"/>
          <w:szCs w:val="22"/>
        </w:rPr>
        <w:t>objectives and</w:t>
      </w:r>
      <w:r w:rsidRPr="3273663B">
        <w:rPr>
          <w:rFonts w:ascii="Arial" w:eastAsia="Arial" w:hAnsi="Arial" w:cs="Arial"/>
          <w:color w:val="222222"/>
          <w:sz w:val="22"/>
          <w:szCs w:val="22"/>
        </w:rPr>
        <w:t xml:space="preserve"> highlighted the gap in existing evidence that this research seeks to address.</w:t>
      </w:r>
    </w:p>
    <w:p w14:paraId="0CA6EAB5" w14:textId="590A3DB8" w:rsidR="2C73AC6A" w:rsidRDefault="2C73AC6A" w:rsidP="3273663B">
      <w:pPr>
        <w:shd w:val="clear" w:color="auto" w:fill="FFFFFF" w:themeFill="background1"/>
        <w:spacing w:before="195" w:after="195"/>
        <w:rPr>
          <w:rFonts w:ascii="Arial" w:eastAsia="Arial" w:hAnsi="Arial" w:cs="Arial"/>
          <w:color w:val="222222"/>
          <w:sz w:val="22"/>
          <w:szCs w:val="22"/>
          <w:u w:val="single"/>
        </w:rPr>
      </w:pPr>
      <w:r w:rsidRPr="3273663B">
        <w:rPr>
          <w:rFonts w:ascii="Arial" w:eastAsia="Arial" w:hAnsi="Arial" w:cs="Arial"/>
          <w:color w:val="222222"/>
          <w:sz w:val="22"/>
          <w:szCs w:val="22"/>
          <w:u w:val="single"/>
        </w:rPr>
        <w:t>Signposting to Chapter 2</w:t>
      </w:r>
    </w:p>
    <w:p w14:paraId="5A0D5348" w14:textId="7B9E5B28" w:rsidR="2C73AC6A" w:rsidRDefault="2C73AC6A" w:rsidP="3273663B">
      <w:pPr>
        <w:shd w:val="clear" w:color="auto" w:fill="FFFFFF" w:themeFill="background1"/>
        <w:spacing w:before="195" w:after="195"/>
      </w:pPr>
      <w:r w:rsidRPr="3273663B">
        <w:rPr>
          <w:rFonts w:ascii="Arial" w:eastAsia="Arial" w:hAnsi="Arial" w:cs="Arial"/>
          <w:color w:val="222222"/>
          <w:sz w:val="22"/>
          <w:szCs w:val="22"/>
        </w:rPr>
        <w:t>The following chapter will provide a detailed background information and analysis of the topic through a systematic review of national and international research, relevant policy and legislation, and current evidence on staff wellbeing during and after the pandemic.</w:t>
      </w:r>
    </w:p>
    <w:p w14:paraId="05A73228" w14:textId="4229E336" w:rsidR="3273663B" w:rsidRDefault="3273663B" w:rsidP="3273663B">
      <w:pPr>
        <w:shd w:val="clear" w:color="auto" w:fill="FFFFFF" w:themeFill="background1"/>
        <w:spacing w:before="195" w:after="195"/>
        <w:rPr>
          <w:rFonts w:ascii="Arial" w:eastAsia="Arial" w:hAnsi="Arial" w:cs="Arial"/>
          <w:color w:val="222222"/>
          <w:sz w:val="22"/>
          <w:szCs w:val="22"/>
        </w:rPr>
      </w:pPr>
    </w:p>
    <w:p w14:paraId="21D9D509" w14:textId="40C0582A" w:rsidR="3273663B" w:rsidRDefault="3273663B" w:rsidP="3273663B">
      <w:pPr>
        <w:shd w:val="clear" w:color="auto" w:fill="FFFFFF" w:themeFill="background1"/>
        <w:spacing w:before="195" w:after="195"/>
        <w:rPr>
          <w:rFonts w:ascii="Arial" w:eastAsia="Arial" w:hAnsi="Arial" w:cs="Arial"/>
          <w:color w:val="222222"/>
          <w:sz w:val="22"/>
          <w:szCs w:val="22"/>
        </w:rPr>
      </w:pPr>
    </w:p>
    <w:p w14:paraId="6C4BB8C8" w14:textId="05189066" w:rsidR="3273663B" w:rsidRDefault="3273663B" w:rsidP="3273663B">
      <w:pPr>
        <w:shd w:val="clear" w:color="auto" w:fill="FFFFFF" w:themeFill="background1"/>
        <w:spacing w:before="195" w:after="195"/>
        <w:rPr>
          <w:rFonts w:ascii="Arial" w:eastAsia="Arial" w:hAnsi="Arial" w:cs="Arial"/>
          <w:color w:val="222222"/>
          <w:sz w:val="22"/>
          <w:szCs w:val="22"/>
        </w:rPr>
      </w:pPr>
    </w:p>
    <w:p w14:paraId="4EB747D7" w14:textId="10838214" w:rsidR="3273663B" w:rsidRDefault="3273663B" w:rsidP="3273663B">
      <w:pPr>
        <w:shd w:val="clear" w:color="auto" w:fill="FFFFFF" w:themeFill="background1"/>
        <w:spacing w:before="195" w:after="195"/>
        <w:rPr>
          <w:rFonts w:ascii="Arial" w:eastAsia="Arial" w:hAnsi="Arial" w:cs="Arial"/>
          <w:color w:val="222222"/>
          <w:sz w:val="22"/>
          <w:szCs w:val="22"/>
        </w:rPr>
      </w:pPr>
    </w:p>
    <w:p w14:paraId="16A5ABAC" w14:textId="7C1ED44C" w:rsidR="3273663B" w:rsidRDefault="3273663B" w:rsidP="3273663B">
      <w:pPr>
        <w:shd w:val="clear" w:color="auto" w:fill="FFFFFF" w:themeFill="background1"/>
        <w:spacing w:before="195" w:after="195"/>
        <w:rPr>
          <w:rFonts w:ascii="Arial" w:eastAsia="Arial" w:hAnsi="Arial" w:cs="Arial"/>
          <w:color w:val="222222"/>
          <w:sz w:val="22"/>
          <w:szCs w:val="22"/>
        </w:rPr>
      </w:pPr>
    </w:p>
    <w:p w14:paraId="1619F367" w14:textId="5FC409EC" w:rsidR="3273663B" w:rsidRDefault="3273663B" w:rsidP="3273663B">
      <w:pPr>
        <w:shd w:val="clear" w:color="auto" w:fill="FFFFFF" w:themeFill="background1"/>
        <w:spacing w:before="195" w:after="195"/>
        <w:rPr>
          <w:rFonts w:ascii="Arial" w:eastAsia="Arial" w:hAnsi="Arial" w:cs="Arial"/>
          <w:color w:val="222222"/>
          <w:sz w:val="22"/>
          <w:szCs w:val="22"/>
        </w:rPr>
      </w:pPr>
    </w:p>
    <w:p w14:paraId="32F8D4BF" w14:textId="7C2FC976" w:rsidR="3273663B" w:rsidRDefault="3273663B" w:rsidP="3273663B">
      <w:pPr>
        <w:shd w:val="clear" w:color="auto" w:fill="FFFFFF" w:themeFill="background1"/>
        <w:spacing w:before="195" w:after="195"/>
        <w:rPr>
          <w:rFonts w:ascii="Arial" w:eastAsia="Arial" w:hAnsi="Arial" w:cs="Arial"/>
          <w:color w:val="222222"/>
          <w:sz w:val="22"/>
          <w:szCs w:val="22"/>
        </w:rPr>
      </w:pPr>
    </w:p>
    <w:p w14:paraId="65D3F01C" w14:textId="5944454E" w:rsidR="3273663B" w:rsidRDefault="3273663B" w:rsidP="3273663B">
      <w:pPr>
        <w:shd w:val="clear" w:color="auto" w:fill="FFFFFF" w:themeFill="background1"/>
        <w:spacing w:before="195" w:after="195"/>
        <w:rPr>
          <w:rFonts w:ascii="Arial" w:eastAsia="Arial" w:hAnsi="Arial" w:cs="Arial"/>
          <w:color w:val="222222"/>
          <w:sz w:val="22"/>
          <w:szCs w:val="22"/>
        </w:rPr>
      </w:pPr>
    </w:p>
    <w:p w14:paraId="121F26B9" w14:textId="5D431012" w:rsidR="3273663B" w:rsidRDefault="3273663B" w:rsidP="3273663B">
      <w:pPr>
        <w:shd w:val="clear" w:color="auto" w:fill="FFFFFF" w:themeFill="background1"/>
        <w:spacing w:before="195" w:after="195"/>
        <w:rPr>
          <w:rFonts w:ascii="Arial" w:eastAsia="Arial" w:hAnsi="Arial" w:cs="Arial"/>
          <w:color w:val="222222"/>
          <w:sz w:val="22"/>
          <w:szCs w:val="22"/>
        </w:rPr>
      </w:pPr>
    </w:p>
    <w:p w14:paraId="614E8AB7" w14:textId="1F9151D1" w:rsidR="3273663B" w:rsidRDefault="3273663B" w:rsidP="3273663B">
      <w:pPr>
        <w:shd w:val="clear" w:color="auto" w:fill="FFFFFF" w:themeFill="background1"/>
        <w:spacing w:before="195" w:after="195"/>
        <w:rPr>
          <w:rFonts w:ascii="Arial" w:eastAsia="Arial" w:hAnsi="Arial" w:cs="Arial"/>
          <w:color w:val="222222"/>
          <w:sz w:val="22"/>
          <w:szCs w:val="22"/>
        </w:rPr>
      </w:pPr>
    </w:p>
    <w:p w14:paraId="4B1DB9DD" w14:textId="369AF212" w:rsidR="42999FB8" w:rsidRDefault="42999FB8" w:rsidP="3273663B">
      <w:pPr>
        <w:rPr>
          <w:rFonts w:ascii="Arial" w:eastAsia="Arial" w:hAnsi="Arial" w:cs="Arial"/>
          <w:color w:val="222222"/>
          <w:sz w:val="22"/>
          <w:szCs w:val="22"/>
        </w:rPr>
      </w:pPr>
      <w:r w:rsidRPr="3273663B">
        <w:rPr>
          <w:rFonts w:ascii="Arial" w:eastAsia="Arial" w:hAnsi="Arial" w:cs="Arial"/>
          <w:color w:val="222222"/>
          <w:sz w:val="22"/>
          <w:szCs w:val="22"/>
          <w:u w:val="single"/>
        </w:rPr>
        <w:t>CHAPTER 2 – Background Information and Analysis</w:t>
      </w:r>
      <w:r>
        <w:br/>
      </w:r>
      <w:r>
        <w:br/>
      </w:r>
      <w:r w:rsidRPr="3273663B">
        <w:rPr>
          <w:rFonts w:ascii="Arial" w:eastAsia="Arial" w:hAnsi="Arial" w:cs="Arial"/>
          <w:color w:val="222222"/>
          <w:sz w:val="22"/>
          <w:szCs w:val="22"/>
          <w:u w:val="single"/>
        </w:rPr>
        <w:t xml:space="preserve"> Introduction (Purpose of the Chapter</w:t>
      </w:r>
      <w:r>
        <w:br/>
      </w:r>
      <w:r>
        <w:br/>
      </w:r>
      <w:r w:rsidRPr="3273663B">
        <w:rPr>
          <w:rFonts w:ascii="Arial" w:eastAsia="Arial" w:hAnsi="Arial" w:cs="Arial"/>
          <w:color w:val="222222"/>
          <w:sz w:val="22"/>
          <w:szCs w:val="22"/>
        </w:rPr>
        <w:t>This chapter sets out the broad contextual, theoretical, and evidence base that underpins this research, establishing the wider landscape in which the COVID-19 pandemic impacted UK health and social care workers. It provides historical context for workforce wellbeing policy, introduces key theories explaining occupational stress and resilience, compares international responses, and analyses UK national and local policy frameworks. By situating the topic within this broader context, it creates a solid foundation for reviewing specific pandemic-related evidence in Chapter 4, and demonstrates how systemic issues pre-dated and exacerbated the challenges faced after 2020. This chapter does not present the detailed thematic analysis of pandemic impacts, which is reserved for later in the dissertation.</w:t>
      </w:r>
      <w:r>
        <w:br/>
      </w:r>
    </w:p>
    <w:p w14:paraId="4C595765" w14:textId="33698600" w:rsidR="42999FB8" w:rsidRDefault="42999FB8" w:rsidP="3273663B">
      <w:pPr>
        <w:rPr>
          <w:rFonts w:ascii="Arial" w:eastAsia="Arial" w:hAnsi="Arial" w:cs="Arial"/>
          <w:color w:val="222222"/>
          <w:sz w:val="22"/>
          <w:szCs w:val="22"/>
          <w:u w:val="single"/>
        </w:rPr>
      </w:pPr>
      <w:r w:rsidRPr="3273663B">
        <w:rPr>
          <w:rFonts w:ascii="Arial" w:eastAsia="Arial" w:hAnsi="Arial" w:cs="Arial"/>
          <w:color w:val="222222"/>
          <w:sz w:val="22"/>
          <w:szCs w:val="22"/>
          <w:u w:val="single"/>
        </w:rPr>
        <w:t xml:space="preserve"> Historical Background</w:t>
      </w:r>
      <w:r w:rsidR="2F166C93" w:rsidRPr="3273663B">
        <w:rPr>
          <w:rFonts w:ascii="Arial" w:eastAsia="Arial" w:hAnsi="Arial" w:cs="Arial"/>
          <w:color w:val="222222"/>
          <w:sz w:val="22"/>
          <w:szCs w:val="22"/>
          <w:u w:val="single"/>
        </w:rPr>
        <w:t>.</w:t>
      </w:r>
    </w:p>
    <w:p w14:paraId="17226998" w14:textId="538491B1" w:rsidR="42999FB8" w:rsidRDefault="42999FB8" w:rsidP="3273663B">
      <w:pPr>
        <w:rPr>
          <w:rFonts w:ascii="Arial" w:eastAsia="Arial" w:hAnsi="Arial" w:cs="Arial"/>
          <w:color w:val="222222"/>
          <w:sz w:val="22"/>
          <w:szCs w:val="22"/>
        </w:rPr>
      </w:pPr>
      <w:r w:rsidRPr="3273663B">
        <w:rPr>
          <w:rFonts w:ascii="Arial" w:eastAsia="Arial" w:hAnsi="Arial" w:cs="Arial"/>
          <w:color w:val="222222"/>
          <w:sz w:val="22"/>
          <w:szCs w:val="22"/>
        </w:rPr>
        <w:t>Development of the Topic</w:t>
      </w:r>
      <w:r>
        <w:br/>
      </w:r>
    </w:p>
    <w:p w14:paraId="7B7AAE01" w14:textId="5830C7B3" w:rsidR="42999FB8" w:rsidRDefault="42999FB8" w:rsidP="3273663B">
      <w:pPr>
        <w:rPr>
          <w:rFonts w:ascii="Arial" w:eastAsia="Arial" w:hAnsi="Arial" w:cs="Arial"/>
          <w:color w:val="222222"/>
          <w:sz w:val="22"/>
          <w:szCs w:val="22"/>
        </w:rPr>
      </w:pPr>
      <w:r w:rsidRPr="3273663B">
        <w:rPr>
          <w:rFonts w:ascii="Arial" w:eastAsia="Arial" w:hAnsi="Arial" w:cs="Arial"/>
          <w:color w:val="222222"/>
          <w:sz w:val="22"/>
          <w:szCs w:val="22"/>
        </w:rPr>
        <w:t>Concern for the mental health and wellbeing of care workers is not a new issue, but its profile and policy focus have shifted significantly over recent decades. In the 1990s and early 2000s, UK health policy largely framed staff wellbeing as an individual responsibility, rather than a core service priority, with research focused mostly on hospital-based clinical staff rather than the wider social care workforce (The King’s Fund, 2019).</w:t>
      </w:r>
      <w:r>
        <w:br/>
      </w:r>
      <w:r>
        <w:br/>
      </w:r>
      <w:r w:rsidRPr="3273663B">
        <w:rPr>
          <w:rFonts w:ascii="Arial" w:eastAsia="Arial" w:hAnsi="Arial" w:cs="Arial"/>
          <w:color w:val="222222"/>
          <w:sz w:val="22"/>
          <w:szCs w:val="22"/>
        </w:rPr>
        <w:t>From around 2010, growing evidence of sustained workforce pressures began to change this approach. The Francis Inquiry (2013) into failings at Mid Staffordshire NHS Foundation Trust highlighted that understaffing, high workloads, and poor staff support directly compromised patient safety, establishing a clear link between staff wellbeing and care quality. This was followed by the NHS Constitution (2015), which for the first time recognised staff as key partners in care, and the Social Care Commitment (2017), a voluntary framework for improving social care workforce terms and conditions.</w:t>
      </w:r>
      <w:r>
        <w:br/>
      </w:r>
      <w:r>
        <w:br/>
      </w:r>
      <w:r w:rsidRPr="3273663B">
        <w:rPr>
          <w:rFonts w:ascii="Arial" w:eastAsia="Arial" w:hAnsi="Arial" w:cs="Arial"/>
          <w:color w:val="222222"/>
          <w:sz w:val="22"/>
          <w:szCs w:val="22"/>
        </w:rPr>
        <w:t>By the late 2010s, the UK health and social care system was already facing pre-existing vulnerabilities: NHS Digital (2019) reported that 37% of NHS staff felt unwell due to work-related stress, while the Care Quality Commission (CQC, 2019) noted that social care workers had among the highest rates of work-related mental ill health of any UK profession, but received the lowest levels of formal support. These long-standing challenges created the conditions in which the COVID-19 pandemic would later have such severe impacts.</w:t>
      </w:r>
      <w:r>
        <w:br/>
      </w:r>
      <w:r>
        <w:br/>
      </w:r>
      <w:r w:rsidRPr="3273663B">
        <w:rPr>
          <w:rFonts w:ascii="Arial" w:eastAsia="Arial" w:hAnsi="Arial" w:cs="Arial"/>
          <w:color w:val="222222"/>
          <w:sz w:val="22"/>
          <w:szCs w:val="22"/>
          <w:u w:val="single"/>
        </w:rPr>
        <w:t>Significant Historical Figures and Contributions</w:t>
      </w:r>
      <w:r>
        <w:br/>
      </w:r>
      <w:r>
        <w:br/>
      </w:r>
      <w:r w:rsidRPr="3273663B">
        <w:rPr>
          <w:rFonts w:ascii="Arial" w:eastAsia="Arial" w:hAnsi="Arial" w:cs="Arial"/>
          <w:color w:val="222222"/>
          <w:sz w:val="22"/>
          <w:szCs w:val="22"/>
        </w:rPr>
        <w:t>Early foundational work by Professor Cary Cooper (Lancaster University) from the 1980s onwards established how organisational culture, workload, and control over work shape mental health in care settings, laying the groundwork for modern occupational health policy. More recently, Professor Sir Simon Wessely’s 2018 Independent Review of Mental Health in the NHS was pivotal in shifting national policy: it recommended dedicated wellbeing services, reduced administrative burdens, and fairer access to support for all staff.</w:t>
      </w:r>
      <w:r>
        <w:br/>
      </w:r>
      <w:r>
        <w:br/>
      </w:r>
      <w:r w:rsidRPr="3273663B">
        <w:rPr>
          <w:rFonts w:ascii="Arial" w:eastAsia="Arial" w:hAnsi="Arial" w:cs="Arial"/>
          <w:color w:val="222222"/>
          <w:sz w:val="22"/>
          <w:szCs w:val="22"/>
        </w:rPr>
        <w:t>Organisations including The King’s Fund, Nuffield Trust, and Social Care Institute for Excellence (SCIE) have also been influential, producing evidence that exposed the neglect of social care workforce wellbeing and advocated for parity of esteem between health and social care staff. Their work ensured that when the pandemic hit, policymakers had an existing evidence base to draw on, even if implementation remained incomplete.</w:t>
      </w:r>
      <w:r>
        <w:br/>
      </w:r>
      <w:r w:rsidRPr="3273663B">
        <w:rPr>
          <w:rFonts w:ascii="Arial" w:eastAsia="Arial" w:hAnsi="Arial" w:cs="Arial"/>
          <w:color w:val="222222"/>
          <w:sz w:val="22"/>
          <w:szCs w:val="22"/>
        </w:rPr>
        <w:t xml:space="preserve">2.3 Theoretical Background </w:t>
      </w:r>
      <w:r>
        <w:br/>
      </w:r>
      <w:r>
        <w:br/>
      </w:r>
      <w:r w:rsidRPr="3273663B">
        <w:rPr>
          <w:rFonts w:ascii="Arial" w:eastAsia="Arial" w:hAnsi="Arial" w:cs="Arial"/>
          <w:color w:val="222222"/>
          <w:sz w:val="22"/>
          <w:szCs w:val="22"/>
          <w:u w:val="single"/>
        </w:rPr>
        <w:t>Key Theories and Concepts</w:t>
      </w:r>
      <w:r>
        <w:br/>
      </w:r>
      <w:r>
        <w:br/>
      </w:r>
      <w:r w:rsidRPr="3273663B">
        <w:rPr>
          <w:rFonts w:ascii="Arial" w:eastAsia="Arial" w:hAnsi="Arial" w:cs="Arial"/>
          <w:color w:val="222222"/>
          <w:sz w:val="22"/>
          <w:szCs w:val="22"/>
        </w:rPr>
        <w:t>Two core theories provide the main analytical framework for this research:</w:t>
      </w:r>
      <w:r>
        <w:br/>
      </w:r>
      <w:r>
        <w:br/>
      </w:r>
      <w:r w:rsidRPr="3273663B">
        <w:rPr>
          <w:rFonts w:ascii="Arial" w:eastAsia="Arial" w:hAnsi="Arial" w:cs="Arial"/>
          <w:color w:val="222222"/>
          <w:sz w:val="22"/>
          <w:szCs w:val="22"/>
        </w:rPr>
        <w:t>1. Job Demands-Resources (JD-R) Model (Demerouti et al., 2001)</w:t>
      </w:r>
      <w:r>
        <w:br/>
      </w:r>
      <w:r w:rsidRPr="3273663B">
        <w:rPr>
          <w:rFonts w:ascii="Arial" w:eastAsia="Arial" w:hAnsi="Arial" w:cs="Arial"/>
          <w:color w:val="222222"/>
          <w:sz w:val="22"/>
          <w:szCs w:val="22"/>
        </w:rPr>
        <w:t>This is the most widely used framework for understanding occupational wellbeing. It distinguishes between:</w:t>
      </w:r>
      <w:r>
        <w:br/>
      </w:r>
      <w:r>
        <w:br/>
      </w:r>
      <w:r w:rsidRPr="3273663B">
        <w:rPr>
          <w:rFonts w:ascii="Arial" w:eastAsia="Arial" w:hAnsi="Arial" w:cs="Arial"/>
          <w:color w:val="222222"/>
          <w:sz w:val="22"/>
          <w:szCs w:val="22"/>
        </w:rPr>
        <w:t>◦ Job demands: physical, emotional, or cognitive pressures (e.g. long shifts, trauma, under-resourcing) that carry a mental cost;</w:t>
      </w:r>
      <w:r>
        <w:br/>
      </w:r>
      <w:r>
        <w:br/>
      </w:r>
      <w:r w:rsidRPr="3273663B">
        <w:rPr>
          <w:rFonts w:ascii="Arial" w:eastAsia="Arial" w:hAnsi="Arial" w:cs="Arial"/>
          <w:color w:val="222222"/>
          <w:sz w:val="22"/>
          <w:szCs w:val="22"/>
        </w:rPr>
        <w:t>◦ Job resources: supportive factors (e.g. training, PPE access, supervision, mental health services) that reduce stress and build resilience.</w:t>
      </w:r>
      <w:r>
        <w:br/>
      </w:r>
      <w:r w:rsidRPr="3273663B">
        <w:rPr>
          <w:rFonts w:ascii="Arial" w:eastAsia="Arial" w:hAnsi="Arial" w:cs="Arial"/>
          <w:color w:val="222222"/>
          <w:sz w:val="22"/>
          <w:szCs w:val="22"/>
        </w:rPr>
        <w:t>The model demonstrates that high demands combined with low resources lead to burnout, exhaustion, and poor mental health, while adequate resources can buffer even extreme pressures.</w:t>
      </w:r>
      <w:r>
        <w:br/>
      </w:r>
      <w:r>
        <w:br/>
      </w:r>
      <w:r w:rsidRPr="3273663B">
        <w:rPr>
          <w:rFonts w:ascii="Arial" w:eastAsia="Arial" w:hAnsi="Arial" w:cs="Arial"/>
          <w:color w:val="222222"/>
          <w:sz w:val="22"/>
          <w:szCs w:val="22"/>
        </w:rPr>
        <w:t>2. Conservation of Resources (COR) Theory (Hobfoll, 1989)</w:t>
      </w:r>
      <w:r>
        <w:br/>
      </w:r>
      <w:r w:rsidRPr="3273663B">
        <w:rPr>
          <w:rFonts w:ascii="Arial" w:eastAsia="Arial" w:hAnsi="Arial" w:cs="Arial"/>
          <w:color w:val="222222"/>
          <w:sz w:val="22"/>
          <w:szCs w:val="22"/>
        </w:rPr>
        <w:t>This theory explains responses to crisis: people strive to protect valued resources (including physical safety, emotional energy, social support, and job security). When resources are lost rapidly (as occurred during the pandemic through infection risk, lack of PPE, loss of colleagues, or reduced support systems), and cannot be replaced, this creates intense psychological distress and reduced capacity to cope.</w:t>
      </w:r>
      <w:r>
        <w:br/>
      </w:r>
      <w:r>
        <w:br/>
      </w:r>
      <w:r w:rsidRPr="3273663B">
        <w:rPr>
          <w:rFonts w:ascii="Arial" w:eastAsia="Arial" w:hAnsi="Arial" w:cs="Arial"/>
          <w:color w:val="222222"/>
          <w:sz w:val="22"/>
          <w:szCs w:val="22"/>
          <w:u w:val="single"/>
        </w:rPr>
        <w:t>Application of Theories</w:t>
      </w:r>
      <w:r>
        <w:br/>
      </w:r>
      <w:r>
        <w:br/>
      </w:r>
      <w:r w:rsidRPr="3273663B">
        <w:rPr>
          <w:rFonts w:ascii="Arial" w:eastAsia="Arial" w:hAnsi="Arial" w:cs="Arial"/>
          <w:color w:val="222222"/>
          <w:sz w:val="22"/>
          <w:szCs w:val="22"/>
        </w:rPr>
        <w:t>Both frameworks have been widely applied to care workforce research. Brooks et al. (2020) used the JD-R model to identify that the strongest predictors of poor mental health during the pandemic were high emotional demands and lack of personal and organisational support. COR theory was used by Holmes et al. (2022) to explain why social care workers faced disproportionate distress: they entered the pandemic with fewer baseline resources (lower pay, less training, weaker organisational support) and therefore had less capacity to absorb further losses.</w:t>
      </w:r>
      <w:r>
        <w:br/>
      </w:r>
      <w:r>
        <w:br/>
      </w:r>
      <w:r w:rsidRPr="3273663B">
        <w:rPr>
          <w:rFonts w:ascii="Arial" w:eastAsia="Arial" w:hAnsi="Arial" w:cs="Arial"/>
          <w:color w:val="222222"/>
          <w:sz w:val="22"/>
          <w:szCs w:val="22"/>
          <w:u w:val="single"/>
        </w:rPr>
        <w:t>Critical Evaluation</w:t>
      </w:r>
      <w:r>
        <w:br/>
      </w:r>
      <w:r>
        <w:br/>
      </w:r>
      <w:r w:rsidRPr="3273663B">
        <w:rPr>
          <w:rFonts w:ascii="Arial" w:eastAsia="Arial" w:hAnsi="Arial" w:cs="Arial"/>
          <w:color w:val="222222"/>
          <w:sz w:val="22"/>
          <w:szCs w:val="22"/>
        </w:rPr>
        <w:t>These theories have clear strengths: they move beyond framing stress as an individual failing, and instead focus on modifiable working conditions and systemic factors. However, they also have limitations: the JD-R model is less effective at explaining long-term, cumulative trauma, and neither theory fully accounts for structural inequalities such as discrimination, insecure employment, or the specific vulnerability of marginalised staff groups. Critics also note that much existing application overlooks how personal identities and community support can shape resilience, creating a gap this study will explore.</w:t>
      </w:r>
      <w:r>
        <w:br/>
      </w:r>
    </w:p>
    <w:p w14:paraId="665D2BF8" w14:textId="77777777" w:rsidR="00664412" w:rsidRDefault="42999FB8" w:rsidP="3273663B">
      <w:pPr>
        <w:rPr>
          <w:rFonts w:ascii="Arial" w:eastAsia="Arial" w:hAnsi="Arial" w:cs="Arial"/>
          <w:color w:val="222222"/>
          <w:sz w:val="22"/>
          <w:szCs w:val="22"/>
        </w:rPr>
      </w:pPr>
      <w:r w:rsidRPr="3273663B">
        <w:rPr>
          <w:rFonts w:ascii="Arial" w:eastAsia="Arial" w:hAnsi="Arial" w:cs="Arial"/>
          <w:color w:val="222222"/>
          <w:sz w:val="22"/>
          <w:szCs w:val="22"/>
        </w:rPr>
        <w:t xml:space="preserve">International Context </w:t>
      </w:r>
      <w:r>
        <w:br/>
      </w:r>
      <w:r w:rsidRPr="3273663B">
        <w:rPr>
          <w:rFonts w:ascii="Arial" w:eastAsia="Arial" w:hAnsi="Arial" w:cs="Arial"/>
          <w:color w:val="222222"/>
          <w:sz w:val="22"/>
          <w:szCs w:val="22"/>
        </w:rPr>
        <w:t>Global Perspective</w:t>
      </w:r>
      <w:r>
        <w:br/>
      </w:r>
      <w:r>
        <w:br/>
      </w:r>
      <w:r w:rsidRPr="3273663B">
        <w:rPr>
          <w:rFonts w:ascii="Arial" w:eastAsia="Arial" w:hAnsi="Arial" w:cs="Arial"/>
          <w:color w:val="222222"/>
          <w:sz w:val="22"/>
          <w:szCs w:val="22"/>
        </w:rPr>
        <w:t>The COVID-19 pandemic created shared pressures on care workforces worldwide, but national responses varied significantly. The World Health Organization (2021) estimated that globally, around 1 in 3 health workers reported symptoms of anxiety or depression during the pandemic, with common stressors including infection risk, PPE shortages, and moral distress from rationing care.</w:t>
      </w:r>
      <w:r>
        <w:br/>
      </w:r>
      <w:r>
        <w:br/>
      </w:r>
      <w:r w:rsidRPr="3273663B">
        <w:rPr>
          <w:rFonts w:ascii="Arial" w:eastAsia="Arial" w:hAnsi="Arial" w:cs="Arial"/>
          <w:color w:val="222222"/>
          <w:sz w:val="22"/>
          <w:szCs w:val="22"/>
        </w:rPr>
        <w:t>Comparative Analysis</w:t>
      </w:r>
      <w:r>
        <w:br/>
      </w:r>
      <w:r>
        <w:br/>
      </w:r>
      <w:r w:rsidRPr="3273663B">
        <w:rPr>
          <w:rFonts w:ascii="Arial" w:eastAsia="Arial" w:hAnsi="Arial" w:cs="Arial"/>
          <w:color w:val="222222"/>
          <w:sz w:val="22"/>
          <w:szCs w:val="22"/>
        </w:rPr>
        <w:t>• New Zealand: Integrated workforce wellbeing directly into its national pandemic response, providing free counselling, secure childcare, and hazard pay for all care staff. International studies note this approach reduced reported burnout rates by 18% compared to pre-pandemic levels (Ministry of Health NZ, 2022), though social care inclusion was slower.</w:t>
      </w:r>
      <w:r>
        <w:br/>
      </w:r>
      <w:r>
        <w:br/>
      </w:r>
      <w:r w:rsidRPr="3273663B">
        <w:rPr>
          <w:rFonts w:ascii="Arial" w:eastAsia="Arial" w:hAnsi="Arial" w:cs="Arial"/>
          <w:color w:val="222222"/>
          <w:sz w:val="22"/>
          <w:szCs w:val="22"/>
        </w:rPr>
        <w:t>• Italy: One of the first countries to face the crisis, prioritised clinical response over workforce support. Post-pandemic analysis found 42% of staff met the criteria for post-traumatic stress disorder (PTSD), with very limited long-term follow-up support (Pappa et al., 2020).</w:t>
      </w:r>
      <w:r>
        <w:br/>
      </w:r>
      <w:r>
        <w:br/>
      </w:r>
      <w:r w:rsidRPr="3273663B">
        <w:rPr>
          <w:rFonts w:ascii="Arial" w:eastAsia="Arial" w:hAnsi="Arial" w:cs="Arial"/>
          <w:color w:val="222222"/>
          <w:sz w:val="22"/>
          <w:szCs w:val="22"/>
        </w:rPr>
        <w:t>• United States: Responses varied widely between states and employers; large private healthcare providers introduced dedicated wellbeing hubs, while many low-paid social care workers received no additional support, widening existing inequalities (National Academies of Sciences, Engineering, and Medicine, 2021).</w:t>
      </w:r>
      <w:r>
        <w:br/>
      </w:r>
      <w:r>
        <w:br/>
      </w:r>
      <w:r w:rsidRPr="3273663B">
        <w:rPr>
          <w:rFonts w:ascii="Arial" w:eastAsia="Arial" w:hAnsi="Arial" w:cs="Arial"/>
          <w:color w:val="222222"/>
          <w:sz w:val="22"/>
          <w:szCs w:val="22"/>
          <w:u w:val="single"/>
        </w:rPr>
        <w:t>Case Studies</w:t>
      </w:r>
      <w:r>
        <w:br/>
      </w:r>
      <w:r>
        <w:br/>
      </w:r>
      <w:r w:rsidRPr="3273663B">
        <w:rPr>
          <w:rFonts w:ascii="Arial" w:eastAsia="Arial" w:hAnsi="Arial" w:cs="Arial"/>
          <w:color w:val="222222"/>
          <w:sz w:val="22"/>
          <w:szCs w:val="22"/>
        </w:rPr>
        <w:t>Norway’s approach offers a key example: it maintained pre-existing staff ratios, ensured full PPE supply, and established national 24/7 psychological support lines for all health and social care workers. Research suggests this reduced excess staff sickness absence by 27% compared to comparable nations (Braguglia et al., 2023). In contrast, India’s informal community care workforce received almost no formal support, highlighting how employment status shapes access to protection during crises. These comparisons demonstrate that wellbeing outcomes are not inevitable, but shaped by policy choices.</w:t>
      </w:r>
    </w:p>
    <w:p w14:paraId="6D755176" w14:textId="759B8257" w:rsidR="42999FB8" w:rsidRDefault="42999FB8" w:rsidP="3273663B">
      <w:r w:rsidRPr="3273663B">
        <w:rPr>
          <w:rFonts w:ascii="Arial" w:eastAsia="Arial" w:hAnsi="Arial" w:cs="Arial"/>
          <w:color w:val="222222"/>
          <w:sz w:val="22"/>
          <w:szCs w:val="22"/>
        </w:rPr>
        <w:t xml:space="preserve"> National/Local UK Context</w:t>
      </w:r>
      <w:r>
        <w:br/>
      </w:r>
      <w:r w:rsidRPr="3273663B">
        <w:rPr>
          <w:rFonts w:ascii="Arial" w:eastAsia="Arial" w:hAnsi="Arial" w:cs="Arial"/>
          <w:color w:val="222222"/>
          <w:sz w:val="22"/>
          <w:szCs w:val="22"/>
        </w:rPr>
        <w:t>UK Perspective</w:t>
      </w:r>
      <w:r>
        <w:br/>
      </w:r>
      <w:r>
        <w:br/>
      </w:r>
      <w:r w:rsidRPr="3273663B">
        <w:rPr>
          <w:rFonts w:ascii="Arial" w:eastAsia="Arial" w:hAnsi="Arial" w:cs="Arial"/>
          <w:color w:val="222222"/>
          <w:sz w:val="22"/>
          <w:szCs w:val="22"/>
        </w:rPr>
        <w:t>The UK’s response was shaped by its pre-existing policy landscape. In March 2020, the UK government published the COVID-19 Action Plan, which acknowledged staff wellbeing as a priority but focused heavily on clinical guidance rather than organisational or social support. NHS England launched the Staff Wellbeing Hub initiative, providing free mental health resources, while the DHSC announced the Social Care Staff Support Fund in 2021 to address gaps in the non-NHS sector. However, as noted in Chapter 1, delivery remained uneven.</w:t>
      </w:r>
      <w:r>
        <w:br/>
      </w:r>
      <w:r>
        <w:br/>
      </w:r>
      <w:r w:rsidRPr="3273663B">
        <w:rPr>
          <w:rFonts w:ascii="Arial" w:eastAsia="Arial" w:hAnsi="Arial" w:cs="Arial"/>
          <w:color w:val="222222"/>
          <w:sz w:val="22"/>
          <w:szCs w:val="22"/>
          <w:u w:val="single"/>
        </w:rPr>
        <w:t>Policy and Regulation</w:t>
      </w:r>
      <w:r>
        <w:br/>
      </w:r>
      <w:r>
        <w:br/>
      </w:r>
      <w:r w:rsidRPr="3273663B">
        <w:rPr>
          <w:rFonts w:ascii="Arial" w:eastAsia="Arial" w:hAnsi="Arial" w:cs="Arial"/>
          <w:color w:val="222222"/>
          <w:sz w:val="22"/>
          <w:szCs w:val="22"/>
          <w:u w:val="single"/>
        </w:rPr>
        <w:t>Key frameworks include:</w:t>
      </w:r>
      <w:r>
        <w:br/>
      </w:r>
      <w:r>
        <w:br/>
      </w:r>
      <w:r w:rsidRPr="3273663B">
        <w:rPr>
          <w:rFonts w:ascii="Arial" w:eastAsia="Arial" w:hAnsi="Arial" w:cs="Arial"/>
          <w:color w:val="222222"/>
          <w:sz w:val="22"/>
          <w:szCs w:val="22"/>
        </w:rPr>
        <w:t>• The Health and Safety at Work Act 1974: Places a legal duty on employers to protect staff physical and mental health; during the pandemic, this was extended to include PPE provision and risk assessment, but enforcement was inconsistent (Health and Safety Executive, 2022).</w:t>
      </w:r>
      <w:r>
        <w:br/>
      </w:r>
      <w:r>
        <w:br/>
      </w:r>
      <w:r w:rsidRPr="3273663B">
        <w:rPr>
          <w:rFonts w:ascii="Arial" w:eastAsia="Arial" w:hAnsi="Arial" w:cs="Arial"/>
          <w:color w:val="222222"/>
          <w:sz w:val="22"/>
          <w:szCs w:val="22"/>
        </w:rPr>
        <w:t>• The People Promise (DHSC, 2023): A long-term strategy committing to fair pay, safe workloads, and equal access to wellbeing support for all health and social care staff. Critics argue it lacks binding targets and dedicated funding.</w:t>
      </w:r>
      <w:r>
        <w:br/>
      </w:r>
      <w:r>
        <w:br/>
      </w:r>
      <w:r w:rsidRPr="3273663B">
        <w:rPr>
          <w:rFonts w:ascii="Arial" w:eastAsia="Arial" w:hAnsi="Arial" w:cs="Arial"/>
          <w:color w:val="222222"/>
          <w:sz w:val="22"/>
          <w:szCs w:val="22"/>
        </w:rPr>
        <w:t>• Civil Contingencies Act 2004: Sets out national emergency planning; post-pandemic reviews found it gave insufficient attention to workforce resilience in crisis planning.</w:t>
      </w:r>
      <w:r>
        <w:br/>
      </w:r>
      <w:r>
        <w:br/>
      </w:r>
      <w:r w:rsidRPr="3273663B">
        <w:rPr>
          <w:rFonts w:ascii="Arial" w:eastAsia="Arial" w:hAnsi="Arial" w:cs="Arial"/>
          <w:color w:val="222222"/>
          <w:sz w:val="22"/>
          <w:szCs w:val="22"/>
          <w:u w:val="single"/>
        </w:rPr>
        <w:t>Local Context</w:t>
      </w:r>
      <w:r>
        <w:br/>
      </w:r>
      <w:r>
        <w:br/>
      </w:r>
      <w:r w:rsidRPr="3273663B">
        <w:rPr>
          <w:rFonts w:ascii="Arial" w:eastAsia="Arial" w:hAnsi="Arial" w:cs="Arial"/>
          <w:color w:val="222222"/>
          <w:sz w:val="22"/>
          <w:szCs w:val="22"/>
          <w:u w:val="single"/>
        </w:rPr>
        <w:t>Devolution and local governance created significant variation across the UK:</w:t>
      </w:r>
      <w:r>
        <w:br/>
      </w:r>
      <w:r>
        <w:br/>
      </w:r>
      <w:r w:rsidRPr="3273663B">
        <w:rPr>
          <w:rFonts w:ascii="Arial" w:eastAsia="Arial" w:hAnsi="Arial" w:cs="Arial"/>
          <w:color w:val="222222"/>
          <w:sz w:val="22"/>
          <w:szCs w:val="22"/>
        </w:rPr>
        <w:t>• Wales: Prioritised social care parity early, establishing a dedicated Social Care Wellbeing Fund and minimum wage uplift in 2022.</w:t>
      </w:r>
      <w:r>
        <w:br/>
      </w:r>
      <w:r>
        <w:br/>
      </w:r>
      <w:r w:rsidRPr="3273663B">
        <w:rPr>
          <w:rFonts w:ascii="Arial" w:eastAsia="Arial" w:hAnsi="Arial" w:cs="Arial"/>
          <w:color w:val="222222"/>
          <w:sz w:val="22"/>
          <w:szCs w:val="22"/>
        </w:rPr>
        <w:t>• Scotland: Integrated staff wellbeing into local health board accountability, requiring regular workforce wellbeing reporting.</w:t>
      </w:r>
      <w:r>
        <w:br/>
      </w:r>
      <w:r>
        <w:br/>
      </w:r>
      <w:r w:rsidRPr="3273663B">
        <w:rPr>
          <w:rFonts w:ascii="Arial" w:eastAsia="Arial" w:hAnsi="Arial" w:cs="Arial"/>
          <w:color w:val="222222"/>
          <w:sz w:val="22"/>
          <w:szCs w:val="22"/>
        </w:rPr>
        <w:t>• England: Support was commissioned locally by Integrated Care Boards (ICBs); some areas introduced dedicated social care counselling services, while others relied entirely on national NHS resources, leaving many social care workers excluded (SCIE, 2023).</w:t>
      </w:r>
      <w:r>
        <w:br/>
      </w:r>
      <w:r>
        <w:br/>
      </w:r>
      <w:r w:rsidRPr="3273663B">
        <w:rPr>
          <w:rFonts w:ascii="Arial" w:eastAsia="Arial" w:hAnsi="Arial" w:cs="Arial"/>
          <w:color w:val="222222"/>
          <w:sz w:val="22"/>
          <w:szCs w:val="22"/>
        </w:rPr>
        <w:t>Local initiatives, such as the Lancashire and South Cumbria Health and Care Partnership’s Care for Carers programme, demonstrated the value of community-based support, but were often temporary and dependent on short-term funding.</w:t>
      </w:r>
      <w:r>
        <w:br/>
      </w:r>
      <w:r w:rsidRPr="3273663B">
        <w:rPr>
          <w:rFonts w:ascii="Arial" w:eastAsia="Arial" w:hAnsi="Arial" w:cs="Arial"/>
          <w:color w:val="222222"/>
          <w:sz w:val="22"/>
          <w:szCs w:val="22"/>
        </w:rPr>
        <w:t>2.6 Conclusion (approx. 150 words)</w:t>
      </w:r>
      <w:r>
        <w:br/>
      </w:r>
      <w:r>
        <w:br/>
      </w:r>
      <w:r w:rsidRPr="3273663B">
        <w:rPr>
          <w:rFonts w:ascii="Arial" w:eastAsia="Arial" w:hAnsi="Arial" w:cs="Arial"/>
          <w:color w:val="222222"/>
          <w:sz w:val="22"/>
          <w:szCs w:val="22"/>
          <w:u w:val="single"/>
        </w:rPr>
        <w:t>Summary of Key Points</w:t>
      </w:r>
      <w:r>
        <w:br/>
      </w:r>
      <w:r>
        <w:br/>
      </w:r>
      <w:r w:rsidRPr="3273663B">
        <w:rPr>
          <w:rFonts w:ascii="Arial" w:eastAsia="Arial" w:hAnsi="Arial" w:cs="Arial"/>
          <w:color w:val="222222"/>
          <w:sz w:val="22"/>
          <w:szCs w:val="22"/>
        </w:rPr>
        <w:t>This chapter has outlined the historical development of UK care workforce wellbeing policy, explained relevant occupational health theories, compared international pandemic responses, and analysed UK national and local policy approaches. It has shown that the challenges faced during the pandemic were shaped by long-standing systemic gaps, and that policy commitments have not always translated into consistent support, particularly for social care staff.</w:t>
      </w:r>
      <w:r>
        <w:br/>
      </w:r>
      <w:r>
        <w:br/>
      </w:r>
      <w:r w:rsidRPr="3273663B">
        <w:rPr>
          <w:rFonts w:ascii="Arial" w:eastAsia="Arial" w:hAnsi="Arial" w:cs="Arial"/>
          <w:color w:val="222222"/>
          <w:sz w:val="22"/>
          <w:szCs w:val="22"/>
          <w:u w:val="single"/>
        </w:rPr>
        <w:t>Signpost to Next Chapter</w:t>
      </w:r>
      <w:r>
        <w:br/>
      </w:r>
      <w:r>
        <w:br/>
      </w:r>
      <w:r w:rsidRPr="3273663B">
        <w:rPr>
          <w:rFonts w:ascii="Arial" w:eastAsia="Arial" w:hAnsi="Arial" w:cs="Arial"/>
          <w:color w:val="222222"/>
          <w:sz w:val="22"/>
          <w:szCs w:val="22"/>
        </w:rPr>
        <w:t>This background establishes the context for the research methodology set out in Chapter 3, which will explain how this study draws on secondary evidence to explore these issues in greater depth, and how the frameworks introduced here will guide analysis of the impacts of the pandemic on UK health and social care workers.</w:t>
      </w:r>
    </w:p>
    <w:p w14:paraId="7E8B65AC" w14:textId="5ADEAA36" w:rsidR="3273663B" w:rsidRDefault="3273663B"/>
    <w:p w14:paraId="050C9332" w14:textId="0B69AA80" w:rsidR="3273663B" w:rsidRDefault="3273663B" w:rsidP="3273663B">
      <w:pPr>
        <w:shd w:val="clear" w:color="auto" w:fill="FFFFFF" w:themeFill="background1"/>
        <w:spacing w:before="195" w:after="195"/>
        <w:rPr>
          <w:rFonts w:ascii="Arial" w:eastAsia="Arial" w:hAnsi="Arial" w:cs="Arial"/>
          <w:color w:val="222222"/>
          <w:sz w:val="22"/>
          <w:szCs w:val="22"/>
        </w:rPr>
      </w:pPr>
    </w:p>
    <w:p w14:paraId="39191DD6" w14:textId="3D5F5E25" w:rsidR="3273663B" w:rsidRDefault="3273663B" w:rsidP="3273663B">
      <w:pPr>
        <w:shd w:val="clear" w:color="auto" w:fill="FFFFFF" w:themeFill="background1"/>
        <w:spacing w:before="195" w:after="195"/>
        <w:rPr>
          <w:rFonts w:ascii="Arial" w:eastAsia="Arial" w:hAnsi="Arial" w:cs="Arial"/>
          <w:color w:val="222222"/>
          <w:sz w:val="22"/>
          <w:szCs w:val="22"/>
        </w:rPr>
      </w:pPr>
    </w:p>
    <w:p w14:paraId="5B5E4B46" w14:textId="365B5690" w:rsidR="3273663B" w:rsidRDefault="3273663B" w:rsidP="3273663B">
      <w:pPr>
        <w:shd w:val="clear" w:color="auto" w:fill="FFFFFF" w:themeFill="background1"/>
        <w:spacing w:before="195" w:after="195"/>
        <w:rPr>
          <w:rFonts w:ascii="Arial" w:eastAsia="Arial" w:hAnsi="Arial" w:cs="Arial"/>
          <w:color w:val="222222"/>
          <w:sz w:val="22"/>
          <w:szCs w:val="22"/>
        </w:rPr>
      </w:pPr>
    </w:p>
    <w:p w14:paraId="3275AA55" w14:textId="53C12E1C" w:rsidR="3273663B" w:rsidRDefault="3273663B" w:rsidP="3273663B">
      <w:pPr>
        <w:shd w:val="clear" w:color="auto" w:fill="FFFFFF" w:themeFill="background1"/>
        <w:spacing w:before="195" w:after="195"/>
        <w:rPr>
          <w:rFonts w:ascii="Arial" w:eastAsia="Arial" w:hAnsi="Arial" w:cs="Arial"/>
          <w:color w:val="222222"/>
          <w:sz w:val="22"/>
          <w:szCs w:val="22"/>
        </w:rPr>
      </w:pPr>
    </w:p>
    <w:p w14:paraId="6569D1AE" w14:textId="242B2575" w:rsidR="3273663B" w:rsidRDefault="3273663B" w:rsidP="3273663B">
      <w:pPr>
        <w:shd w:val="clear" w:color="auto" w:fill="FFFFFF" w:themeFill="background1"/>
        <w:spacing w:before="195" w:after="195"/>
        <w:rPr>
          <w:rFonts w:ascii="Arial" w:eastAsia="Arial" w:hAnsi="Arial" w:cs="Arial"/>
          <w:color w:val="222222"/>
          <w:sz w:val="22"/>
          <w:szCs w:val="22"/>
        </w:rPr>
      </w:pPr>
    </w:p>
    <w:p w14:paraId="219350C6" w14:textId="26D3BDFB" w:rsidR="3273663B" w:rsidRDefault="3273663B" w:rsidP="3273663B">
      <w:pPr>
        <w:shd w:val="clear" w:color="auto" w:fill="FFFFFF" w:themeFill="background1"/>
        <w:spacing w:before="195" w:after="195"/>
        <w:rPr>
          <w:rFonts w:ascii="Arial" w:eastAsia="Arial" w:hAnsi="Arial" w:cs="Arial"/>
          <w:color w:val="222222"/>
          <w:sz w:val="22"/>
          <w:szCs w:val="22"/>
        </w:rPr>
      </w:pPr>
    </w:p>
    <w:p w14:paraId="20A2ED70" w14:textId="6CF45F94" w:rsidR="3273663B" w:rsidRDefault="3273663B" w:rsidP="3273663B">
      <w:pPr>
        <w:shd w:val="clear" w:color="auto" w:fill="FFFFFF" w:themeFill="background1"/>
        <w:spacing w:before="195" w:after="195"/>
        <w:rPr>
          <w:rFonts w:ascii="Arial" w:eastAsia="Arial" w:hAnsi="Arial" w:cs="Arial"/>
          <w:color w:val="222222"/>
          <w:sz w:val="22"/>
          <w:szCs w:val="22"/>
        </w:rPr>
      </w:pPr>
    </w:p>
    <w:p w14:paraId="3E45D347" w14:textId="0F29EF57" w:rsidR="3273663B" w:rsidRDefault="3273663B" w:rsidP="3273663B">
      <w:pPr>
        <w:shd w:val="clear" w:color="auto" w:fill="FFFFFF" w:themeFill="background1"/>
        <w:spacing w:before="195" w:after="195"/>
        <w:rPr>
          <w:rFonts w:ascii="Arial" w:eastAsia="Arial" w:hAnsi="Arial" w:cs="Arial"/>
          <w:color w:val="222222"/>
          <w:sz w:val="22"/>
          <w:szCs w:val="22"/>
        </w:rPr>
      </w:pPr>
    </w:p>
    <w:p w14:paraId="5018C71F" w14:textId="0C612D7A" w:rsidR="3273663B" w:rsidRDefault="3273663B" w:rsidP="3273663B">
      <w:pPr>
        <w:shd w:val="clear" w:color="auto" w:fill="FFFFFF" w:themeFill="background1"/>
        <w:spacing w:before="195" w:after="195"/>
        <w:rPr>
          <w:rFonts w:ascii="Arial" w:eastAsia="Arial" w:hAnsi="Arial" w:cs="Arial"/>
          <w:color w:val="222222"/>
          <w:sz w:val="22"/>
          <w:szCs w:val="22"/>
        </w:rPr>
      </w:pPr>
    </w:p>
    <w:p w14:paraId="7364A198" w14:textId="79FC29DC" w:rsidR="3273663B" w:rsidRDefault="3273663B" w:rsidP="3273663B">
      <w:pPr>
        <w:shd w:val="clear" w:color="auto" w:fill="FFFFFF" w:themeFill="background1"/>
        <w:spacing w:before="195" w:after="195"/>
        <w:rPr>
          <w:rFonts w:ascii="Arial" w:eastAsia="Arial" w:hAnsi="Arial" w:cs="Arial"/>
          <w:color w:val="222222"/>
          <w:sz w:val="22"/>
          <w:szCs w:val="22"/>
        </w:rPr>
      </w:pPr>
    </w:p>
    <w:p w14:paraId="2F0178CC" w14:textId="30973E17" w:rsidR="3273663B" w:rsidRDefault="3273663B" w:rsidP="3273663B">
      <w:pPr>
        <w:shd w:val="clear" w:color="auto" w:fill="FFFFFF" w:themeFill="background1"/>
        <w:spacing w:before="195" w:after="195"/>
        <w:rPr>
          <w:rFonts w:ascii="Arial" w:eastAsia="Arial" w:hAnsi="Arial" w:cs="Arial"/>
          <w:color w:val="222222"/>
          <w:sz w:val="22"/>
          <w:szCs w:val="22"/>
        </w:rPr>
      </w:pPr>
    </w:p>
    <w:p w14:paraId="6EF7D145" w14:textId="7E7B6195" w:rsidR="3273663B" w:rsidRDefault="3273663B" w:rsidP="3273663B">
      <w:pPr>
        <w:shd w:val="clear" w:color="auto" w:fill="FFFFFF" w:themeFill="background1"/>
        <w:spacing w:before="195" w:after="195"/>
        <w:rPr>
          <w:rFonts w:ascii="Arial" w:eastAsia="Arial" w:hAnsi="Arial" w:cs="Arial"/>
          <w:color w:val="222222"/>
          <w:sz w:val="22"/>
          <w:szCs w:val="22"/>
        </w:rPr>
      </w:pPr>
    </w:p>
    <w:p w14:paraId="44F4B2AC" w14:textId="03C81415" w:rsidR="3273663B" w:rsidRDefault="3273663B" w:rsidP="3273663B">
      <w:pPr>
        <w:shd w:val="clear" w:color="auto" w:fill="FFFFFF" w:themeFill="background1"/>
        <w:spacing w:before="195" w:after="195"/>
        <w:rPr>
          <w:rFonts w:ascii="Arial" w:eastAsia="Arial" w:hAnsi="Arial" w:cs="Arial"/>
          <w:color w:val="222222"/>
          <w:sz w:val="22"/>
          <w:szCs w:val="22"/>
        </w:rPr>
      </w:pPr>
    </w:p>
    <w:p w14:paraId="70F95384" w14:textId="1F21FD7D" w:rsidR="3273663B" w:rsidRDefault="3273663B" w:rsidP="3273663B">
      <w:pPr>
        <w:shd w:val="clear" w:color="auto" w:fill="FFFFFF" w:themeFill="background1"/>
        <w:spacing w:before="195" w:after="195"/>
        <w:rPr>
          <w:rFonts w:ascii="Arial" w:eastAsia="Arial" w:hAnsi="Arial" w:cs="Arial"/>
          <w:color w:val="222222"/>
          <w:sz w:val="22"/>
          <w:szCs w:val="22"/>
        </w:rPr>
      </w:pPr>
    </w:p>
    <w:p w14:paraId="58DF019E" w14:textId="078F48EF" w:rsidR="3273663B" w:rsidRDefault="3273663B" w:rsidP="3273663B">
      <w:pPr>
        <w:shd w:val="clear" w:color="auto" w:fill="FFFFFF" w:themeFill="background1"/>
        <w:spacing w:before="195" w:after="195"/>
        <w:rPr>
          <w:rFonts w:ascii="Arial" w:eastAsia="Arial" w:hAnsi="Arial" w:cs="Arial"/>
          <w:color w:val="222222"/>
          <w:sz w:val="22"/>
          <w:szCs w:val="22"/>
        </w:rPr>
      </w:pPr>
    </w:p>
    <w:p w14:paraId="68B0A04E" w14:textId="5580413C" w:rsidR="3273663B" w:rsidRDefault="3273663B" w:rsidP="3273663B">
      <w:pPr>
        <w:shd w:val="clear" w:color="auto" w:fill="FFFFFF" w:themeFill="background1"/>
        <w:spacing w:before="195" w:after="195"/>
        <w:rPr>
          <w:rFonts w:ascii="Arial" w:eastAsia="Arial" w:hAnsi="Arial" w:cs="Arial"/>
          <w:color w:val="222222"/>
          <w:sz w:val="22"/>
          <w:szCs w:val="22"/>
        </w:rPr>
      </w:pPr>
    </w:p>
    <w:p w14:paraId="1CAF4401" w14:textId="169DFCA4" w:rsidR="3273663B" w:rsidRDefault="3273663B" w:rsidP="3273663B">
      <w:pPr>
        <w:shd w:val="clear" w:color="auto" w:fill="FFFFFF" w:themeFill="background1"/>
        <w:spacing w:before="195" w:after="195"/>
        <w:rPr>
          <w:rFonts w:ascii="Arial" w:eastAsia="Arial" w:hAnsi="Arial" w:cs="Arial"/>
          <w:color w:val="222222"/>
          <w:sz w:val="22"/>
          <w:szCs w:val="22"/>
        </w:rPr>
      </w:pPr>
    </w:p>
    <w:p w14:paraId="158D86FB" w14:textId="40F84E2A" w:rsidR="3273663B" w:rsidRDefault="3273663B" w:rsidP="3273663B">
      <w:pPr>
        <w:shd w:val="clear" w:color="auto" w:fill="FFFFFF" w:themeFill="background1"/>
        <w:spacing w:before="195" w:after="195"/>
        <w:rPr>
          <w:rFonts w:ascii="Arial" w:eastAsia="Arial" w:hAnsi="Arial" w:cs="Arial"/>
          <w:color w:val="222222"/>
          <w:sz w:val="22"/>
          <w:szCs w:val="22"/>
        </w:rPr>
      </w:pPr>
    </w:p>
    <w:p w14:paraId="0B806159" w14:textId="0B3F7E80" w:rsidR="3273663B" w:rsidRDefault="3273663B" w:rsidP="3273663B">
      <w:pPr>
        <w:shd w:val="clear" w:color="auto" w:fill="FFFFFF" w:themeFill="background1"/>
        <w:spacing w:before="195" w:after="195"/>
        <w:rPr>
          <w:rFonts w:ascii="Arial" w:eastAsia="Arial" w:hAnsi="Arial" w:cs="Arial"/>
          <w:color w:val="222222"/>
          <w:sz w:val="22"/>
          <w:szCs w:val="22"/>
        </w:rPr>
      </w:pPr>
    </w:p>
    <w:p w14:paraId="3953511D" w14:textId="2DE1FABC" w:rsidR="3273663B" w:rsidRDefault="3273663B" w:rsidP="3273663B">
      <w:pPr>
        <w:shd w:val="clear" w:color="auto" w:fill="FFFFFF" w:themeFill="background1"/>
        <w:spacing w:before="195" w:after="195"/>
        <w:rPr>
          <w:rFonts w:ascii="Arial" w:eastAsia="Arial" w:hAnsi="Arial" w:cs="Arial"/>
          <w:color w:val="222222"/>
          <w:sz w:val="22"/>
          <w:szCs w:val="22"/>
        </w:rPr>
      </w:pPr>
    </w:p>
    <w:p w14:paraId="77B4F9F1" w14:textId="08BEC619" w:rsidR="3273663B" w:rsidRDefault="3273663B" w:rsidP="3273663B">
      <w:pPr>
        <w:shd w:val="clear" w:color="auto" w:fill="FFFFFF" w:themeFill="background1"/>
        <w:spacing w:before="195" w:after="195"/>
        <w:rPr>
          <w:rFonts w:ascii="Arial" w:eastAsia="Arial" w:hAnsi="Arial" w:cs="Arial"/>
          <w:color w:val="222222"/>
          <w:sz w:val="22"/>
          <w:szCs w:val="22"/>
        </w:rPr>
      </w:pPr>
    </w:p>
    <w:p w14:paraId="468AF8E6" w14:textId="3A06ECBD" w:rsidR="3273663B" w:rsidRDefault="3273663B" w:rsidP="3273663B">
      <w:pPr>
        <w:shd w:val="clear" w:color="auto" w:fill="FFFFFF" w:themeFill="background1"/>
        <w:spacing w:before="195" w:after="195"/>
        <w:rPr>
          <w:rFonts w:ascii="Arial" w:eastAsia="Arial" w:hAnsi="Arial" w:cs="Arial"/>
          <w:color w:val="222222"/>
          <w:sz w:val="22"/>
          <w:szCs w:val="22"/>
        </w:rPr>
      </w:pPr>
    </w:p>
    <w:p w14:paraId="73CD4704" w14:textId="5EB6BC83" w:rsidR="3273663B" w:rsidRDefault="3273663B" w:rsidP="3273663B">
      <w:pPr>
        <w:shd w:val="clear" w:color="auto" w:fill="FFFFFF" w:themeFill="background1"/>
        <w:spacing w:before="195" w:after="195"/>
        <w:rPr>
          <w:rFonts w:ascii="Arial" w:eastAsia="Arial" w:hAnsi="Arial" w:cs="Arial"/>
          <w:color w:val="222222"/>
          <w:sz w:val="22"/>
          <w:szCs w:val="22"/>
        </w:rPr>
      </w:pPr>
    </w:p>
    <w:p w14:paraId="0AB3DE90" w14:textId="7747EE34" w:rsidR="3273663B" w:rsidRDefault="3273663B" w:rsidP="3273663B">
      <w:pPr>
        <w:shd w:val="clear" w:color="auto" w:fill="FFFFFF" w:themeFill="background1"/>
        <w:spacing w:before="195" w:after="195"/>
        <w:rPr>
          <w:rFonts w:ascii="Arial" w:eastAsia="Arial" w:hAnsi="Arial" w:cs="Arial"/>
          <w:color w:val="222222"/>
          <w:sz w:val="22"/>
          <w:szCs w:val="22"/>
        </w:rPr>
      </w:pPr>
    </w:p>
    <w:p w14:paraId="72C50D9D" w14:textId="1C7883E9" w:rsidR="3273663B" w:rsidRDefault="3273663B" w:rsidP="3273663B">
      <w:pPr>
        <w:shd w:val="clear" w:color="auto" w:fill="FFFFFF" w:themeFill="background1"/>
        <w:spacing w:before="195" w:after="195"/>
        <w:rPr>
          <w:rFonts w:ascii="Arial" w:eastAsia="Arial" w:hAnsi="Arial" w:cs="Arial"/>
          <w:color w:val="222222"/>
          <w:sz w:val="22"/>
          <w:szCs w:val="22"/>
        </w:rPr>
      </w:pPr>
    </w:p>
    <w:p w14:paraId="28A83516" w14:textId="64194E82" w:rsidR="3273663B" w:rsidRDefault="3273663B"/>
    <w:p w14:paraId="66DFD4CD" w14:textId="185245BF" w:rsidR="3273663B" w:rsidRDefault="3273663B" w:rsidP="3273663B">
      <w:pPr>
        <w:rPr>
          <w:sz w:val="22"/>
          <w:szCs w:val="22"/>
        </w:rPr>
      </w:pPr>
    </w:p>
    <w:p w14:paraId="42031D8A" w14:textId="01927F7B" w:rsidR="3273663B" w:rsidRDefault="3273663B" w:rsidP="3273663B">
      <w:pPr>
        <w:rPr>
          <w:sz w:val="22"/>
          <w:szCs w:val="22"/>
        </w:rPr>
      </w:pPr>
    </w:p>
    <w:p w14:paraId="07AECA2A" w14:textId="1FFE2921" w:rsidR="3273663B" w:rsidRDefault="3273663B" w:rsidP="3273663B">
      <w:pPr>
        <w:rPr>
          <w:sz w:val="22"/>
          <w:szCs w:val="22"/>
        </w:rPr>
      </w:pPr>
    </w:p>
    <w:p w14:paraId="4247C6DE" w14:textId="117AC5FA" w:rsidR="3273663B" w:rsidRDefault="3273663B" w:rsidP="3273663B">
      <w:pPr>
        <w:rPr>
          <w:sz w:val="22"/>
          <w:szCs w:val="22"/>
        </w:rPr>
      </w:pPr>
    </w:p>
    <w:p w14:paraId="577B1FD9" w14:textId="78C73C8F" w:rsidR="3273663B" w:rsidRDefault="3273663B" w:rsidP="3273663B">
      <w:pPr>
        <w:rPr>
          <w:sz w:val="22"/>
          <w:szCs w:val="22"/>
        </w:rPr>
      </w:pPr>
    </w:p>
    <w:p w14:paraId="186094A8" w14:textId="0A9EB0BF" w:rsidR="3273663B" w:rsidRDefault="3273663B" w:rsidP="3273663B">
      <w:pPr>
        <w:rPr>
          <w:sz w:val="22"/>
          <w:szCs w:val="22"/>
        </w:rPr>
      </w:pPr>
    </w:p>
    <w:p w14:paraId="1470EDB6" w14:textId="4DD94576" w:rsidR="3273663B" w:rsidRDefault="3273663B" w:rsidP="3273663B">
      <w:pPr>
        <w:rPr>
          <w:sz w:val="22"/>
          <w:szCs w:val="22"/>
        </w:rPr>
      </w:pPr>
    </w:p>
    <w:p w14:paraId="61D1B348" w14:textId="4C04CCB0" w:rsidR="3273663B" w:rsidRDefault="3273663B" w:rsidP="3273663B">
      <w:pPr>
        <w:rPr>
          <w:sz w:val="22"/>
          <w:szCs w:val="22"/>
        </w:rPr>
      </w:pPr>
    </w:p>
    <w:p w14:paraId="56BCD3FF" w14:textId="6780A7C9" w:rsidR="3273663B" w:rsidRDefault="3273663B" w:rsidP="3273663B">
      <w:pPr>
        <w:rPr>
          <w:sz w:val="22"/>
          <w:szCs w:val="22"/>
        </w:rPr>
      </w:pPr>
    </w:p>
    <w:p w14:paraId="70EEC711" w14:textId="3B248F87" w:rsidR="3273663B" w:rsidRDefault="3273663B" w:rsidP="3273663B">
      <w:pPr>
        <w:rPr>
          <w:sz w:val="22"/>
          <w:szCs w:val="22"/>
        </w:rPr>
      </w:pPr>
    </w:p>
    <w:p w14:paraId="6F09F4DC" w14:textId="1C33EF2B" w:rsidR="3273663B" w:rsidRDefault="3273663B" w:rsidP="3273663B">
      <w:pPr>
        <w:rPr>
          <w:sz w:val="22"/>
          <w:szCs w:val="22"/>
        </w:rPr>
      </w:pPr>
    </w:p>
    <w:p w14:paraId="1F6BB294" w14:textId="2A16BBA6" w:rsidR="3273663B" w:rsidRDefault="3273663B" w:rsidP="3273663B">
      <w:pPr>
        <w:rPr>
          <w:sz w:val="22"/>
          <w:szCs w:val="22"/>
        </w:rPr>
      </w:pPr>
    </w:p>
    <w:p w14:paraId="6B259EDB" w14:textId="095BEFFF" w:rsidR="3273663B" w:rsidRDefault="3273663B" w:rsidP="3273663B">
      <w:pPr>
        <w:rPr>
          <w:sz w:val="22"/>
          <w:szCs w:val="22"/>
        </w:rPr>
      </w:pPr>
    </w:p>
    <w:p w14:paraId="45574570" w14:textId="0DEC2AD6" w:rsidR="3273663B" w:rsidRDefault="3273663B" w:rsidP="3273663B">
      <w:pPr>
        <w:rPr>
          <w:sz w:val="22"/>
          <w:szCs w:val="22"/>
        </w:rPr>
      </w:pPr>
    </w:p>
    <w:p w14:paraId="721E9A9A" w14:textId="2AE9137D" w:rsidR="3273663B" w:rsidRDefault="3273663B" w:rsidP="3273663B">
      <w:pPr>
        <w:rPr>
          <w:sz w:val="22"/>
          <w:szCs w:val="22"/>
        </w:rPr>
      </w:pPr>
    </w:p>
    <w:sectPr w:rsidR="3273663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sGPRxZ3k" int2:invalidationBookmarkName="" int2:hashCode="6eCTr2hKDvOwL4" int2:id="mG54or1T">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4C88A3"/>
    <w:rsid w:val="005128F5"/>
    <w:rsid w:val="00664412"/>
    <w:rsid w:val="00675A93"/>
    <w:rsid w:val="00884797"/>
    <w:rsid w:val="009C3FBF"/>
    <w:rsid w:val="00AD1851"/>
    <w:rsid w:val="00AF5447"/>
    <w:rsid w:val="00EF6336"/>
    <w:rsid w:val="01B431BC"/>
    <w:rsid w:val="05FBB219"/>
    <w:rsid w:val="090663AB"/>
    <w:rsid w:val="0F96185E"/>
    <w:rsid w:val="11912DE5"/>
    <w:rsid w:val="1299007E"/>
    <w:rsid w:val="12FDE4CD"/>
    <w:rsid w:val="140D250B"/>
    <w:rsid w:val="1968D3C2"/>
    <w:rsid w:val="1986C13F"/>
    <w:rsid w:val="1B551C96"/>
    <w:rsid w:val="1BDCF7E4"/>
    <w:rsid w:val="214C88A3"/>
    <w:rsid w:val="21B8CD65"/>
    <w:rsid w:val="243A57A3"/>
    <w:rsid w:val="26220906"/>
    <w:rsid w:val="28379681"/>
    <w:rsid w:val="29F2E92C"/>
    <w:rsid w:val="2C73AC6A"/>
    <w:rsid w:val="2EDD9087"/>
    <w:rsid w:val="2F166C93"/>
    <w:rsid w:val="30C82465"/>
    <w:rsid w:val="3273663B"/>
    <w:rsid w:val="33A279F6"/>
    <w:rsid w:val="345041CD"/>
    <w:rsid w:val="3742842B"/>
    <w:rsid w:val="3966409F"/>
    <w:rsid w:val="3C3468D0"/>
    <w:rsid w:val="42999FB8"/>
    <w:rsid w:val="472A7525"/>
    <w:rsid w:val="49817A2F"/>
    <w:rsid w:val="4E689338"/>
    <w:rsid w:val="55AAB994"/>
    <w:rsid w:val="56B04A30"/>
    <w:rsid w:val="5BDA30DC"/>
    <w:rsid w:val="5F95CC24"/>
    <w:rsid w:val="6D4218EE"/>
    <w:rsid w:val="6EF59599"/>
    <w:rsid w:val="7199F0C3"/>
    <w:rsid w:val="71F73F34"/>
    <w:rsid w:val="78A6F402"/>
    <w:rsid w:val="78D3859D"/>
    <w:rsid w:val="79ABA88E"/>
    <w:rsid w:val="7F549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B6FAE"/>
  <w15:chartTrackingRefBased/>
  <w15:docId w15:val="{12853659-750E-40CD-AEE0-E3F7D0341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2775</Words>
  <Characters>15823</Characters>
  <Application>Microsoft Office Word</Application>
  <DocSecurity>0</DocSecurity>
  <Lines>131</Lines>
  <Paragraphs>37</Paragraphs>
  <ScaleCrop>false</ScaleCrop>
  <Company/>
  <LinksUpToDate>false</LinksUpToDate>
  <CharactersWithSpaces>18561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Tayyaba Shamim (2319019)</dc:creator>
  <cp:keywords/>
  <dc:description/>
  <cp:lastModifiedBy>Tayyaba Shamim (2319019)</cp:lastModifiedBy>
  <cp:revision>2</cp:revision>
  <dcterms:created xsi:type="dcterms:W3CDTF">2026-07-19T22:03:00Z</dcterms:created>
  <dcterms:modified xsi:type="dcterms:W3CDTF">2026-07-19T22:03:00Z</dcterms:modified>
</cp:coreProperties>
</file>