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DC3AA" w14:textId="284DCCFE" w:rsidR="004D55D2" w:rsidRDefault="004F03AA" w:rsidP="004F03AA">
      <w:pPr>
        <w:jc w:val="center"/>
      </w:pPr>
      <w:r>
        <w:t xml:space="preserve">University of Wales Trinity Saint David </w:t>
      </w:r>
    </w:p>
    <w:p w14:paraId="502EE40C" w14:textId="1BFE0CD8" w:rsidR="004F03AA" w:rsidRDefault="004F03AA" w:rsidP="004F03AA">
      <w:pPr>
        <w:jc w:val="center"/>
      </w:pPr>
      <w:r>
        <w:t xml:space="preserve">School of Engineering </w:t>
      </w:r>
    </w:p>
    <w:p w14:paraId="2921A650" w14:textId="77777777" w:rsidR="004F03AA" w:rsidRDefault="004F03AA" w:rsidP="004F03AA">
      <w:pPr>
        <w:jc w:val="center"/>
      </w:pPr>
    </w:p>
    <w:p w14:paraId="3EDF300E" w14:textId="0B15F9CC" w:rsidR="004F03AA" w:rsidRPr="00DD51C3" w:rsidRDefault="00DD51C3" w:rsidP="004F03AA">
      <w:pPr>
        <w:jc w:val="center"/>
      </w:pPr>
      <w:r>
        <w:t xml:space="preserve">Failure Mode &amp; Effects Analysis – Technical Report </w:t>
      </w:r>
    </w:p>
    <w:p w14:paraId="293060F4" w14:textId="79E10097" w:rsidR="004F03AA" w:rsidRPr="00DD51C3" w:rsidRDefault="00DD51C3" w:rsidP="004F03AA">
      <w:pPr>
        <w:jc w:val="center"/>
      </w:pPr>
      <w:r>
        <w:t>Engineering Applications &amp; Study Skills – ACMA4007</w:t>
      </w:r>
    </w:p>
    <w:p w14:paraId="137E3F91" w14:textId="77777777" w:rsidR="004F03AA" w:rsidRDefault="004F03AA" w:rsidP="004F03AA">
      <w:pPr>
        <w:jc w:val="center"/>
        <w:rPr>
          <w:i/>
          <w:iCs/>
        </w:rPr>
      </w:pPr>
    </w:p>
    <w:p w14:paraId="188ABFD3" w14:textId="53989304" w:rsidR="004F03AA" w:rsidRDefault="004F03AA" w:rsidP="004F03AA">
      <w:pPr>
        <w:jc w:val="center"/>
      </w:pPr>
      <w:r>
        <w:t xml:space="preserve">Samuel Barry </w:t>
      </w:r>
    </w:p>
    <w:p w14:paraId="64450B0F" w14:textId="68673B6E" w:rsidR="004F03AA" w:rsidRPr="004F03AA" w:rsidRDefault="004F03AA" w:rsidP="004F03AA">
      <w:pPr>
        <w:jc w:val="center"/>
      </w:pPr>
      <w:r>
        <w:t>2312272</w:t>
      </w:r>
    </w:p>
    <w:p w14:paraId="0807505E" w14:textId="365A05E6" w:rsidR="004F03AA" w:rsidRPr="009C5CCC" w:rsidRDefault="009C5CCC" w:rsidP="004F03AA">
      <w:pPr>
        <w:jc w:val="center"/>
      </w:pPr>
      <w:r>
        <w:t>12/02/2024</w:t>
      </w:r>
    </w:p>
    <w:p w14:paraId="3CF1269D" w14:textId="77777777" w:rsidR="004D55D2" w:rsidRDefault="004D55D2">
      <w:pPr>
        <w:spacing w:line="240" w:lineRule="auto"/>
      </w:pPr>
      <w:r>
        <w:br w:type="page"/>
      </w:r>
    </w:p>
    <w:sdt>
      <w:sdtPr>
        <w:rPr>
          <w:rFonts w:ascii="Microsoft Sans Serif" w:eastAsiaTheme="minorHAnsi" w:hAnsi="Microsoft Sans Serif" w:cstheme="minorBidi"/>
          <w:b w:val="0"/>
          <w:bCs w:val="0"/>
          <w:color w:val="auto"/>
          <w:kern w:val="2"/>
          <w:sz w:val="24"/>
          <w:szCs w:val="24"/>
          <w:lang w:val="en-GB"/>
          <w14:ligatures w14:val="standardContextual"/>
        </w:rPr>
        <w:id w:val="306986039"/>
        <w:docPartObj>
          <w:docPartGallery w:val="Table of Contents"/>
          <w:docPartUnique/>
        </w:docPartObj>
      </w:sdtPr>
      <w:sdtEndPr>
        <w:rPr>
          <w:noProof/>
        </w:rPr>
      </w:sdtEndPr>
      <w:sdtContent>
        <w:p w14:paraId="1A014974" w14:textId="413E2BE2" w:rsidR="004D55D2" w:rsidRDefault="004D55D2">
          <w:pPr>
            <w:pStyle w:val="TOCHeading"/>
          </w:pPr>
          <w:r>
            <w:t>Table of Contents</w:t>
          </w:r>
        </w:p>
        <w:p w14:paraId="6F97A3C7" w14:textId="635A5112" w:rsidR="00275BB6" w:rsidRDefault="004D55D2">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8556900" w:history="1">
            <w:r w:rsidR="00275BB6" w:rsidRPr="0098701D">
              <w:rPr>
                <w:rStyle w:val="Hyperlink"/>
                <w:noProof/>
              </w:rPr>
              <w:t>1</w:t>
            </w:r>
            <w:r w:rsidR="00275BB6">
              <w:rPr>
                <w:rFonts w:eastAsiaTheme="minorEastAsia" w:cstheme="minorBidi"/>
                <w:b w:val="0"/>
                <w:bCs w:val="0"/>
                <w:i w:val="0"/>
                <w:iCs w:val="0"/>
                <w:noProof/>
                <w:lang w:eastAsia="en-GB"/>
              </w:rPr>
              <w:tab/>
            </w:r>
            <w:r w:rsidR="00275BB6" w:rsidRPr="0098701D">
              <w:rPr>
                <w:rStyle w:val="Hyperlink"/>
                <w:noProof/>
              </w:rPr>
              <w:t>Introduction</w:t>
            </w:r>
            <w:r w:rsidR="00275BB6">
              <w:rPr>
                <w:noProof/>
                <w:webHidden/>
              </w:rPr>
              <w:tab/>
            </w:r>
            <w:r w:rsidR="00275BB6">
              <w:rPr>
                <w:noProof/>
                <w:webHidden/>
              </w:rPr>
              <w:fldChar w:fldCharType="begin"/>
            </w:r>
            <w:r w:rsidR="00275BB6">
              <w:rPr>
                <w:noProof/>
                <w:webHidden/>
              </w:rPr>
              <w:instrText xml:space="preserve"> PAGEREF _Toc158556900 \h </w:instrText>
            </w:r>
            <w:r w:rsidR="00275BB6">
              <w:rPr>
                <w:noProof/>
                <w:webHidden/>
              </w:rPr>
            </w:r>
            <w:r w:rsidR="00275BB6">
              <w:rPr>
                <w:noProof/>
                <w:webHidden/>
              </w:rPr>
              <w:fldChar w:fldCharType="separate"/>
            </w:r>
            <w:r w:rsidR="00275BB6">
              <w:rPr>
                <w:noProof/>
                <w:webHidden/>
              </w:rPr>
              <w:t>1</w:t>
            </w:r>
            <w:r w:rsidR="00275BB6">
              <w:rPr>
                <w:noProof/>
                <w:webHidden/>
              </w:rPr>
              <w:fldChar w:fldCharType="end"/>
            </w:r>
          </w:hyperlink>
        </w:p>
        <w:p w14:paraId="2772FBA3" w14:textId="2EBB2B57" w:rsidR="00275BB6" w:rsidRDefault="00275BB6">
          <w:pPr>
            <w:pStyle w:val="TOC2"/>
            <w:tabs>
              <w:tab w:val="left" w:pos="960"/>
              <w:tab w:val="right" w:leader="dot" w:pos="9016"/>
            </w:tabs>
            <w:rPr>
              <w:rFonts w:eastAsiaTheme="minorEastAsia" w:cstheme="minorBidi"/>
              <w:b w:val="0"/>
              <w:bCs w:val="0"/>
              <w:noProof/>
              <w:sz w:val="24"/>
              <w:szCs w:val="24"/>
              <w:lang w:eastAsia="en-GB"/>
            </w:rPr>
          </w:pPr>
          <w:hyperlink w:anchor="_Toc158556901" w:history="1">
            <w:r w:rsidRPr="0098701D">
              <w:rPr>
                <w:rStyle w:val="Hyperlink"/>
                <w:noProof/>
              </w:rPr>
              <w:t>1.1</w:t>
            </w:r>
            <w:r>
              <w:rPr>
                <w:rFonts w:eastAsiaTheme="minorEastAsia" w:cstheme="minorBidi"/>
                <w:b w:val="0"/>
                <w:bCs w:val="0"/>
                <w:noProof/>
                <w:sz w:val="24"/>
                <w:szCs w:val="24"/>
                <w:lang w:eastAsia="en-GB"/>
              </w:rPr>
              <w:tab/>
            </w:r>
            <w:r w:rsidRPr="0098701D">
              <w:rPr>
                <w:rStyle w:val="Hyperlink"/>
                <w:noProof/>
              </w:rPr>
              <w:t>Aims</w:t>
            </w:r>
            <w:r>
              <w:rPr>
                <w:noProof/>
                <w:webHidden/>
              </w:rPr>
              <w:tab/>
            </w:r>
            <w:r>
              <w:rPr>
                <w:noProof/>
                <w:webHidden/>
              </w:rPr>
              <w:fldChar w:fldCharType="begin"/>
            </w:r>
            <w:r>
              <w:rPr>
                <w:noProof/>
                <w:webHidden/>
              </w:rPr>
              <w:instrText xml:space="preserve"> PAGEREF _Toc158556901 \h </w:instrText>
            </w:r>
            <w:r>
              <w:rPr>
                <w:noProof/>
                <w:webHidden/>
              </w:rPr>
            </w:r>
            <w:r>
              <w:rPr>
                <w:noProof/>
                <w:webHidden/>
              </w:rPr>
              <w:fldChar w:fldCharType="separate"/>
            </w:r>
            <w:r>
              <w:rPr>
                <w:noProof/>
                <w:webHidden/>
              </w:rPr>
              <w:t>1</w:t>
            </w:r>
            <w:r>
              <w:rPr>
                <w:noProof/>
                <w:webHidden/>
              </w:rPr>
              <w:fldChar w:fldCharType="end"/>
            </w:r>
          </w:hyperlink>
        </w:p>
        <w:p w14:paraId="012C56BD" w14:textId="01477AD3" w:rsidR="00275BB6" w:rsidRDefault="00275BB6">
          <w:pPr>
            <w:pStyle w:val="TOC2"/>
            <w:tabs>
              <w:tab w:val="left" w:pos="960"/>
              <w:tab w:val="right" w:leader="dot" w:pos="9016"/>
            </w:tabs>
            <w:rPr>
              <w:rFonts w:eastAsiaTheme="minorEastAsia" w:cstheme="minorBidi"/>
              <w:b w:val="0"/>
              <w:bCs w:val="0"/>
              <w:noProof/>
              <w:sz w:val="24"/>
              <w:szCs w:val="24"/>
              <w:lang w:eastAsia="en-GB"/>
            </w:rPr>
          </w:pPr>
          <w:hyperlink w:anchor="_Toc158556902" w:history="1">
            <w:r w:rsidRPr="0098701D">
              <w:rPr>
                <w:rStyle w:val="Hyperlink"/>
                <w:noProof/>
              </w:rPr>
              <w:t>1.2</w:t>
            </w:r>
            <w:r>
              <w:rPr>
                <w:rFonts w:eastAsiaTheme="minorEastAsia" w:cstheme="minorBidi"/>
                <w:b w:val="0"/>
                <w:bCs w:val="0"/>
                <w:noProof/>
                <w:sz w:val="24"/>
                <w:szCs w:val="24"/>
                <w:lang w:eastAsia="en-GB"/>
              </w:rPr>
              <w:tab/>
            </w:r>
            <w:r w:rsidRPr="0098701D">
              <w:rPr>
                <w:rStyle w:val="Hyperlink"/>
                <w:noProof/>
              </w:rPr>
              <w:t>Objectives</w:t>
            </w:r>
            <w:r>
              <w:rPr>
                <w:noProof/>
                <w:webHidden/>
              </w:rPr>
              <w:tab/>
            </w:r>
            <w:r>
              <w:rPr>
                <w:noProof/>
                <w:webHidden/>
              </w:rPr>
              <w:fldChar w:fldCharType="begin"/>
            </w:r>
            <w:r>
              <w:rPr>
                <w:noProof/>
                <w:webHidden/>
              </w:rPr>
              <w:instrText xml:space="preserve"> PAGEREF _Toc158556902 \h </w:instrText>
            </w:r>
            <w:r>
              <w:rPr>
                <w:noProof/>
                <w:webHidden/>
              </w:rPr>
            </w:r>
            <w:r>
              <w:rPr>
                <w:noProof/>
                <w:webHidden/>
              </w:rPr>
              <w:fldChar w:fldCharType="separate"/>
            </w:r>
            <w:r>
              <w:rPr>
                <w:noProof/>
                <w:webHidden/>
              </w:rPr>
              <w:t>1</w:t>
            </w:r>
            <w:r>
              <w:rPr>
                <w:noProof/>
                <w:webHidden/>
              </w:rPr>
              <w:fldChar w:fldCharType="end"/>
            </w:r>
          </w:hyperlink>
        </w:p>
        <w:p w14:paraId="1D083ED2" w14:textId="5975706B" w:rsidR="00275BB6" w:rsidRDefault="00275BB6">
          <w:pPr>
            <w:pStyle w:val="TOC1"/>
            <w:tabs>
              <w:tab w:val="left" w:pos="480"/>
              <w:tab w:val="right" w:leader="dot" w:pos="9016"/>
            </w:tabs>
            <w:rPr>
              <w:rFonts w:eastAsiaTheme="minorEastAsia" w:cstheme="minorBidi"/>
              <w:b w:val="0"/>
              <w:bCs w:val="0"/>
              <w:i w:val="0"/>
              <w:iCs w:val="0"/>
              <w:noProof/>
              <w:lang w:eastAsia="en-GB"/>
            </w:rPr>
          </w:pPr>
          <w:hyperlink w:anchor="_Toc158556903" w:history="1">
            <w:r w:rsidRPr="0098701D">
              <w:rPr>
                <w:rStyle w:val="Hyperlink"/>
                <w:noProof/>
              </w:rPr>
              <w:t>2</w:t>
            </w:r>
            <w:r>
              <w:rPr>
                <w:rFonts w:eastAsiaTheme="minorEastAsia" w:cstheme="minorBidi"/>
                <w:b w:val="0"/>
                <w:bCs w:val="0"/>
                <w:i w:val="0"/>
                <w:iCs w:val="0"/>
                <w:noProof/>
                <w:lang w:eastAsia="en-GB"/>
              </w:rPr>
              <w:tab/>
            </w:r>
            <w:r w:rsidRPr="0098701D">
              <w:rPr>
                <w:rStyle w:val="Hyperlink"/>
                <w:noProof/>
              </w:rPr>
              <w:t>Literature Review</w:t>
            </w:r>
            <w:r>
              <w:rPr>
                <w:noProof/>
                <w:webHidden/>
              </w:rPr>
              <w:tab/>
            </w:r>
            <w:r>
              <w:rPr>
                <w:noProof/>
                <w:webHidden/>
              </w:rPr>
              <w:fldChar w:fldCharType="begin"/>
            </w:r>
            <w:r>
              <w:rPr>
                <w:noProof/>
                <w:webHidden/>
              </w:rPr>
              <w:instrText xml:space="preserve"> PAGEREF _Toc158556903 \h </w:instrText>
            </w:r>
            <w:r>
              <w:rPr>
                <w:noProof/>
                <w:webHidden/>
              </w:rPr>
            </w:r>
            <w:r>
              <w:rPr>
                <w:noProof/>
                <w:webHidden/>
              </w:rPr>
              <w:fldChar w:fldCharType="separate"/>
            </w:r>
            <w:r>
              <w:rPr>
                <w:noProof/>
                <w:webHidden/>
              </w:rPr>
              <w:t>2</w:t>
            </w:r>
            <w:r>
              <w:rPr>
                <w:noProof/>
                <w:webHidden/>
              </w:rPr>
              <w:fldChar w:fldCharType="end"/>
            </w:r>
          </w:hyperlink>
        </w:p>
        <w:p w14:paraId="605EAD91" w14:textId="4DBAB2FF" w:rsidR="00275BB6" w:rsidRDefault="00275BB6">
          <w:pPr>
            <w:pStyle w:val="TOC1"/>
            <w:tabs>
              <w:tab w:val="left" w:pos="480"/>
              <w:tab w:val="right" w:leader="dot" w:pos="9016"/>
            </w:tabs>
            <w:rPr>
              <w:rFonts w:eastAsiaTheme="minorEastAsia" w:cstheme="minorBidi"/>
              <w:b w:val="0"/>
              <w:bCs w:val="0"/>
              <w:i w:val="0"/>
              <w:iCs w:val="0"/>
              <w:noProof/>
              <w:lang w:eastAsia="en-GB"/>
            </w:rPr>
          </w:pPr>
          <w:hyperlink w:anchor="_Toc158556904" w:history="1">
            <w:r w:rsidRPr="0098701D">
              <w:rPr>
                <w:rStyle w:val="Hyperlink"/>
                <w:noProof/>
              </w:rPr>
              <w:t>3</w:t>
            </w:r>
            <w:r>
              <w:rPr>
                <w:rFonts w:eastAsiaTheme="minorEastAsia" w:cstheme="minorBidi"/>
                <w:b w:val="0"/>
                <w:bCs w:val="0"/>
                <w:i w:val="0"/>
                <w:iCs w:val="0"/>
                <w:noProof/>
                <w:lang w:eastAsia="en-GB"/>
              </w:rPr>
              <w:tab/>
            </w:r>
            <w:r w:rsidRPr="0098701D">
              <w:rPr>
                <w:rStyle w:val="Hyperlink"/>
                <w:noProof/>
              </w:rPr>
              <w:t>FMEA</w:t>
            </w:r>
            <w:r>
              <w:rPr>
                <w:noProof/>
                <w:webHidden/>
              </w:rPr>
              <w:tab/>
            </w:r>
            <w:r>
              <w:rPr>
                <w:noProof/>
                <w:webHidden/>
              </w:rPr>
              <w:fldChar w:fldCharType="begin"/>
            </w:r>
            <w:r>
              <w:rPr>
                <w:noProof/>
                <w:webHidden/>
              </w:rPr>
              <w:instrText xml:space="preserve"> PAGEREF _Toc158556904 \h </w:instrText>
            </w:r>
            <w:r>
              <w:rPr>
                <w:noProof/>
                <w:webHidden/>
              </w:rPr>
            </w:r>
            <w:r>
              <w:rPr>
                <w:noProof/>
                <w:webHidden/>
              </w:rPr>
              <w:fldChar w:fldCharType="separate"/>
            </w:r>
            <w:r>
              <w:rPr>
                <w:noProof/>
                <w:webHidden/>
              </w:rPr>
              <w:t>4</w:t>
            </w:r>
            <w:r>
              <w:rPr>
                <w:noProof/>
                <w:webHidden/>
              </w:rPr>
              <w:fldChar w:fldCharType="end"/>
            </w:r>
          </w:hyperlink>
        </w:p>
        <w:p w14:paraId="2B35909F" w14:textId="0EA917B9" w:rsidR="00275BB6" w:rsidRDefault="00275BB6">
          <w:pPr>
            <w:pStyle w:val="TOC1"/>
            <w:tabs>
              <w:tab w:val="left" w:pos="480"/>
              <w:tab w:val="right" w:leader="dot" w:pos="9016"/>
            </w:tabs>
            <w:rPr>
              <w:rFonts w:eastAsiaTheme="minorEastAsia" w:cstheme="minorBidi"/>
              <w:b w:val="0"/>
              <w:bCs w:val="0"/>
              <w:i w:val="0"/>
              <w:iCs w:val="0"/>
              <w:noProof/>
              <w:lang w:eastAsia="en-GB"/>
            </w:rPr>
          </w:pPr>
          <w:hyperlink w:anchor="_Toc158556905" w:history="1">
            <w:r w:rsidRPr="0098701D">
              <w:rPr>
                <w:rStyle w:val="Hyperlink"/>
                <w:noProof/>
              </w:rPr>
              <w:t>4</w:t>
            </w:r>
            <w:r>
              <w:rPr>
                <w:rFonts w:eastAsiaTheme="minorEastAsia" w:cstheme="minorBidi"/>
                <w:b w:val="0"/>
                <w:bCs w:val="0"/>
                <w:i w:val="0"/>
                <w:iCs w:val="0"/>
                <w:noProof/>
                <w:lang w:eastAsia="en-GB"/>
              </w:rPr>
              <w:tab/>
            </w:r>
            <w:r w:rsidRPr="0098701D">
              <w:rPr>
                <w:rStyle w:val="Hyperlink"/>
                <w:noProof/>
              </w:rPr>
              <w:t>Conclusions</w:t>
            </w:r>
            <w:r>
              <w:rPr>
                <w:noProof/>
                <w:webHidden/>
              </w:rPr>
              <w:tab/>
            </w:r>
            <w:r>
              <w:rPr>
                <w:noProof/>
                <w:webHidden/>
              </w:rPr>
              <w:fldChar w:fldCharType="begin"/>
            </w:r>
            <w:r>
              <w:rPr>
                <w:noProof/>
                <w:webHidden/>
              </w:rPr>
              <w:instrText xml:space="preserve"> PAGEREF _Toc158556905 \h </w:instrText>
            </w:r>
            <w:r>
              <w:rPr>
                <w:noProof/>
                <w:webHidden/>
              </w:rPr>
            </w:r>
            <w:r>
              <w:rPr>
                <w:noProof/>
                <w:webHidden/>
              </w:rPr>
              <w:fldChar w:fldCharType="separate"/>
            </w:r>
            <w:r>
              <w:rPr>
                <w:noProof/>
                <w:webHidden/>
              </w:rPr>
              <w:t>7</w:t>
            </w:r>
            <w:r>
              <w:rPr>
                <w:noProof/>
                <w:webHidden/>
              </w:rPr>
              <w:fldChar w:fldCharType="end"/>
            </w:r>
          </w:hyperlink>
        </w:p>
        <w:p w14:paraId="40F9E613" w14:textId="038F267A" w:rsidR="00275BB6" w:rsidRDefault="00275BB6">
          <w:pPr>
            <w:pStyle w:val="TOC1"/>
            <w:tabs>
              <w:tab w:val="left" w:pos="480"/>
              <w:tab w:val="right" w:leader="dot" w:pos="9016"/>
            </w:tabs>
            <w:rPr>
              <w:rFonts w:eastAsiaTheme="minorEastAsia" w:cstheme="minorBidi"/>
              <w:b w:val="0"/>
              <w:bCs w:val="0"/>
              <w:i w:val="0"/>
              <w:iCs w:val="0"/>
              <w:noProof/>
              <w:lang w:eastAsia="en-GB"/>
            </w:rPr>
          </w:pPr>
          <w:hyperlink w:anchor="_Toc158556906" w:history="1">
            <w:r w:rsidRPr="0098701D">
              <w:rPr>
                <w:rStyle w:val="Hyperlink"/>
                <w:noProof/>
              </w:rPr>
              <w:t>5</w:t>
            </w:r>
            <w:r>
              <w:rPr>
                <w:rFonts w:eastAsiaTheme="minorEastAsia" w:cstheme="minorBidi"/>
                <w:b w:val="0"/>
                <w:bCs w:val="0"/>
                <w:i w:val="0"/>
                <w:iCs w:val="0"/>
                <w:noProof/>
                <w:lang w:eastAsia="en-GB"/>
              </w:rPr>
              <w:tab/>
            </w:r>
            <w:r w:rsidRPr="0098701D">
              <w:rPr>
                <w:rStyle w:val="Hyperlink"/>
                <w:noProof/>
              </w:rPr>
              <w:t>References</w:t>
            </w:r>
            <w:r>
              <w:rPr>
                <w:noProof/>
                <w:webHidden/>
              </w:rPr>
              <w:tab/>
            </w:r>
            <w:r>
              <w:rPr>
                <w:noProof/>
                <w:webHidden/>
              </w:rPr>
              <w:fldChar w:fldCharType="begin"/>
            </w:r>
            <w:r>
              <w:rPr>
                <w:noProof/>
                <w:webHidden/>
              </w:rPr>
              <w:instrText xml:space="preserve"> PAGEREF _Toc158556906 \h </w:instrText>
            </w:r>
            <w:r>
              <w:rPr>
                <w:noProof/>
                <w:webHidden/>
              </w:rPr>
            </w:r>
            <w:r>
              <w:rPr>
                <w:noProof/>
                <w:webHidden/>
              </w:rPr>
              <w:fldChar w:fldCharType="separate"/>
            </w:r>
            <w:r>
              <w:rPr>
                <w:noProof/>
                <w:webHidden/>
              </w:rPr>
              <w:t>8</w:t>
            </w:r>
            <w:r>
              <w:rPr>
                <w:noProof/>
                <w:webHidden/>
              </w:rPr>
              <w:fldChar w:fldCharType="end"/>
            </w:r>
          </w:hyperlink>
        </w:p>
        <w:p w14:paraId="4DFC373A" w14:textId="704A6DD3" w:rsidR="00275BB6" w:rsidRDefault="00275BB6">
          <w:pPr>
            <w:pStyle w:val="TOC1"/>
            <w:tabs>
              <w:tab w:val="left" w:pos="480"/>
              <w:tab w:val="right" w:leader="dot" w:pos="9016"/>
            </w:tabs>
            <w:rPr>
              <w:rFonts w:eastAsiaTheme="minorEastAsia" w:cstheme="minorBidi"/>
              <w:b w:val="0"/>
              <w:bCs w:val="0"/>
              <w:i w:val="0"/>
              <w:iCs w:val="0"/>
              <w:noProof/>
              <w:lang w:eastAsia="en-GB"/>
            </w:rPr>
          </w:pPr>
          <w:hyperlink w:anchor="_Toc158556907" w:history="1">
            <w:r w:rsidRPr="0098701D">
              <w:rPr>
                <w:rStyle w:val="Hyperlink"/>
                <w:noProof/>
              </w:rPr>
              <w:t>6</w:t>
            </w:r>
            <w:r>
              <w:rPr>
                <w:rFonts w:eastAsiaTheme="minorEastAsia" w:cstheme="minorBidi"/>
                <w:b w:val="0"/>
                <w:bCs w:val="0"/>
                <w:i w:val="0"/>
                <w:iCs w:val="0"/>
                <w:noProof/>
                <w:lang w:eastAsia="en-GB"/>
              </w:rPr>
              <w:tab/>
            </w:r>
            <w:r w:rsidRPr="0098701D">
              <w:rPr>
                <w:rStyle w:val="Hyperlink"/>
                <w:noProof/>
              </w:rPr>
              <w:t>Appendix A</w:t>
            </w:r>
            <w:r>
              <w:rPr>
                <w:noProof/>
                <w:webHidden/>
              </w:rPr>
              <w:tab/>
            </w:r>
            <w:r>
              <w:rPr>
                <w:noProof/>
                <w:webHidden/>
              </w:rPr>
              <w:fldChar w:fldCharType="begin"/>
            </w:r>
            <w:r>
              <w:rPr>
                <w:noProof/>
                <w:webHidden/>
              </w:rPr>
              <w:instrText xml:space="preserve"> PAGEREF _Toc158556907 \h </w:instrText>
            </w:r>
            <w:r>
              <w:rPr>
                <w:noProof/>
                <w:webHidden/>
              </w:rPr>
            </w:r>
            <w:r>
              <w:rPr>
                <w:noProof/>
                <w:webHidden/>
              </w:rPr>
              <w:fldChar w:fldCharType="separate"/>
            </w:r>
            <w:r>
              <w:rPr>
                <w:noProof/>
                <w:webHidden/>
              </w:rPr>
              <w:t>9</w:t>
            </w:r>
            <w:r>
              <w:rPr>
                <w:noProof/>
                <w:webHidden/>
              </w:rPr>
              <w:fldChar w:fldCharType="end"/>
            </w:r>
          </w:hyperlink>
        </w:p>
        <w:p w14:paraId="5FDF7B1E" w14:textId="21441CC1" w:rsidR="00275BB6" w:rsidRDefault="00275BB6">
          <w:pPr>
            <w:pStyle w:val="TOC1"/>
            <w:tabs>
              <w:tab w:val="left" w:pos="480"/>
              <w:tab w:val="right" w:leader="dot" w:pos="9016"/>
            </w:tabs>
            <w:rPr>
              <w:rFonts w:eastAsiaTheme="minorEastAsia" w:cstheme="minorBidi"/>
              <w:b w:val="0"/>
              <w:bCs w:val="0"/>
              <w:i w:val="0"/>
              <w:iCs w:val="0"/>
              <w:noProof/>
              <w:lang w:eastAsia="en-GB"/>
            </w:rPr>
          </w:pPr>
          <w:hyperlink w:anchor="_Toc158556908" w:history="1">
            <w:r w:rsidRPr="0098701D">
              <w:rPr>
                <w:rStyle w:val="Hyperlink"/>
                <w:noProof/>
              </w:rPr>
              <w:t>7</w:t>
            </w:r>
            <w:r>
              <w:rPr>
                <w:rFonts w:eastAsiaTheme="minorEastAsia" w:cstheme="minorBidi"/>
                <w:b w:val="0"/>
                <w:bCs w:val="0"/>
                <w:i w:val="0"/>
                <w:iCs w:val="0"/>
                <w:noProof/>
                <w:lang w:eastAsia="en-GB"/>
              </w:rPr>
              <w:tab/>
            </w:r>
            <w:r w:rsidRPr="0098701D">
              <w:rPr>
                <w:rStyle w:val="Hyperlink"/>
                <w:noProof/>
              </w:rPr>
              <w:t>Appendix B</w:t>
            </w:r>
            <w:r>
              <w:rPr>
                <w:noProof/>
                <w:webHidden/>
              </w:rPr>
              <w:tab/>
            </w:r>
            <w:r>
              <w:rPr>
                <w:noProof/>
                <w:webHidden/>
              </w:rPr>
              <w:fldChar w:fldCharType="begin"/>
            </w:r>
            <w:r>
              <w:rPr>
                <w:noProof/>
                <w:webHidden/>
              </w:rPr>
              <w:instrText xml:space="preserve"> PAGEREF _Toc158556908 \h </w:instrText>
            </w:r>
            <w:r>
              <w:rPr>
                <w:noProof/>
                <w:webHidden/>
              </w:rPr>
            </w:r>
            <w:r>
              <w:rPr>
                <w:noProof/>
                <w:webHidden/>
              </w:rPr>
              <w:fldChar w:fldCharType="separate"/>
            </w:r>
            <w:r>
              <w:rPr>
                <w:noProof/>
                <w:webHidden/>
              </w:rPr>
              <w:t>10</w:t>
            </w:r>
            <w:r>
              <w:rPr>
                <w:noProof/>
                <w:webHidden/>
              </w:rPr>
              <w:fldChar w:fldCharType="end"/>
            </w:r>
          </w:hyperlink>
        </w:p>
        <w:p w14:paraId="3E6B9E4A" w14:textId="1B831FF1" w:rsidR="000116B4" w:rsidRDefault="004D55D2" w:rsidP="000116B4">
          <w:r>
            <w:rPr>
              <w:b/>
              <w:bCs/>
              <w:noProof/>
            </w:rPr>
            <w:fldChar w:fldCharType="end"/>
          </w:r>
        </w:p>
      </w:sdtContent>
    </w:sdt>
    <w:p w14:paraId="5238610F" w14:textId="740D6DEF" w:rsidR="0033020F" w:rsidRDefault="0033020F">
      <w:pPr>
        <w:sectPr w:rsidR="0033020F" w:rsidSect="00F80F09">
          <w:footerReference w:type="even" r:id="rId8"/>
          <w:footerReference w:type="default" r:id="rId9"/>
          <w:pgSz w:w="11906" w:h="16838"/>
          <w:pgMar w:top="1440" w:right="1440" w:bottom="1440" w:left="1440" w:header="708" w:footer="708" w:gutter="0"/>
          <w:pgNumType w:fmt="lowerRoman"/>
          <w:cols w:space="708"/>
          <w:titlePg/>
          <w:docGrid w:linePitch="360"/>
        </w:sectPr>
      </w:pPr>
    </w:p>
    <w:p w14:paraId="4BAA8F01" w14:textId="55913918" w:rsidR="00BA165C" w:rsidRDefault="005B423A" w:rsidP="00BA165C">
      <w:pPr>
        <w:pStyle w:val="Heading1"/>
      </w:pPr>
      <w:bookmarkStart w:id="0" w:name="_Toc158556900"/>
      <w:r>
        <w:lastRenderedPageBreak/>
        <w:t>Introduction</w:t>
      </w:r>
      <w:bookmarkEnd w:id="0"/>
    </w:p>
    <w:p w14:paraId="4ED78279" w14:textId="2827496E" w:rsidR="00BA165C" w:rsidRDefault="00BA165C" w:rsidP="00BA165C">
      <w:pPr>
        <w:rPr>
          <w:rFonts w:cs="Microsoft Sans Serif"/>
          <w:lang w:val="en-US"/>
        </w:rPr>
      </w:pPr>
      <w:r>
        <w:t xml:space="preserve">In the ever-changing </w:t>
      </w:r>
      <w:r w:rsidR="00EE34F9" w:rsidRPr="00E06FB0">
        <w:rPr>
          <w:rFonts w:cs="Microsoft Sans Serif"/>
        </w:rPr>
        <w:t>landscape of the manufacturing sector,</w:t>
      </w:r>
      <w:r w:rsidR="00E06FB0" w:rsidRPr="00E06FB0">
        <w:rPr>
          <w:rFonts w:cs="Microsoft Sans Serif"/>
        </w:rPr>
        <w:t xml:space="preserve"> </w:t>
      </w:r>
      <w:r w:rsidR="00E06FB0">
        <w:rPr>
          <w:rFonts w:cs="Microsoft Sans Serif"/>
          <w:lang w:val="en-US"/>
        </w:rPr>
        <w:t>it</w:t>
      </w:r>
      <w:r w:rsidR="00E06FB0" w:rsidRPr="00E06FB0">
        <w:rPr>
          <w:rFonts w:cs="Microsoft Sans Serif"/>
          <w:lang w:val="en-US"/>
        </w:rPr>
        <w:t xml:space="preserve"> is vital for individuals working in the production business today to know about and manage risks appropriately.</w:t>
      </w:r>
      <w:r w:rsidR="00E06FB0">
        <w:rPr>
          <w:rFonts w:cs="Microsoft Sans Serif"/>
          <w:lang w:val="en-US"/>
        </w:rPr>
        <w:t xml:space="preserve"> It is imperative for engineers to have a significant understanding of risk </w:t>
      </w:r>
      <w:r w:rsidR="00E06FB0" w:rsidRPr="00E06FB0">
        <w:rPr>
          <w:rFonts w:cs="Microsoft Sans Serif"/>
          <w:lang w:val="en-US"/>
        </w:rPr>
        <w:t>management</w:t>
      </w:r>
      <w:r w:rsidR="00E06FB0">
        <w:rPr>
          <w:rFonts w:cs="Microsoft Sans Serif"/>
          <w:lang w:val="en-US"/>
        </w:rPr>
        <w:t xml:space="preserve">, as the </w:t>
      </w:r>
      <w:r w:rsidR="00E06FB0" w:rsidRPr="00E06FB0">
        <w:rPr>
          <w:rFonts w:cs="Microsoft Sans Serif"/>
          <w:lang w:val="en-US"/>
        </w:rPr>
        <w:t>decisions</w:t>
      </w:r>
      <w:r w:rsidR="00E06FB0">
        <w:rPr>
          <w:rFonts w:cs="Microsoft Sans Serif"/>
          <w:lang w:val="en-US"/>
        </w:rPr>
        <w:t xml:space="preserve"> </w:t>
      </w:r>
      <w:r w:rsidR="00E06FB0" w:rsidRPr="00E06FB0">
        <w:rPr>
          <w:rFonts w:cs="Microsoft Sans Serif"/>
          <w:lang w:val="en-US"/>
        </w:rPr>
        <w:t>and activities they make straightforwardly affect the standard of the result</w:t>
      </w:r>
      <w:r w:rsidR="00E06FB0">
        <w:rPr>
          <w:rFonts w:cs="Microsoft Sans Serif"/>
          <w:lang w:val="en-US"/>
        </w:rPr>
        <w:t xml:space="preserve">. Considering this, engineers must completely understand the thoughts and techniques of risk management. By having this understanding, they can find and fix potential risks immediately thus safeguarding themselves, other </w:t>
      </w:r>
      <w:r w:rsidR="002E22AB">
        <w:rPr>
          <w:rFonts w:cs="Microsoft Sans Serif"/>
          <w:lang w:val="en-US"/>
        </w:rPr>
        <w:t>engineers,</w:t>
      </w:r>
      <w:r w:rsidR="00E06FB0">
        <w:rPr>
          <w:rFonts w:cs="Microsoft Sans Serif"/>
          <w:lang w:val="en-US"/>
        </w:rPr>
        <w:t xml:space="preserve"> and the product. </w:t>
      </w:r>
    </w:p>
    <w:p w14:paraId="3EC6907B" w14:textId="77777777" w:rsidR="002E22AB" w:rsidRDefault="002E22AB" w:rsidP="00BA165C">
      <w:pPr>
        <w:rPr>
          <w:rFonts w:cs="Microsoft Sans Serif"/>
          <w:lang w:val="en-US"/>
        </w:rPr>
      </w:pPr>
    </w:p>
    <w:p w14:paraId="6B094DFF" w14:textId="2B8511A7" w:rsidR="002E22AB" w:rsidRPr="002E22AB" w:rsidRDefault="002E22AB" w:rsidP="00BA165C">
      <w:pPr>
        <w:rPr>
          <w:rFonts w:cs="Microsoft Sans Serif"/>
        </w:rPr>
      </w:pPr>
      <w:r w:rsidRPr="002E22AB">
        <w:rPr>
          <w:rFonts w:cs="Microsoft Sans Serif"/>
          <w:lang w:val="en-US"/>
        </w:rPr>
        <w:t xml:space="preserve">The purpose of this investigation is to investigate how risk management methodologies are utilized in the </w:t>
      </w:r>
      <w:r>
        <w:rPr>
          <w:rFonts w:cs="Microsoft Sans Serif"/>
          <w:lang w:val="en-US"/>
        </w:rPr>
        <w:t>manufacturing sector</w:t>
      </w:r>
      <w:r w:rsidRPr="002E22AB">
        <w:rPr>
          <w:rFonts w:cs="Microsoft Sans Serif"/>
          <w:lang w:val="en-US"/>
        </w:rPr>
        <w:t xml:space="preserve"> in general.</w:t>
      </w:r>
      <w:r>
        <w:rPr>
          <w:rFonts w:cs="Microsoft Sans Serif"/>
          <w:lang w:val="en-US"/>
        </w:rPr>
        <w:t xml:space="preserve"> This includes looking at </w:t>
      </w:r>
      <w:r w:rsidRPr="002E22AB">
        <w:rPr>
          <w:rFonts w:cs="Microsoft Sans Serif"/>
          <w:lang w:val="en-US"/>
        </w:rPr>
        <w:t>all facets of risk. Failure Modes and Effects Analysis (FMEA) is a vital device for overseeing risk</w:t>
      </w:r>
      <w:r>
        <w:rPr>
          <w:rFonts w:cs="Microsoft Sans Serif"/>
          <w:lang w:val="en-US"/>
        </w:rPr>
        <w:t xml:space="preserve">. </w:t>
      </w:r>
    </w:p>
    <w:p w14:paraId="08EA9852" w14:textId="6041D9F0" w:rsidR="004D55D2" w:rsidRDefault="004D55D2" w:rsidP="004D55D2">
      <w:pPr>
        <w:pStyle w:val="Heading2"/>
      </w:pPr>
      <w:bookmarkStart w:id="1" w:name="_Toc158556901"/>
      <w:r>
        <w:t>Aims</w:t>
      </w:r>
      <w:bookmarkEnd w:id="1"/>
      <w:r>
        <w:t xml:space="preserve"> </w:t>
      </w:r>
    </w:p>
    <w:p w14:paraId="2D163DD3" w14:textId="33B57E9D" w:rsidR="002E22AB" w:rsidRPr="002E22AB" w:rsidRDefault="002E22AB" w:rsidP="002E22AB">
      <w:pPr>
        <w:rPr>
          <w:rFonts w:cs="Microsoft Sans Serif"/>
        </w:rPr>
      </w:pPr>
      <w:r w:rsidRPr="002E22AB">
        <w:rPr>
          <w:rFonts w:cs="Microsoft Sans Serif"/>
          <w:lang w:val="en-US"/>
        </w:rPr>
        <w:t xml:space="preserve">The essential aim of this work is to show how significant risk management is in the </w:t>
      </w:r>
      <w:r>
        <w:rPr>
          <w:rFonts w:cs="Microsoft Sans Serif"/>
          <w:lang w:val="en-US"/>
        </w:rPr>
        <w:t xml:space="preserve">manufacturing </w:t>
      </w:r>
      <w:r w:rsidRPr="002E22AB">
        <w:rPr>
          <w:rFonts w:cs="Microsoft Sans Serif"/>
          <w:lang w:val="en-US"/>
        </w:rPr>
        <w:t>industry, underscoring how pivotal it is for keeping up with tasks, ensuring items are of great, and following all guidelines.</w:t>
      </w:r>
    </w:p>
    <w:p w14:paraId="5724B942" w14:textId="62E87BA5" w:rsidR="004D55D2" w:rsidRDefault="004D55D2" w:rsidP="004D55D2">
      <w:pPr>
        <w:pStyle w:val="Heading2"/>
      </w:pPr>
      <w:bookmarkStart w:id="2" w:name="_Toc158556902"/>
      <w:r>
        <w:t>Objectives</w:t>
      </w:r>
      <w:bookmarkEnd w:id="2"/>
      <w:r>
        <w:t xml:space="preserve"> </w:t>
      </w:r>
    </w:p>
    <w:p w14:paraId="6F0FB43E" w14:textId="256C1B17" w:rsidR="002C21E1" w:rsidRDefault="002C21E1" w:rsidP="002C21E1">
      <w:pPr>
        <w:jc w:val="both"/>
        <w:rPr>
          <w:rFonts w:cs="Microsoft Sans Serif"/>
          <w:lang w:val="en-US"/>
        </w:rPr>
      </w:pPr>
      <w:r>
        <w:rPr>
          <w:rFonts w:cs="Microsoft Sans Serif"/>
          <w:lang w:val="en-US"/>
        </w:rPr>
        <w:t>One objective is to focus</w:t>
      </w:r>
      <w:r w:rsidRPr="002C21E1">
        <w:rPr>
          <w:rFonts w:cs="Microsoft Sans Serif"/>
          <w:lang w:val="en-US"/>
        </w:rPr>
        <w:t xml:space="preserve"> in on Failure Modes and Effects Analysis (FMEA), this study sees how risk management techniques can be utilized to find, assess, and reduce conceivable failure modes and the issues they cause.</w:t>
      </w:r>
    </w:p>
    <w:p w14:paraId="54F11FA1" w14:textId="1B970666" w:rsidR="002C21E1" w:rsidRPr="002C21E1" w:rsidRDefault="002C21E1" w:rsidP="002C21E1">
      <w:pPr>
        <w:jc w:val="both"/>
        <w:rPr>
          <w:rFonts w:cs="Microsoft Sans Serif"/>
          <w:lang w:val="en-US"/>
        </w:rPr>
      </w:pPr>
      <w:r>
        <w:rPr>
          <w:rFonts w:cs="Microsoft Sans Serif"/>
          <w:lang w:val="en-US"/>
        </w:rPr>
        <w:t xml:space="preserve">A secondary </w:t>
      </w:r>
      <w:r w:rsidRPr="002C21E1">
        <w:rPr>
          <w:rFonts w:cs="Microsoft Sans Serif"/>
          <w:lang w:val="en-US"/>
        </w:rPr>
        <w:t xml:space="preserve">objective is to see the way that engineers can assist with overseeing risks all through the entire life expectancy of an item, from planning and designing to making the item and watching </w:t>
      </w:r>
      <w:r>
        <w:rPr>
          <w:rFonts w:cs="Microsoft Sans Serif"/>
          <w:lang w:val="en-US"/>
        </w:rPr>
        <w:t xml:space="preserve">the item leave for the customer. </w:t>
      </w:r>
    </w:p>
    <w:p w14:paraId="2D721461" w14:textId="77777777" w:rsidR="002C21E1" w:rsidRPr="002C21E1" w:rsidRDefault="002C21E1" w:rsidP="002C21E1">
      <w:pPr>
        <w:jc w:val="both"/>
        <w:rPr>
          <w:rFonts w:cs="Microsoft Sans Serif"/>
          <w:lang w:val="en-US"/>
        </w:rPr>
      </w:pPr>
    </w:p>
    <w:p w14:paraId="73BE787D" w14:textId="77777777" w:rsidR="002E22AB" w:rsidRPr="002E22AB" w:rsidRDefault="002E22AB" w:rsidP="002E22AB"/>
    <w:p w14:paraId="24D7B344" w14:textId="5383F742" w:rsidR="005B423A" w:rsidRDefault="005B423A" w:rsidP="0033020F">
      <w:pPr>
        <w:pStyle w:val="Heading1"/>
      </w:pPr>
      <w:r>
        <w:br w:type="page"/>
      </w:r>
      <w:bookmarkStart w:id="3" w:name="_Toc158556903"/>
      <w:r>
        <w:lastRenderedPageBreak/>
        <w:t>Literature Review</w:t>
      </w:r>
      <w:bookmarkEnd w:id="3"/>
    </w:p>
    <w:p w14:paraId="544CF76F" w14:textId="1D812211" w:rsidR="002C21E1" w:rsidRDefault="002C21E1" w:rsidP="002C21E1">
      <w:pPr>
        <w:jc w:val="both"/>
        <w:rPr>
          <w:rFonts w:cs="Microsoft Sans Serif"/>
          <w:lang w:val="en-US"/>
        </w:rPr>
      </w:pPr>
      <w:r w:rsidRPr="002C21E1">
        <w:rPr>
          <w:rFonts w:cs="Microsoft Sans Serif"/>
          <w:lang w:val="en-US"/>
        </w:rPr>
        <w:t>The literature review centers around what we know and understand about risk management</w:t>
      </w:r>
      <w:r w:rsidR="00F254DC">
        <w:rPr>
          <w:rFonts w:cs="Microsoft Sans Serif"/>
          <w:lang w:val="en-US"/>
        </w:rPr>
        <w:t xml:space="preserve">. </w:t>
      </w:r>
      <w:r w:rsidRPr="002C21E1">
        <w:rPr>
          <w:rFonts w:cs="Microsoft Sans Serif"/>
          <w:lang w:val="en-US"/>
        </w:rPr>
        <w:t>It inquires as to why risk management is significant and how to utilize devices like Failure Modes and Effects Analysis (FMEA) to bring down risks.</w:t>
      </w:r>
      <w:r w:rsidR="006B5EE9">
        <w:rPr>
          <w:rFonts w:cs="Microsoft Sans Serif"/>
          <w:lang w:val="en-US"/>
        </w:rPr>
        <w:t xml:space="preserve"> A</w:t>
      </w:r>
      <w:r w:rsidR="006B5EE9" w:rsidRPr="002C21E1">
        <w:rPr>
          <w:rFonts w:cs="Microsoft Sans Serif"/>
          <w:lang w:val="en-US"/>
        </w:rPr>
        <w:t>dditional</w:t>
      </w:r>
      <w:r w:rsidR="006B5EE9">
        <w:rPr>
          <w:rFonts w:cs="Microsoft Sans Serif"/>
          <w:lang w:val="en-US"/>
        </w:rPr>
        <w:t xml:space="preserve">ly, </w:t>
      </w:r>
      <w:r w:rsidR="006B5EE9" w:rsidRPr="002C21E1">
        <w:rPr>
          <w:rFonts w:cs="Microsoft Sans Serif"/>
          <w:lang w:val="en-US"/>
        </w:rPr>
        <w:t>significant</w:t>
      </w:r>
      <w:r w:rsidRPr="002C21E1">
        <w:rPr>
          <w:rFonts w:cs="Microsoft Sans Serif"/>
          <w:lang w:val="en-US"/>
        </w:rPr>
        <w:t xml:space="preserve"> sources like the IMechE Code of </w:t>
      </w:r>
      <w:r w:rsidR="006B5EE9">
        <w:rPr>
          <w:rFonts w:cs="Microsoft Sans Serif"/>
          <w:lang w:val="en-US"/>
        </w:rPr>
        <w:t xml:space="preserve">Conduct </w:t>
      </w:r>
      <w:r w:rsidRPr="002C21E1">
        <w:rPr>
          <w:rFonts w:cs="Microsoft Sans Serif"/>
          <w:lang w:val="en-US"/>
        </w:rPr>
        <w:t xml:space="preserve">for proficient engineers and related </w:t>
      </w:r>
      <w:r w:rsidR="006B5EE9">
        <w:rPr>
          <w:rFonts w:cs="Microsoft Sans Serif"/>
          <w:lang w:val="en-US"/>
        </w:rPr>
        <w:t>h</w:t>
      </w:r>
      <w:r w:rsidRPr="002C21E1">
        <w:rPr>
          <w:rFonts w:cs="Microsoft Sans Serif"/>
          <w:lang w:val="en-US"/>
        </w:rPr>
        <w:t>ealth and safety (H&amp;S) laws</w:t>
      </w:r>
      <w:r w:rsidR="006B5EE9">
        <w:rPr>
          <w:rFonts w:cs="Microsoft Sans Serif"/>
          <w:lang w:val="en-US"/>
        </w:rPr>
        <w:t xml:space="preserve"> are examined. </w:t>
      </w:r>
    </w:p>
    <w:p w14:paraId="303178DB" w14:textId="77777777" w:rsidR="006B5EE9" w:rsidRDefault="006B5EE9" w:rsidP="002C21E1">
      <w:pPr>
        <w:jc w:val="both"/>
        <w:rPr>
          <w:rFonts w:cs="Microsoft Sans Serif"/>
          <w:lang w:val="en-US"/>
        </w:rPr>
      </w:pPr>
    </w:p>
    <w:p w14:paraId="54499979" w14:textId="29E2E9A9" w:rsidR="001A1D4C" w:rsidRDefault="006B5EE9" w:rsidP="002C21E1">
      <w:pPr>
        <w:jc w:val="both"/>
        <w:rPr>
          <w:rFonts w:cs="Microsoft Sans Serif"/>
          <w:lang w:val="en-US"/>
        </w:rPr>
      </w:pPr>
      <w:r w:rsidRPr="006B5EE9">
        <w:rPr>
          <w:rFonts w:cs="Microsoft Sans Serif"/>
          <w:lang w:val="en-US"/>
        </w:rPr>
        <w:t xml:space="preserve">Manufacturing needs great risk management for various reasons. In view of new advancements, </w:t>
      </w:r>
      <w:r>
        <w:rPr>
          <w:rFonts w:cs="Microsoft Sans Serif"/>
          <w:lang w:val="en-US"/>
        </w:rPr>
        <w:t xml:space="preserve">extremely high </w:t>
      </w:r>
      <w:r w:rsidRPr="006B5EE9">
        <w:rPr>
          <w:rFonts w:cs="Microsoft Sans Serif"/>
          <w:lang w:val="en-US"/>
        </w:rPr>
        <w:t xml:space="preserve">standards, and worldwide supply chains, </w:t>
      </w:r>
      <w:r w:rsidR="00797F41">
        <w:rPr>
          <w:rFonts w:cs="Microsoft Sans Serif"/>
          <w:lang w:val="en-US"/>
        </w:rPr>
        <w:t>(</w:t>
      </w:r>
      <w:r w:rsidRPr="006B5EE9">
        <w:rPr>
          <w:rFonts w:cs="Microsoft Sans Serif"/>
          <w:lang w:val="en-US"/>
        </w:rPr>
        <w:t>Domínguez et al. 2021) say that the universe of industry is continuously evolving. Engineers have an</w:t>
      </w:r>
      <w:r w:rsidR="007744CC">
        <w:rPr>
          <w:rFonts w:cs="Microsoft Sans Serif"/>
          <w:lang w:val="en-US"/>
        </w:rPr>
        <w:t xml:space="preserve"> </w:t>
      </w:r>
      <w:r w:rsidRPr="006B5EE9">
        <w:rPr>
          <w:rFonts w:cs="Microsoft Sans Serif"/>
          <w:lang w:val="en-US"/>
        </w:rPr>
        <w:t xml:space="preserve">obligation to </w:t>
      </w:r>
      <w:r w:rsidR="0034732D">
        <w:rPr>
          <w:rFonts w:cs="Microsoft Sans Serif"/>
          <w:lang w:val="en-US"/>
        </w:rPr>
        <w:t>follow the IMechE 4 principles of conduct</w:t>
      </w:r>
      <w:r w:rsidRPr="006B5EE9">
        <w:rPr>
          <w:rFonts w:cs="Microsoft Sans Serif"/>
          <w:lang w:val="en-US"/>
        </w:rPr>
        <w:t xml:space="preserve"> </w:t>
      </w:r>
      <w:sdt>
        <w:sdtPr>
          <w:rPr>
            <w:rFonts w:cs="Microsoft Sans Serif"/>
            <w:lang w:val="en-US"/>
          </w:rPr>
          <w:id w:val="-608661183"/>
          <w:citation/>
        </w:sdtPr>
        <w:sdtContent>
          <w:r w:rsidR="0034732D">
            <w:rPr>
              <w:rFonts w:cs="Microsoft Sans Serif"/>
              <w:lang w:val="en-US"/>
            </w:rPr>
            <w:fldChar w:fldCharType="begin"/>
          </w:r>
          <w:r w:rsidR="0034732D">
            <w:rPr>
              <w:rFonts w:cs="Microsoft Sans Serif"/>
            </w:rPr>
            <w:instrText xml:space="preserve"> CITATION IMe24 \l 2057 </w:instrText>
          </w:r>
          <w:r w:rsidR="0034732D">
            <w:rPr>
              <w:rFonts w:cs="Microsoft Sans Serif"/>
              <w:lang w:val="en-US"/>
            </w:rPr>
            <w:fldChar w:fldCharType="separate"/>
          </w:r>
          <w:r w:rsidR="0034732D" w:rsidRPr="0034732D">
            <w:rPr>
              <w:rFonts w:cs="Microsoft Sans Serif"/>
              <w:noProof/>
            </w:rPr>
            <w:t>(IMechE.org, 2024)</w:t>
          </w:r>
          <w:r w:rsidR="0034732D">
            <w:rPr>
              <w:rFonts w:cs="Microsoft Sans Serif"/>
              <w:lang w:val="en-US"/>
            </w:rPr>
            <w:fldChar w:fldCharType="end"/>
          </w:r>
        </w:sdtContent>
      </w:sdt>
      <w:r w:rsidR="0034732D">
        <w:rPr>
          <w:rFonts w:cs="Microsoft Sans Serif"/>
          <w:lang w:val="en-US"/>
        </w:rPr>
        <w:t>, thus ensuring safety and quality are met to high standards.</w:t>
      </w:r>
      <w:r w:rsidR="001A1D4C">
        <w:rPr>
          <w:rFonts w:cs="Microsoft Sans Serif"/>
          <w:lang w:val="en-US"/>
        </w:rPr>
        <w:t xml:space="preserve"> It is extremely important that health and safety guidelines, that are stated within the Health and Safety at Work Act 1974 are followed with strict adherence. As failure to safeguard all bodies within the working environment, could result in fines and potential lawsuits.</w:t>
      </w:r>
      <w:r w:rsidR="0034732D">
        <w:rPr>
          <w:rFonts w:cs="Microsoft Sans Serif"/>
          <w:lang w:val="en-US"/>
        </w:rPr>
        <w:t xml:space="preserve"> </w:t>
      </w:r>
      <w:sdt>
        <w:sdtPr>
          <w:rPr>
            <w:rFonts w:cs="Microsoft Sans Serif"/>
            <w:lang w:val="en-US"/>
          </w:rPr>
          <w:id w:val="624363889"/>
          <w:citation/>
        </w:sdtPr>
        <w:sdtContent>
          <w:r w:rsidR="0034732D">
            <w:rPr>
              <w:rFonts w:cs="Microsoft Sans Serif"/>
              <w:lang w:val="en-US"/>
            </w:rPr>
            <w:fldChar w:fldCharType="begin"/>
          </w:r>
          <w:r w:rsidR="00D94286">
            <w:rPr>
              <w:rFonts w:cs="Microsoft Sans Serif"/>
            </w:rPr>
            <w:instrText xml:space="preserve">CITATION HSE23 \l 2057 </w:instrText>
          </w:r>
          <w:r w:rsidR="0034732D">
            <w:rPr>
              <w:rFonts w:cs="Microsoft Sans Serif"/>
              <w:lang w:val="en-US"/>
            </w:rPr>
            <w:fldChar w:fldCharType="separate"/>
          </w:r>
          <w:r w:rsidR="00D94286" w:rsidRPr="00D94286">
            <w:rPr>
              <w:rFonts w:cs="Microsoft Sans Serif"/>
              <w:noProof/>
            </w:rPr>
            <w:t>(HSE, 2013)</w:t>
          </w:r>
          <w:r w:rsidR="0034732D">
            <w:rPr>
              <w:rFonts w:cs="Microsoft Sans Serif"/>
              <w:lang w:val="en-US"/>
            </w:rPr>
            <w:fldChar w:fldCharType="end"/>
          </w:r>
        </w:sdtContent>
      </w:sdt>
    </w:p>
    <w:p w14:paraId="04729788" w14:textId="77777777" w:rsidR="001A1D4C" w:rsidRDefault="001A1D4C" w:rsidP="002C21E1">
      <w:pPr>
        <w:jc w:val="both"/>
        <w:rPr>
          <w:rFonts w:cs="Microsoft Sans Serif"/>
          <w:lang w:val="en-US"/>
        </w:rPr>
      </w:pPr>
    </w:p>
    <w:p w14:paraId="089AA296" w14:textId="385ABEFB" w:rsidR="006A192C" w:rsidRDefault="001A1D4C" w:rsidP="002C21E1">
      <w:pPr>
        <w:jc w:val="both"/>
        <w:rPr>
          <w:rFonts w:cs="Microsoft Sans Serif"/>
          <w:lang w:val="en-US"/>
        </w:rPr>
      </w:pPr>
      <w:r w:rsidRPr="001A1D4C">
        <w:rPr>
          <w:rFonts w:cs="Microsoft Sans Serif"/>
          <w:lang w:val="en-US"/>
        </w:rPr>
        <w:t>A solid method for bringing down risks all through the entire manufacturing process is to utilize Failure Modes and Effects Analysis (FMEA).</w:t>
      </w:r>
      <w:r>
        <w:rPr>
          <w:rFonts w:cs="Microsoft Sans Serif"/>
          <w:lang w:val="en-US"/>
        </w:rPr>
        <w:t xml:space="preserve">  This technique allows engineers to track down all conceivable failure modes of a product, </w:t>
      </w:r>
      <w:r w:rsidR="009707C0">
        <w:rPr>
          <w:rFonts w:cs="Microsoft Sans Serif"/>
          <w:lang w:val="en-US"/>
        </w:rPr>
        <w:t xml:space="preserve">consider the severity of the failure mode, assess how frequently the failure modes occur and evaluate the current detection systems they have in </w:t>
      </w:r>
      <w:r w:rsidR="009707C0" w:rsidRPr="00A02A6F">
        <w:rPr>
          <w:rFonts w:cs="Microsoft Sans Serif"/>
          <w:lang w:val="en-US"/>
        </w:rPr>
        <w:t xml:space="preserve">place. </w:t>
      </w:r>
      <w:r w:rsidR="00A02A6F" w:rsidRPr="00A02A6F">
        <w:rPr>
          <w:rFonts w:cs="Microsoft Sans Serif"/>
          <w:lang w:val="en-US"/>
        </w:rPr>
        <w:t>Once identified, setting up safeguard</w:t>
      </w:r>
      <w:r w:rsidR="00A02A6F">
        <w:rPr>
          <w:rFonts w:cs="Microsoft Sans Serif"/>
          <w:lang w:val="en-US"/>
        </w:rPr>
        <w:t xml:space="preserve">ing </w:t>
      </w:r>
      <w:r w:rsidR="00A02A6F" w:rsidRPr="00A02A6F">
        <w:rPr>
          <w:rFonts w:cs="Microsoft Sans Serif"/>
          <w:lang w:val="en-US"/>
        </w:rPr>
        <w:t xml:space="preserve">measures </w:t>
      </w:r>
      <w:r w:rsidR="00A02A6F">
        <w:rPr>
          <w:rFonts w:cs="Microsoft Sans Serif"/>
          <w:lang w:val="en-US"/>
        </w:rPr>
        <w:t xml:space="preserve">is </w:t>
      </w:r>
      <w:r w:rsidR="00A02A6F" w:rsidRPr="00A02A6F">
        <w:rPr>
          <w:rFonts w:cs="Microsoft Sans Serif"/>
          <w:lang w:val="en-US"/>
        </w:rPr>
        <w:t>everything that engineers can do with FMEA to bring down risks before they occur (</w:t>
      </w:r>
      <w:proofErr w:type="spellStart"/>
      <w:r w:rsidR="00A02A6F" w:rsidRPr="00A02A6F">
        <w:rPr>
          <w:rFonts w:cs="Microsoft Sans Serif"/>
          <w:lang w:val="en-US"/>
        </w:rPr>
        <w:t>Schmittner</w:t>
      </w:r>
      <w:proofErr w:type="spellEnd"/>
      <w:r w:rsidR="00A02A6F" w:rsidRPr="00A02A6F">
        <w:rPr>
          <w:rFonts w:cs="Microsoft Sans Serif"/>
          <w:lang w:val="en-US"/>
        </w:rPr>
        <w:t xml:space="preserve"> et al., 2014).</w:t>
      </w:r>
      <w:r w:rsidR="00A02A6F">
        <w:rPr>
          <w:rFonts w:cs="Microsoft Sans Serif"/>
          <w:lang w:val="en-US"/>
        </w:rPr>
        <w:t xml:space="preserve"> </w:t>
      </w:r>
      <w:r w:rsidR="006A192C">
        <w:rPr>
          <w:rFonts w:cs="Microsoft Sans Serif"/>
          <w:lang w:val="en-US"/>
        </w:rPr>
        <w:t xml:space="preserve">Manufacturing companies who use FMEAs </w:t>
      </w:r>
      <w:r w:rsidR="00C86CD5">
        <w:rPr>
          <w:rFonts w:cs="Microsoft Sans Serif"/>
          <w:lang w:val="en-US"/>
        </w:rPr>
        <w:t>can</w:t>
      </w:r>
      <w:r w:rsidR="006A192C">
        <w:rPr>
          <w:rFonts w:cs="Microsoft Sans Serif"/>
          <w:lang w:val="en-US"/>
        </w:rPr>
        <w:t xml:space="preserve"> focus their efforts into the most severe </w:t>
      </w:r>
      <w:r w:rsidR="00C86CD5">
        <w:rPr>
          <w:rFonts w:cs="Microsoft Sans Serif"/>
          <w:lang w:val="en-US"/>
        </w:rPr>
        <w:t xml:space="preserve">failure modes to increase their chances of product success, whilst minimizing all other potential failure modes in the process. </w:t>
      </w:r>
    </w:p>
    <w:p w14:paraId="786FF59F" w14:textId="5CA1C7F3" w:rsidR="000C5603" w:rsidRDefault="006A192C" w:rsidP="000C5603">
      <w:pPr>
        <w:rPr>
          <w:color w:val="000000"/>
        </w:rPr>
      </w:pPr>
      <w:r w:rsidRPr="000C5603">
        <w:rPr>
          <w:lang w:val="en-US"/>
        </w:rPr>
        <w:t>Completing an FMEA is significant for better product quality, safety, and consumer loyalty as it can be integrated into quality management frameworks like ISO 9001:2015.</w:t>
      </w:r>
      <w:r w:rsidR="000730E6" w:rsidRPr="000C5603">
        <w:rPr>
          <w:lang w:val="en-US"/>
        </w:rPr>
        <w:t xml:space="preserve"> </w:t>
      </w:r>
      <w:r w:rsidR="00797F41">
        <w:rPr>
          <w:lang w:val="en-US"/>
        </w:rPr>
        <w:t>(</w:t>
      </w:r>
      <w:r w:rsidR="000C5603" w:rsidRPr="000C5603">
        <w:rPr>
          <w:color w:val="000000"/>
        </w:rPr>
        <w:t>Patrick, B. 2022</w:t>
      </w:r>
      <w:r w:rsidR="00797F41">
        <w:rPr>
          <w:color w:val="000000"/>
        </w:rPr>
        <w:t xml:space="preserve"> </w:t>
      </w:r>
      <w:r w:rsidR="000C5603" w:rsidRPr="000C5603">
        <w:rPr>
          <w:i/>
          <w:iCs/>
          <w:color w:val="000000"/>
        </w:rPr>
        <w:t>Using FMEA to manage risk</w:t>
      </w:r>
      <w:r w:rsidR="000C5603" w:rsidRPr="000C5603">
        <w:rPr>
          <w:color w:val="000000"/>
        </w:rPr>
        <w:t>,</w:t>
      </w:r>
      <w:r w:rsidR="000C5603" w:rsidRPr="000C5603">
        <w:rPr>
          <w:rStyle w:val="apple-converted-space"/>
          <w:rFonts w:cs="Microsoft Sans Serif"/>
          <w:color w:val="000000"/>
        </w:rPr>
        <w:t> </w:t>
      </w:r>
      <w:r w:rsidR="000C5603" w:rsidRPr="000C5603">
        <w:rPr>
          <w:i/>
          <w:iCs/>
          <w:color w:val="000000"/>
        </w:rPr>
        <w:t>9000 Store</w:t>
      </w:r>
      <w:r w:rsidR="000C5603" w:rsidRPr="000C5603">
        <w:rPr>
          <w:color w:val="000000"/>
        </w:rPr>
        <w:t>. Available at: https://the9000store.com/articles/using-fmea-to-manage-risk/ Accessed: 08 February 2024).</w:t>
      </w:r>
      <w:r w:rsidR="000C5603" w:rsidRPr="000C5603">
        <w:rPr>
          <w:rStyle w:val="apple-converted-space"/>
          <w:rFonts w:cs="Microsoft Sans Serif"/>
          <w:color w:val="000000"/>
        </w:rPr>
        <w:t> </w:t>
      </w:r>
    </w:p>
    <w:p w14:paraId="1E5E176B" w14:textId="5B30C12E" w:rsidR="001A1D4C" w:rsidRPr="000C5603" w:rsidRDefault="00C86CD5" w:rsidP="000C5603">
      <w:pPr>
        <w:rPr>
          <w:color w:val="000000"/>
        </w:rPr>
      </w:pPr>
      <w:r>
        <w:rPr>
          <w:rFonts w:cs="Microsoft Sans Serif"/>
          <w:lang w:val="en-US"/>
        </w:rPr>
        <w:t xml:space="preserve">Although it is feasible for </w:t>
      </w:r>
      <w:r w:rsidRPr="00C86CD5">
        <w:rPr>
          <w:rFonts w:cs="Microsoft Sans Serif"/>
          <w:lang w:val="en-US"/>
        </w:rPr>
        <w:t>errors and cutoff points to occur with FMEA on the grounds that it depends on old information and human choices (Liu et al., 2013)</w:t>
      </w:r>
      <w:r>
        <w:rPr>
          <w:rFonts w:cs="Microsoft Sans Serif"/>
          <w:lang w:val="en-US"/>
        </w:rPr>
        <w:t xml:space="preserve">, thus suggesting all FMEAs should be continually checked and updated to ensure the best results. </w:t>
      </w:r>
    </w:p>
    <w:p w14:paraId="5941FC96" w14:textId="44717324" w:rsidR="005B423A" w:rsidRDefault="005B423A" w:rsidP="003D2E48">
      <w:r>
        <w:lastRenderedPageBreak/>
        <w:br w:type="page"/>
      </w:r>
    </w:p>
    <w:p w14:paraId="0AF50C60" w14:textId="7B2A8013" w:rsidR="005B423A" w:rsidRDefault="00D16127" w:rsidP="0033020F">
      <w:pPr>
        <w:pStyle w:val="Heading1"/>
      </w:pPr>
      <w:bookmarkStart w:id="4" w:name="_Toc158556904"/>
      <w:r>
        <w:lastRenderedPageBreak/>
        <w:t>FMEA</w:t>
      </w:r>
      <w:bookmarkEnd w:id="4"/>
      <w:r>
        <w:t xml:space="preserve"> </w:t>
      </w:r>
    </w:p>
    <w:p w14:paraId="7221587D" w14:textId="3E8B01C2" w:rsidR="003D2E48" w:rsidRDefault="009609D3" w:rsidP="003D2E48">
      <w:r>
        <w:rPr>
          <w:noProof/>
        </w:rPr>
        <w:drawing>
          <wp:inline distT="0" distB="0" distL="0" distR="0" wp14:anchorId="75CF3D8D" wp14:editId="5E889877">
            <wp:extent cx="5731510" cy="3582035"/>
            <wp:effectExtent l="0" t="0" r="0" b="0"/>
            <wp:docPr id="185045434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454347" name="Picture 2"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0BD8B3B4" w14:textId="74263E4F" w:rsidR="003D2E48" w:rsidRPr="003D2E48" w:rsidRDefault="003D2E48" w:rsidP="003D2E48"/>
    <w:p w14:paraId="69624CCE" w14:textId="77777777" w:rsidR="000116B4" w:rsidRDefault="000116B4" w:rsidP="000116B4">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FMEA Results</w:t>
      </w:r>
    </w:p>
    <w:p w14:paraId="04929048" w14:textId="77777777" w:rsidR="000116B4" w:rsidRDefault="000116B4" w:rsidP="000116B4">
      <w:pPr>
        <w:pStyle w:val="Caption"/>
      </w:pPr>
    </w:p>
    <w:p w14:paraId="49E9427B" w14:textId="77777777" w:rsidR="00A00A1C" w:rsidRDefault="000116B4" w:rsidP="000116B4">
      <w:pPr>
        <w:jc w:val="both"/>
      </w:pPr>
      <w:r>
        <w:t>As shown in figure 1 these are the results from the FMEA conducted. The FMEA was conducted on the process of manufacturing a shear plate</w:t>
      </w:r>
      <w:r w:rsidR="009670BF">
        <w:t xml:space="preserve"> on a CNC milling machine</w:t>
      </w:r>
      <w:r>
        <w:t xml:space="preserve">. A shear plate is a pivotal component to </w:t>
      </w:r>
      <w:r w:rsidR="007467A5">
        <w:t>a foil tool</w:t>
      </w:r>
      <w:r>
        <w:t xml:space="preserve">, the main </w:t>
      </w:r>
      <w:r w:rsidR="007467A5">
        <w:t xml:space="preserve">function of a shear plate is basically a cut edge. The shear plate is manufactured to ensure the foil is cut with extreme precision leaving no witness marks, no feathering, or any little indentations to the foil, which is critical, also it has a slight slope to the front of the shear plate, this is because it has a function of clearing any waste foil. It allows the waste foil to flow over the shear plate and away from the bottom half of the tool which creates the foil trays. </w:t>
      </w:r>
    </w:p>
    <w:p w14:paraId="7554BF27" w14:textId="77777777" w:rsidR="00A00A1C" w:rsidRDefault="00A00A1C" w:rsidP="000116B4">
      <w:pPr>
        <w:jc w:val="both"/>
      </w:pPr>
    </w:p>
    <w:p w14:paraId="6A40E01B" w14:textId="40D12039" w:rsidR="00EB4ED6" w:rsidRDefault="00A00A1C" w:rsidP="000116B4">
      <w:pPr>
        <w:jc w:val="both"/>
      </w:pPr>
      <w:r>
        <w:t>As the FMEA was being conducted, there were 4 potential failure modes which took a high priority to investigate,</w:t>
      </w:r>
      <w:r w:rsidR="00F23EBC">
        <w:t xml:space="preserve"> </w:t>
      </w:r>
      <w:r w:rsidR="006C72FF">
        <w:t>The 4 potential failure modes</w:t>
      </w:r>
      <w:r>
        <w:t xml:space="preserve"> were found to be the most </w:t>
      </w:r>
      <w:r w:rsidR="006C72FF">
        <w:t>problematic</w:t>
      </w:r>
      <w:r>
        <w:t xml:space="preserve"> to the </w:t>
      </w:r>
      <w:r w:rsidR="006C72FF">
        <w:t xml:space="preserve">machining process and diving deeper into the causes and ultimately trying to find a suitable solution was a must.  Excessive wear on cutting tools, seems to be an obvious failure mode however, from the investigation it was significant to the shear plates failing on quality checks. The </w:t>
      </w:r>
      <w:r w:rsidR="00EB4ED6">
        <w:t>first effect of</w:t>
      </w:r>
      <w:r w:rsidR="006C72FF">
        <w:t xml:space="preserve"> failure was dimensional inaccuracy, some dimensions on the shear plate are not critical and if these were out </w:t>
      </w:r>
      <w:r w:rsidR="006C72FF">
        <w:lastRenderedPageBreak/>
        <w:t xml:space="preserve">of specification it wouldn’t cause </w:t>
      </w:r>
      <w:r w:rsidR="00EB4ED6">
        <w:t>many</w:t>
      </w:r>
      <w:r w:rsidR="006C72FF">
        <w:t xml:space="preserve"> functionality issues. On the other hand, there are a few critical dimensions which must be adhered to otherwise the shear plate is useless. </w:t>
      </w:r>
      <w:r w:rsidR="00EB4ED6">
        <w:t xml:space="preserve">The second effect of failure was poor surface finish, the surface finish does not matter, since the shear plate will be in-between to moving parts, it will be smashed into, causing the surface finish to diminish. However, it still must be to a standard where the foil can glide on, to allow the clearing of it. </w:t>
      </w:r>
    </w:p>
    <w:p w14:paraId="1160EC4F" w14:textId="77777777" w:rsidR="00774723" w:rsidRDefault="00EB4ED6" w:rsidP="000116B4">
      <w:pPr>
        <w:jc w:val="both"/>
      </w:pPr>
      <w:r>
        <w:t>The severity given for dimensional inaccuracy was an 8, given the critical dimensions are so crucial to the shear plate and the overall tool it belongs too, if the dimensions are out of specification, it is highly likely that there will need to be rework or a scrapped component, costing time and money. The occurrence of this failure was scored a 5, surprisingly it occurred a lot more than expected which caused a lot of discomfort to the quality team.</w:t>
      </w:r>
      <w:r w:rsidR="009977BB">
        <w:t xml:space="preserve"> Simply down to the wrong speeds and feeds. The detection for this was scored an 8, this is purely manual </w:t>
      </w:r>
      <w:r w:rsidR="00446F0E">
        <w:t>detection</w:t>
      </w:r>
      <w:r w:rsidR="009977BB">
        <w:t xml:space="preserve">, if the operator doesn’t check the speeds and feeds then the issue may not be caught, and the failure can occur. </w:t>
      </w:r>
      <w:r w:rsidR="00446F0E">
        <w:t xml:space="preserve">The surface finish severity score was given a 3, meaning that it is not going to stop the functionality of the part from performing at peak. However, the occurrence score was a 9 it almost seemed every time, the failure was occurring and a potential cause for this was a lack of coolant. </w:t>
      </w:r>
      <w:r w:rsidR="001D4D2C">
        <w:t>Detection</w:t>
      </w:r>
      <w:r w:rsidR="00446F0E">
        <w:t xml:space="preserve"> was scored a 7, again this is purely manual, if the operator doesn’t check the coolant level or if coolant is running. The </w:t>
      </w:r>
      <w:r w:rsidR="001D4D2C">
        <w:t>potential</w:t>
      </w:r>
      <w:r w:rsidR="00446F0E">
        <w:t xml:space="preserve"> for the failure </w:t>
      </w:r>
      <w:r w:rsidR="001D4D2C">
        <w:t xml:space="preserve">to occur is almost a given. </w:t>
      </w:r>
      <w:r w:rsidR="00774723">
        <w:t xml:space="preserve">To combat these failure and potential causes, actions were recommended to help minimize the risk of failure such as regular coolant inspection and regular tool/machining condition inspections. These were proposed as a way of the operator always looking for the key areas of failure, always checking coolant level to minimize the lack of coolant and regular inspections of the tooling and the conditions needed for that tool to perform. </w:t>
      </w:r>
    </w:p>
    <w:p w14:paraId="5F61976C" w14:textId="77777777" w:rsidR="00774723" w:rsidRDefault="00774723" w:rsidP="000116B4">
      <w:pPr>
        <w:jc w:val="both"/>
      </w:pPr>
    </w:p>
    <w:p w14:paraId="212C5097" w14:textId="77777777" w:rsidR="00F23EBC" w:rsidRDefault="00774723" w:rsidP="00255438">
      <w:pPr>
        <w:jc w:val="both"/>
      </w:pPr>
      <w:r>
        <w:t xml:space="preserve">Incorrect programming can be fatal to the process as it could cause a plethora of failures which scrap the part. </w:t>
      </w:r>
      <w:r w:rsidR="00E932A2">
        <w:t xml:space="preserve">Such as incorrect tool paths, </w:t>
      </w:r>
      <w:r w:rsidR="00BB6DD7">
        <w:t>having the wrong sequence of machining and incorrect dimensions.</w:t>
      </w:r>
      <w:r w:rsidR="00EA100D">
        <w:t xml:space="preserve"> Each failure mode would have a common cause which is programmer error. The severity of incorrect tool paths is a 7 this is down to potentially a rapid movement crashing into the job or a tool path is drilling instead of tapping. These failures are critical and would cause the component to be scrapped or altered, causing huge time and money setbacks. The occurrence score for each of these failures is a 4, meaning each failure mode happens but since this programme is </w:t>
      </w:r>
      <w:r w:rsidR="00EA100D">
        <w:lastRenderedPageBreak/>
        <w:t xml:space="preserve">commonly used, the mistakes are very few and far between. Similarly, each failure mode for incorrect programming has a detection score of 7. The operator is responsible </w:t>
      </w:r>
      <w:r w:rsidR="009609D3">
        <w:t>for</w:t>
      </w:r>
      <w:r w:rsidR="00EA100D">
        <w:t xml:space="preserve"> check</w:t>
      </w:r>
      <w:r w:rsidR="009609D3">
        <w:t>ing</w:t>
      </w:r>
      <w:r w:rsidR="00EA100D">
        <w:t xml:space="preserve"> the programme, meaning a manual check </w:t>
      </w:r>
      <w:r w:rsidR="009609D3">
        <w:t xml:space="preserve">is done, which can lead to missed details, again leading to failures. The wrong machining sequence has a severity score of </w:t>
      </w:r>
      <w:r w:rsidR="0070702B">
        <w:t>6</w:t>
      </w:r>
      <w:r w:rsidR="009609D3">
        <w:t xml:space="preserve">, </w:t>
      </w:r>
      <w:r w:rsidR="0070702B">
        <w:t>this is due to the</w:t>
      </w:r>
      <w:r w:rsidR="009609D3">
        <w:t xml:space="preserve"> machining sequence </w:t>
      </w:r>
      <w:r w:rsidR="0070702B">
        <w:t xml:space="preserve">needing to have certain features machined before finalising the component, otherwise the manufacturing process wouldn’t be able to take place. Such as the aperture in the middle of the component must be one of the first things to be machined before any holes, dowels, and other features are put in. If the sequence is not </w:t>
      </w:r>
      <w:r w:rsidR="00837B4E">
        <w:t>correct,</w:t>
      </w:r>
      <w:r w:rsidR="0070702B">
        <w:t xml:space="preserve"> then it </w:t>
      </w:r>
      <w:r w:rsidR="00837B4E">
        <w:t xml:space="preserve">can cause further down the line. Incorrect dimensions </w:t>
      </w:r>
      <w:proofErr w:type="gramStart"/>
      <w:r w:rsidR="00837B4E">
        <w:t>is</w:t>
      </w:r>
      <w:proofErr w:type="gramEnd"/>
      <w:r w:rsidR="00837B4E">
        <w:t xml:space="preserve"> scored an 8 on severity, this is down to all dimensions needing to be right on the programme so it can be machined to the specification given by the customer, if the dimensions are incorrect the component won’t act as intended and become scrap. Each failure mode had the same recommended action, which is to implement a verification process of the programme and get each programme peer reviewed by another qualified programmer. This action is intended to massively reduce errors in programmes allowing the operators to fully concentrate on machining the component. </w:t>
      </w:r>
    </w:p>
    <w:p w14:paraId="1C836095" w14:textId="394664E9" w:rsidR="005B423A" w:rsidRDefault="00F23EBC" w:rsidP="00255438">
      <w:pPr>
        <w:jc w:val="both"/>
      </w:pPr>
      <w:r>
        <w:t xml:space="preserve">These failure modes were chosen as they were the most common failures that occurred but also the most detrimental to the functionality of the component, if any of these failure modes were to occur. </w:t>
      </w:r>
      <w:r w:rsidR="005B423A">
        <w:br w:type="page"/>
      </w:r>
    </w:p>
    <w:p w14:paraId="1A5E6326" w14:textId="0460AB64" w:rsidR="005B423A" w:rsidRDefault="005B423A" w:rsidP="0033020F">
      <w:pPr>
        <w:pStyle w:val="Heading1"/>
      </w:pPr>
      <w:bookmarkStart w:id="5" w:name="_Toc158556905"/>
      <w:r>
        <w:lastRenderedPageBreak/>
        <w:t>Conclusions</w:t>
      </w:r>
      <w:bookmarkEnd w:id="5"/>
    </w:p>
    <w:p w14:paraId="1B7BBEDC" w14:textId="2D95CA4B" w:rsidR="001A72B2" w:rsidRDefault="001A72B2" w:rsidP="001A72B2">
      <w:pPr>
        <w:rPr>
          <w:rFonts w:cs="Microsoft Sans Serif"/>
          <w:lang w:val="en-US"/>
        </w:rPr>
      </w:pPr>
      <w:r>
        <w:t xml:space="preserve">In conclusion, this </w:t>
      </w:r>
      <w:r w:rsidRPr="00C66FE8">
        <w:rPr>
          <w:rFonts w:cs="Microsoft Sans Serif"/>
        </w:rPr>
        <w:t xml:space="preserve">study </w:t>
      </w:r>
      <w:r w:rsidR="00C66FE8" w:rsidRPr="00C66FE8">
        <w:rPr>
          <w:rFonts w:cs="Microsoft Sans Serif"/>
          <w:lang w:val="en-US"/>
        </w:rPr>
        <w:t xml:space="preserve">has illuminated the crucial role that risk management plays in the manufacturing industry, with a focus on how well Failure Modes &amp; Effects Analysis (FMEA) works as a tool for mitigating risks. Throughout different steps of the manufacturing cycle, the FMEA method was extremely helpful in locating, evaluating, and mitigating possible failure modes. As a result of carefully looking at failure modes and </w:t>
      </w:r>
      <w:r w:rsidR="00C66FE8">
        <w:rPr>
          <w:rFonts w:cs="Microsoft Sans Serif"/>
          <w:lang w:val="en-US"/>
        </w:rPr>
        <w:t xml:space="preserve">how they were </w:t>
      </w:r>
      <w:r w:rsidR="00C66FE8" w:rsidRPr="00C66FE8">
        <w:rPr>
          <w:rFonts w:cs="Microsoft Sans Serif"/>
          <w:lang w:val="en-US"/>
        </w:rPr>
        <w:t>rank</w:t>
      </w:r>
      <w:r w:rsidR="00C66FE8">
        <w:rPr>
          <w:rFonts w:cs="Microsoft Sans Serif"/>
          <w:lang w:val="en-US"/>
        </w:rPr>
        <w:t>ed</w:t>
      </w:r>
      <w:r w:rsidR="00C66FE8" w:rsidRPr="00C66FE8">
        <w:rPr>
          <w:rFonts w:cs="Microsoft Sans Serif"/>
          <w:lang w:val="en-US"/>
        </w:rPr>
        <w:t>,</w:t>
      </w:r>
      <w:r w:rsidR="00C66FE8">
        <w:rPr>
          <w:rFonts w:cs="Microsoft Sans Serif"/>
          <w:lang w:val="en-US"/>
        </w:rPr>
        <w:t xml:space="preserve"> </w:t>
      </w:r>
      <w:r w:rsidR="00C66FE8" w:rsidRPr="00C66FE8">
        <w:rPr>
          <w:rFonts w:cs="Microsoft Sans Serif"/>
          <w:lang w:val="en-US"/>
        </w:rPr>
        <w:t>engineers were able to proactively deal with risks</w:t>
      </w:r>
      <w:r w:rsidR="00C66FE8">
        <w:rPr>
          <w:rFonts w:cs="Microsoft Sans Serif"/>
          <w:lang w:val="en-US"/>
        </w:rPr>
        <w:t xml:space="preserve"> and improve </w:t>
      </w:r>
      <w:r w:rsidR="002558FE">
        <w:rPr>
          <w:rFonts w:cs="Microsoft Sans Serif"/>
          <w:lang w:val="en-US"/>
        </w:rPr>
        <w:t xml:space="preserve">quality. </w:t>
      </w:r>
    </w:p>
    <w:p w14:paraId="3D8673B2" w14:textId="21D9E486" w:rsidR="000107AA" w:rsidRPr="007F0975" w:rsidRDefault="00CB218D" w:rsidP="000107AA">
      <w:pPr>
        <w:jc w:val="both"/>
        <w:rPr>
          <w:rFonts w:ascii="Times New Roman" w:hAnsi="Times New Roman" w:cs="Times New Roman"/>
          <w:lang w:val="en-US"/>
        </w:rPr>
      </w:pPr>
      <w:r w:rsidRPr="00E816A5">
        <w:rPr>
          <w:rFonts w:cs="Microsoft Sans Serif"/>
        </w:rPr>
        <w:t xml:space="preserve">However, the FMEA technique is not perfect </w:t>
      </w:r>
      <w:r w:rsidR="004278BA" w:rsidRPr="00E816A5">
        <w:rPr>
          <w:rFonts w:cs="Microsoft Sans Serif"/>
        </w:rPr>
        <w:t xml:space="preserve">as a risk </w:t>
      </w:r>
      <w:r w:rsidR="00E816A5" w:rsidRPr="00E816A5">
        <w:rPr>
          <w:rFonts w:cs="Microsoft Sans Serif"/>
        </w:rPr>
        <w:t>management</w:t>
      </w:r>
      <w:r w:rsidR="004278BA" w:rsidRPr="00E816A5">
        <w:rPr>
          <w:rFonts w:cs="Microsoft Sans Serif"/>
        </w:rPr>
        <w:t xml:space="preserve"> tool. </w:t>
      </w:r>
      <w:r w:rsidR="00E816A5" w:rsidRPr="00E816A5">
        <w:rPr>
          <w:rFonts w:cs="Microsoft Sans Serif"/>
        </w:rPr>
        <w:t xml:space="preserve">It does </w:t>
      </w:r>
      <w:r w:rsidR="00E816A5" w:rsidRPr="00E816A5">
        <w:rPr>
          <w:rFonts w:cs="Microsoft Sans Serif"/>
          <w:lang w:val="en-US"/>
        </w:rPr>
        <w:t>provide an organized way to evaluate risk</w:t>
      </w:r>
      <w:r w:rsidR="008A3764">
        <w:rPr>
          <w:rFonts w:cs="Microsoft Sans Serif"/>
          <w:lang w:val="en-US"/>
        </w:rPr>
        <w:t>. H</w:t>
      </w:r>
      <w:r w:rsidR="00E816A5" w:rsidRPr="00E816A5">
        <w:rPr>
          <w:rFonts w:cs="Microsoft Sans Serif"/>
          <w:lang w:val="en-US"/>
        </w:rPr>
        <w:t xml:space="preserve">ow well it works </w:t>
      </w:r>
      <w:r w:rsidR="008A3764" w:rsidRPr="00E816A5">
        <w:rPr>
          <w:rFonts w:cs="Microsoft Sans Serif"/>
          <w:lang w:val="en-US"/>
        </w:rPr>
        <w:t>relies</w:t>
      </w:r>
      <w:r w:rsidR="008A3764">
        <w:rPr>
          <w:rFonts w:cs="Microsoft Sans Serif"/>
          <w:lang w:val="en-US"/>
        </w:rPr>
        <w:t xml:space="preserve"> </w:t>
      </w:r>
      <w:r w:rsidR="008A3764" w:rsidRPr="00E816A5">
        <w:rPr>
          <w:rFonts w:cs="Microsoft Sans Serif"/>
          <w:lang w:val="en-US"/>
        </w:rPr>
        <w:t>on</w:t>
      </w:r>
      <w:r w:rsidR="00E816A5" w:rsidRPr="00E816A5">
        <w:rPr>
          <w:rFonts w:cs="Microsoft Sans Serif"/>
          <w:lang w:val="en-US"/>
        </w:rPr>
        <w:t xml:space="preserve"> how thoroughly it is analyzed, how accurately the data is entered, and how knowledgeable the people who are </w:t>
      </w:r>
      <w:r w:rsidR="00E816A5" w:rsidRPr="000107AA">
        <w:rPr>
          <w:rFonts w:cs="Microsoft Sans Serif"/>
          <w:lang w:val="en-US"/>
        </w:rPr>
        <w:t>involved are</w:t>
      </w:r>
      <w:r w:rsidR="008A3764" w:rsidRPr="000107AA">
        <w:rPr>
          <w:rFonts w:cs="Microsoft Sans Serif"/>
          <w:lang w:val="en-US"/>
        </w:rPr>
        <w:t xml:space="preserve">, plus it relies on how dedicated a company is on updating and adapting the document to suit the current situation. </w:t>
      </w:r>
      <w:r w:rsidR="000107AA">
        <w:rPr>
          <w:rFonts w:cs="Microsoft Sans Serif"/>
          <w:lang w:val="en-US"/>
        </w:rPr>
        <w:t>C</w:t>
      </w:r>
      <w:r w:rsidR="000107AA" w:rsidRPr="000107AA">
        <w:rPr>
          <w:rFonts w:cs="Microsoft Sans Serif"/>
          <w:lang w:val="en-US"/>
        </w:rPr>
        <w:t>onstant growth and development of FMEA methods are crucia</w:t>
      </w:r>
      <w:r w:rsidR="000107AA">
        <w:rPr>
          <w:rFonts w:cs="Microsoft Sans Serif"/>
          <w:lang w:val="en-US"/>
        </w:rPr>
        <w:t xml:space="preserve">l to mitigating risks within the manufacturing sector. </w:t>
      </w:r>
    </w:p>
    <w:p w14:paraId="298862F4" w14:textId="6A1147CE" w:rsidR="00CB218D" w:rsidRPr="00E816A5" w:rsidRDefault="00CB218D" w:rsidP="001A72B2">
      <w:pPr>
        <w:rPr>
          <w:rFonts w:cs="Microsoft Sans Serif"/>
        </w:rPr>
      </w:pPr>
    </w:p>
    <w:p w14:paraId="19E1BEC8" w14:textId="75E04968" w:rsidR="005B423A" w:rsidRDefault="005B423A">
      <w:r>
        <w:br w:type="page"/>
      </w:r>
    </w:p>
    <w:p w14:paraId="31C786D6" w14:textId="6487FD4A" w:rsidR="005B423A" w:rsidRDefault="005B423A" w:rsidP="0033020F">
      <w:pPr>
        <w:pStyle w:val="Heading1"/>
      </w:pPr>
      <w:bookmarkStart w:id="6" w:name="_Toc158556906"/>
      <w:r>
        <w:lastRenderedPageBreak/>
        <w:t>References</w:t>
      </w:r>
      <w:bookmarkEnd w:id="6"/>
      <w:r>
        <w:t xml:space="preserve">  </w:t>
      </w:r>
    </w:p>
    <w:p w14:paraId="024E5A1C" w14:textId="77777777" w:rsidR="00437EDB" w:rsidRPr="00AE73BC" w:rsidRDefault="00437EDB" w:rsidP="00AE73BC"/>
    <w:p w14:paraId="6A172BD5" w14:textId="6944D393" w:rsidR="00437EDB" w:rsidRPr="000730E6" w:rsidRDefault="00437EDB" w:rsidP="000730E6">
      <w:pPr>
        <w:rPr>
          <w:rFonts w:cs="Microsoft Sans Serif"/>
          <w:lang w:val="en-US"/>
        </w:rPr>
      </w:pPr>
      <w:r w:rsidRPr="000730E6">
        <w:rPr>
          <w:rFonts w:cs="Microsoft Sans Serif"/>
          <w:lang w:val="en-US"/>
        </w:rPr>
        <w:t>Domínguez, C.R., Mares, J.I.P., Hernández, R.G.Z., 2021. Hazard identification and analysis in work areas</w:t>
      </w:r>
      <w:r w:rsidR="00AE73BC" w:rsidRPr="000730E6">
        <w:rPr>
          <w:rFonts w:cs="Microsoft Sans Serif"/>
          <w:lang w:val="en-US"/>
        </w:rPr>
        <w:t xml:space="preserve"> </w:t>
      </w:r>
      <w:r w:rsidRPr="000730E6">
        <w:rPr>
          <w:rFonts w:cs="Microsoft Sans Serif"/>
          <w:lang w:val="en-US"/>
        </w:rPr>
        <w:t>within the Manufacturing Sector through the HAZID methodology. Process Safety and Environmental Protection 145, 23–38.</w:t>
      </w:r>
    </w:p>
    <w:p w14:paraId="6EF81E70" w14:textId="77777777" w:rsidR="00D94286" w:rsidRPr="000730E6" w:rsidRDefault="00D94286" w:rsidP="000730E6">
      <w:pPr>
        <w:rPr>
          <w:rFonts w:cs="Microsoft Sans Serif"/>
          <w:color w:val="000000"/>
        </w:rPr>
      </w:pPr>
    </w:p>
    <w:p w14:paraId="3768550A" w14:textId="56A0B978" w:rsidR="00D94286" w:rsidRPr="000730E6" w:rsidRDefault="00D94286" w:rsidP="000730E6">
      <w:pPr>
        <w:rPr>
          <w:rFonts w:cs="Microsoft Sans Serif"/>
          <w:color w:val="000000"/>
        </w:rPr>
      </w:pPr>
      <w:r w:rsidRPr="000730E6">
        <w:rPr>
          <w:rFonts w:cs="Microsoft Sans Serif"/>
          <w:color w:val="000000"/>
        </w:rPr>
        <w:t>HSE (2013).</w:t>
      </w:r>
      <w:r w:rsidRPr="000730E6">
        <w:rPr>
          <w:rStyle w:val="apple-converted-space"/>
          <w:rFonts w:cs="Microsoft Sans Serif"/>
          <w:color w:val="000000"/>
        </w:rPr>
        <w:t> </w:t>
      </w:r>
      <w:r w:rsidRPr="000730E6">
        <w:rPr>
          <w:rFonts w:cs="Microsoft Sans Serif"/>
          <w:i/>
          <w:iCs/>
          <w:color w:val="000000"/>
        </w:rPr>
        <w:t>Legislation: Leading health and safety at work</w:t>
      </w:r>
      <w:r w:rsidRPr="000730E6">
        <w:rPr>
          <w:rFonts w:cs="Microsoft Sans Serif"/>
          <w:color w:val="000000"/>
        </w:rPr>
        <w:t>. [online] Hse.gov.uk. Available at: https://www.hse.gov.uk/leadership/legislation.htm.</w:t>
      </w:r>
    </w:p>
    <w:p w14:paraId="0D8A21E9" w14:textId="77777777" w:rsidR="00D94286" w:rsidRPr="000730E6" w:rsidRDefault="00D94286" w:rsidP="000730E6">
      <w:pPr>
        <w:rPr>
          <w:rFonts w:cs="Microsoft Sans Serif"/>
          <w:color w:val="000000"/>
        </w:rPr>
      </w:pPr>
    </w:p>
    <w:p w14:paraId="6587EB9E" w14:textId="3FB49377" w:rsidR="007744CC" w:rsidRPr="000730E6" w:rsidRDefault="007744CC" w:rsidP="000730E6">
      <w:pPr>
        <w:rPr>
          <w:rFonts w:cs="Microsoft Sans Serif"/>
          <w:color w:val="000000"/>
        </w:rPr>
      </w:pPr>
      <w:r w:rsidRPr="000730E6">
        <w:rPr>
          <w:rFonts w:cs="Microsoft Sans Serif"/>
          <w:color w:val="000000"/>
        </w:rPr>
        <w:t>Institution of Mechanical Engineers (2023).</w:t>
      </w:r>
      <w:r w:rsidRPr="000730E6">
        <w:rPr>
          <w:rStyle w:val="apple-converted-space"/>
          <w:rFonts w:cs="Microsoft Sans Serif"/>
          <w:color w:val="000000"/>
        </w:rPr>
        <w:t> </w:t>
      </w:r>
      <w:r w:rsidRPr="000730E6">
        <w:rPr>
          <w:rFonts w:cs="Microsoft Sans Serif"/>
          <w:i/>
          <w:iCs/>
          <w:color w:val="000000"/>
        </w:rPr>
        <w:t>Code of Conduct explained - IMechE</w:t>
      </w:r>
      <w:r w:rsidRPr="000730E6">
        <w:rPr>
          <w:rFonts w:cs="Microsoft Sans Serif"/>
          <w:color w:val="000000"/>
        </w:rPr>
        <w:t xml:space="preserve">. [online] www.imeche.org. Available at: </w:t>
      </w:r>
      <w:hyperlink r:id="rId11" w:history="1">
        <w:r w:rsidRPr="000730E6">
          <w:rPr>
            <w:rStyle w:val="Hyperlink"/>
            <w:rFonts w:cs="Microsoft Sans Serif"/>
          </w:rPr>
          <w:t>https://www.imeche.org/about-us/imeche-governance/governance-and-finance-reviews/code-of-conduct-explained</w:t>
        </w:r>
      </w:hyperlink>
      <w:r w:rsidRPr="000730E6">
        <w:rPr>
          <w:rFonts w:cs="Microsoft Sans Serif"/>
          <w:color w:val="000000"/>
        </w:rPr>
        <w:t xml:space="preserve">. </w:t>
      </w:r>
    </w:p>
    <w:p w14:paraId="6A3F7245" w14:textId="77777777" w:rsidR="000573A5" w:rsidRPr="000730E6" w:rsidRDefault="000573A5" w:rsidP="000730E6">
      <w:pPr>
        <w:rPr>
          <w:rFonts w:cs="Microsoft Sans Serif"/>
          <w:color w:val="000000"/>
        </w:rPr>
      </w:pPr>
    </w:p>
    <w:p w14:paraId="11CFDE09" w14:textId="77777777" w:rsidR="000573A5" w:rsidRPr="000730E6" w:rsidRDefault="000573A5" w:rsidP="000730E6">
      <w:pPr>
        <w:rPr>
          <w:rFonts w:cs="Microsoft Sans Serif"/>
          <w:lang w:val="en-US"/>
        </w:rPr>
      </w:pPr>
      <w:r w:rsidRPr="000730E6">
        <w:rPr>
          <w:rFonts w:cs="Microsoft Sans Serif"/>
          <w:lang w:val="en-US"/>
        </w:rPr>
        <w:t>Liu, H.-C., Liu, L., Liu, N., 2013. Risk evaluation approaches in failure mode and effects analysis: A literature review. Expert systems with applications 40, 828–838.</w:t>
      </w:r>
    </w:p>
    <w:p w14:paraId="5C1DB24F" w14:textId="77777777" w:rsidR="000730E6" w:rsidRPr="000730E6" w:rsidRDefault="000730E6" w:rsidP="000730E6">
      <w:pPr>
        <w:rPr>
          <w:rFonts w:cs="Microsoft Sans Serif"/>
          <w:lang w:val="en-US"/>
        </w:rPr>
      </w:pPr>
    </w:p>
    <w:p w14:paraId="0A703BFE" w14:textId="77777777" w:rsidR="000730E6" w:rsidRPr="000730E6" w:rsidRDefault="000730E6" w:rsidP="000730E6">
      <w:pPr>
        <w:rPr>
          <w:rFonts w:cs="Microsoft Sans Serif"/>
          <w:color w:val="000000"/>
        </w:rPr>
      </w:pPr>
      <w:r w:rsidRPr="000730E6">
        <w:rPr>
          <w:rFonts w:cs="Microsoft Sans Serif"/>
          <w:color w:val="000000"/>
        </w:rPr>
        <w:t>Patrick, B. (2022)</w:t>
      </w:r>
      <w:r w:rsidRPr="000730E6">
        <w:rPr>
          <w:rStyle w:val="apple-converted-space"/>
          <w:rFonts w:cs="Microsoft Sans Serif"/>
          <w:color w:val="000000"/>
        </w:rPr>
        <w:t> </w:t>
      </w:r>
      <w:r w:rsidRPr="000730E6">
        <w:rPr>
          <w:rFonts w:cs="Microsoft Sans Serif"/>
          <w:i/>
          <w:iCs/>
          <w:color w:val="000000"/>
        </w:rPr>
        <w:t>Using FMEA to manage risk</w:t>
      </w:r>
      <w:r w:rsidRPr="000730E6">
        <w:rPr>
          <w:rFonts w:cs="Microsoft Sans Serif"/>
          <w:color w:val="000000"/>
        </w:rPr>
        <w:t>,</w:t>
      </w:r>
      <w:r w:rsidRPr="000730E6">
        <w:rPr>
          <w:rStyle w:val="apple-converted-space"/>
          <w:rFonts w:cs="Microsoft Sans Serif"/>
          <w:color w:val="000000"/>
        </w:rPr>
        <w:t> </w:t>
      </w:r>
      <w:r w:rsidRPr="000730E6">
        <w:rPr>
          <w:rFonts w:cs="Microsoft Sans Serif"/>
          <w:i/>
          <w:iCs/>
          <w:color w:val="000000"/>
        </w:rPr>
        <w:t>9000 Store</w:t>
      </w:r>
      <w:r w:rsidRPr="000730E6">
        <w:rPr>
          <w:rFonts w:cs="Microsoft Sans Serif"/>
          <w:color w:val="000000"/>
        </w:rPr>
        <w:t>. Available at: https://the9000store.com/articles/using-fmea-to-manage-risk/ (Accessed: 08 February 2024).</w:t>
      </w:r>
      <w:r w:rsidRPr="000730E6">
        <w:rPr>
          <w:rStyle w:val="apple-converted-space"/>
          <w:rFonts w:cs="Microsoft Sans Serif"/>
          <w:color w:val="000000"/>
        </w:rPr>
        <w:t> </w:t>
      </w:r>
    </w:p>
    <w:p w14:paraId="32A22ADB" w14:textId="77777777" w:rsidR="00450A83" w:rsidRPr="000730E6" w:rsidRDefault="00450A83" w:rsidP="000730E6">
      <w:pPr>
        <w:rPr>
          <w:rFonts w:cs="Microsoft Sans Serif"/>
          <w:color w:val="000000"/>
        </w:rPr>
      </w:pPr>
    </w:p>
    <w:p w14:paraId="2A66EF3B" w14:textId="078C7647" w:rsidR="007744CC" w:rsidRPr="000730E6" w:rsidRDefault="00AE73BC" w:rsidP="000730E6">
      <w:pPr>
        <w:rPr>
          <w:rFonts w:cs="Microsoft Sans Serif"/>
          <w:color w:val="000000"/>
        </w:rPr>
      </w:pPr>
      <w:r w:rsidRPr="000730E6">
        <w:rPr>
          <w:rFonts w:cs="Microsoft Sans Serif"/>
          <w:lang w:val="en-US"/>
        </w:rPr>
        <w:t xml:space="preserve"> </w:t>
      </w:r>
      <w:proofErr w:type="spellStart"/>
      <w:r w:rsidRPr="000730E6">
        <w:rPr>
          <w:rFonts w:cs="Microsoft Sans Serif"/>
          <w:lang w:val="en-US"/>
        </w:rPr>
        <w:t>Schmittner</w:t>
      </w:r>
      <w:proofErr w:type="spellEnd"/>
      <w:r w:rsidRPr="000730E6">
        <w:rPr>
          <w:rFonts w:cs="Microsoft Sans Serif"/>
          <w:lang w:val="en-US"/>
        </w:rPr>
        <w:t xml:space="preserve">, C., Gruber, T., </w:t>
      </w:r>
      <w:proofErr w:type="spellStart"/>
      <w:r w:rsidRPr="000730E6">
        <w:rPr>
          <w:rFonts w:cs="Microsoft Sans Serif"/>
          <w:lang w:val="en-US"/>
        </w:rPr>
        <w:t>Puschner</w:t>
      </w:r>
      <w:proofErr w:type="spellEnd"/>
      <w:r w:rsidRPr="000730E6">
        <w:rPr>
          <w:rFonts w:cs="Microsoft Sans Serif"/>
          <w:lang w:val="en-US"/>
        </w:rPr>
        <w:t xml:space="preserve">, P., </w:t>
      </w:r>
      <w:proofErr w:type="spellStart"/>
      <w:r w:rsidRPr="000730E6">
        <w:rPr>
          <w:rFonts w:cs="Microsoft Sans Serif"/>
          <w:lang w:val="en-US"/>
        </w:rPr>
        <w:t>Schoitsch</w:t>
      </w:r>
      <w:proofErr w:type="spellEnd"/>
      <w:r w:rsidRPr="000730E6">
        <w:rPr>
          <w:rFonts w:cs="Microsoft Sans Serif"/>
          <w:lang w:val="en-US"/>
        </w:rPr>
        <w:t xml:space="preserve">, E., 2014. Security Application of Failure Mode and Effect Analysis (FMEA), in: </w:t>
      </w:r>
      <w:proofErr w:type="spellStart"/>
      <w:r w:rsidRPr="000730E6">
        <w:rPr>
          <w:rFonts w:cs="Microsoft Sans Serif"/>
          <w:lang w:val="en-US"/>
        </w:rPr>
        <w:t>Bondavalli</w:t>
      </w:r>
      <w:proofErr w:type="spellEnd"/>
      <w:r w:rsidRPr="000730E6">
        <w:rPr>
          <w:rFonts w:cs="Microsoft Sans Serif"/>
          <w:lang w:val="en-US"/>
        </w:rPr>
        <w:t xml:space="preserve">, A., Di </w:t>
      </w:r>
      <w:proofErr w:type="spellStart"/>
      <w:r w:rsidRPr="000730E6">
        <w:rPr>
          <w:rFonts w:cs="Microsoft Sans Serif"/>
          <w:lang w:val="en-US"/>
        </w:rPr>
        <w:t>Giandomenico</w:t>
      </w:r>
      <w:proofErr w:type="spellEnd"/>
      <w:r w:rsidRPr="000730E6">
        <w:rPr>
          <w:rFonts w:cs="Microsoft Sans Serif"/>
          <w:lang w:val="en-US"/>
        </w:rPr>
        <w:t>, F. (Eds.), Computer Safety, Reliability, and Security, Lecture Notes in Computer Science. Springer International Publishing, Cham, pp. 310–325.</w:t>
      </w:r>
    </w:p>
    <w:p w14:paraId="4B6AB7CC" w14:textId="1DDC629D" w:rsidR="007744CC" w:rsidRDefault="007744CC" w:rsidP="00437EDB">
      <w:pPr>
        <w:jc w:val="both"/>
        <w:rPr>
          <w:rFonts w:cs="Microsoft Sans Serif"/>
          <w:lang w:val="en-US"/>
        </w:rPr>
      </w:pPr>
    </w:p>
    <w:p w14:paraId="594BEB9C" w14:textId="77777777" w:rsidR="000730E6" w:rsidRDefault="000730E6" w:rsidP="00437EDB">
      <w:pPr>
        <w:jc w:val="both"/>
        <w:rPr>
          <w:rFonts w:cs="Microsoft Sans Serif"/>
          <w:lang w:val="en-US"/>
        </w:rPr>
      </w:pPr>
    </w:p>
    <w:p w14:paraId="573C3A09" w14:textId="77777777" w:rsidR="000730E6" w:rsidRPr="00437EDB" w:rsidRDefault="000730E6" w:rsidP="00437EDB">
      <w:pPr>
        <w:jc w:val="both"/>
        <w:rPr>
          <w:rFonts w:cs="Microsoft Sans Serif"/>
          <w:lang w:val="en-US"/>
        </w:rPr>
      </w:pPr>
    </w:p>
    <w:p w14:paraId="7E67AAFA" w14:textId="77777777" w:rsidR="00437EDB" w:rsidRPr="00437EDB" w:rsidRDefault="00437EDB" w:rsidP="00437EDB"/>
    <w:p w14:paraId="12D4DE57" w14:textId="77777777" w:rsidR="00F254DC" w:rsidRDefault="00F254DC" w:rsidP="00F254DC"/>
    <w:p w14:paraId="2F64EB3A" w14:textId="77777777" w:rsidR="00B36A11" w:rsidRDefault="00B36A11" w:rsidP="00F254DC"/>
    <w:p w14:paraId="2C85F781" w14:textId="77777777" w:rsidR="00B36A11" w:rsidRDefault="00B36A11" w:rsidP="00F254DC"/>
    <w:p w14:paraId="62339031" w14:textId="77777777" w:rsidR="00B36A11" w:rsidRDefault="00B36A11" w:rsidP="00F254DC"/>
    <w:p w14:paraId="0D1A1BEB" w14:textId="77777777" w:rsidR="00B36A11" w:rsidRDefault="00B36A11" w:rsidP="00F254DC"/>
    <w:p w14:paraId="4B2D1D9C" w14:textId="77777777" w:rsidR="00B36A11" w:rsidRDefault="00B36A11" w:rsidP="00F254DC"/>
    <w:p w14:paraId="4FE28873" w14:textId="2877280D" w:rsidR="00B36A11" w:rsidRDefault="00B36A11" w:rsidP="00B36A11">
      <w:pPr>
        <w:pStyle w:val="Heading1"/>
      </w:pPr>
      <w:bookmarkStart w:id="7" w:name="_Toc158556907"/>
      <w:r>
        <w:lastRenderedPageBreak/>
        <w:t>Appendix A</w:t>
      </w:r>
      <w:bookmarkEnd w:id="7"/>
      <w:r>
        <w:t xml:space="preserve"> </w:t>
      </w:r>
    </w:p>
    <w:p w14:paraId="1D828534" w14:textId="3263EA06" w:rsidR="00B36A11" w:rsidRPr="00B36A11" w:rsidRDefault="002F47D9" w:rsidP="00B36A11">
      <w:r>
        <w:rPr>
          <w:noProof/>
        </w:rPr>
        <w:drawing>
          <wp:inline distT="0" distB="0" distL="0" distR="0" wp14:anchorId="00FEE208" wp14:editId="6A35F0CD">
            <wp:extent cx="5730875" cy="8101965"/>
            <wp:effectExtent l="0" t="0" r="0" b="0"/>
            <wp:docPr id="3830550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8101965"/>
                    </a:xfrm>
                    <a:prstGeom prst="rect">
                      <a:avLst/>
                    </a:prstGeom>
                    <a:noFill/>
                    <a:ln>
                      <a:noFill/>
                    </a:ln>
                  </pic:spPr>
                </pic:pic>
              </a:graphicData>
            </a:graphic>
          </wp:inline>
        </w:drawing>
      </w:r>
    </w:p>
    <w:p w14:paraId="5E3DC7FF" w14:textId="02BF62E4" w:rsidR="00B36A11" w:rsidRDefault="00B36A11" w:rsidP="00F254DC"/>
    <w:p w14:paraId="2677D1F9" w14:textId="40DC952E" w:rsidR="00B36A11" w:rsidRDefault="00A72B5C" w:rsidP="00A72B5C">
      <w:pPr>
        <w:pStyle w:val="Heading1"/>
      </w:pPr>
      <w:bookmarkStart w:id="8" w:name="_Toc158556908"/>
      <w:r>
        <w:lastRenderedPageBreak/>
        <w:t>Appendix B</w:t>
      </w:r>
      <w:bookmarkEnd w:id="8"/>
      <w:r>
        <w:t xml:space="preserve"> </w:t>
      </w:r>
    </w:p>
    <w:p w14:paraId="52E1C850" w14:textId="77777777" w:rsidR="00A72B5C" w:rsidRDefault="00A72B5C" w:rsidP="00A72B5C"/>
    <w:p w14:paraId="68F4E7B7" w14:textId="3A69D6EE" w:rsidR="00A72B5C" w:rsidRPr="00A72B5C" w:rsidRDefault="00C472C5" w:rsidP="00A72B5C">
      <w:r>
        <w:rPr>
          <w:noProof/>
        </w:rPr>
        <w:drawing>
          <wp:inline distT="0" distB="0" distL="0" distR="0" wp14:anchorId="51E67390" wp14:editId="05376D54">
            <wp:extent cx="5730875" cy="8112760"/>
            <wp:effectExtent l="0" t="0" r="0" b="2540"/>
            <wp:docPr id="148430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0875" cy="8112760"/>
                    </a:xfrm>
                    <a:prstGeom prst="rect">
                      <a:avLst/>
                    </a:prstGeom>
                    <a:noFill/>
                    <a:ln>
                      <a:noFill/>
                    </a:ln>
                  </pic:spPr>
                </pic:pic>
              </a:graphicData>
            </a:graphic>
          </wp:inline>
        </w:drawing>
      </w:r>
    </w:p>
    <w:p w14:paraId="062A3015" w14:textId="4F7D5757" w:rsidR="00B36A11" w:rsidRDefault="00B36A11" w:rsidP="00F254DC"/>
    <w:p w14:paraId="16EBBEBC" w14:textId="77777777" w:rsidR="00B36A11" w:rsidRDefault="00B36A11" w:rsidP="00F254DC"/>
    <w:p w14:paraId="55C0D702" w14:textId="77777777" w:rsidR="00B36A11" w:rsidRDefault="00B36A11" w:rsidP="00F254DC"/>
    <w:p w14:paraId="7E88EB28" w14:textId="77777777" w:rsidR="00B36A11" w:rsidRDefault="00B36A11" w:rsidP="00F254DC"/>
    <w:p w14:paraId="03D768AC" w14:textId="77777777" w:rsidR="00B36A11" w:rsidRDefault="00B36A11" w:rsidP="00F254DC"/>
    <w:p w14:paraId="529CE571" w14:textId="77777777" w:rsidR="00B36A11" w:rsidRDefault="00B36A11" w:rsidP="00F254DC"/>
    <w:p w14:paraId="70E28F9D" w14:textId="77777777" w:rsidR="00B36A11" w:rsidRDefault="00B36A11" w:rsidP="00F254DC"/>
    <w:p w14:paraId="78F45240" w14:textId="77777777" w:rsidR="00B36A11" w:rsidRDefault="00B36A11" w:rsidP="00F254DC"/>
    <w:p w14:paraId="51BFA076" w14:textId="77777777" w:rsidR="00B36A11" w:rsidRDefault="00B36A11" w:rsidP="00F254DC"/>
    <w:p w14:paraId="05EFDA56" w14:textId="77777777" w:rsidR="00B36A11" w:rsidRDefault="00B36A11" w:rsidP="00F254DC"/>
    <w:p w14:paraId="217DBDB8" w14:textId="77777777" w:rsidR="00B36A11" w:rsidRDefault="00B36A11" w:rsidP="00F254DC"/>
    <w:p w14:paraId="17F63C3B" w14:textId="77777777" w:rsidR="00B36A11" w:rsidRDefault="00B36A11" w:rsidP="00F254DC"/>
    <w:p w14:paraId="023A04AB" w14:textId="77777777" w:rsidR="00B36A11" w:rsidRDefault="00B36A11" w:rsidP="00F254DC"/>
    <w:p w14:paraId="367BE5EF" w14:textId="77777777" w:rsidR="00B36A11" w:rsidRDefault="00B36A11" w:rsidP="00F254DC"/>
    <w:p w14:paraId="4CF7BA7B" w14:textId="77777777" w:rsidR="00B36A11" w:rsidRDefault="00B36A11" w:rsidP="00F254DC"/>
    <w:p w14:paraId="34686830" w14:textId="77777777" w:rsidR="00B36A11" w:rsidRDefault="00B36A11" w:rsidP="00F254DC"/>
    <w:p w14:paraId="3B3C5990" w14:textId="77777777" w:rsidR="00B36A11" w:rsidRDefault="00B36A11" w:rsidP="00F254DC"/>
    <w:p w14:paraId="0AE8565E" w14:textId="77777777" w:rsidR="00B36A11" w:rsidRDefault="00B36A11" w:rsidP="00F254DC"/>
    <w:p w14:paraId="3145E3CA" w14:textId="77777777" w:rsidR="00B36A11" w:rsidRDefault="00B36A11" w:rsidP="00F254DC"/>
    <w:p w14:paraId="01326F89" w14:textId="77777777" w:rsidR="00B36A11" w:rsidRDefault="00B36A11" w:rsidP="00F254DC"/>
    <w:p w14:paraId="6342EF60" w14:textId="77777777" w:rsidR="00B36A11" w:rsidRDefault="00B36A11" w:rsidP="00F254DC"/>
    <w:p w14:paraId="2DC2B56A" w14:textId="77777777" w:rsidR="00B36A11" w:rsidRDefault="00B36A11" w:rsidP="00F254DC"/>
    <w:p w14:paraId="6F52C3C1" w14:textId="77777777" w:rsidR="00B36A11" w:rsidRDefault="00B36A11" w:rsidP="00F254DC"/>
    <w:p w14:paraId="2ECCC8F0" w14:textId="77777777" w:rsidR="00B36A11" w:rsidRDefault="00B36A11" w:rsidP="00F254DC"/>
    <w:p w14:paraId="5B880B62" w14:textId="77777777" w:rsidR="00F254DC" w:rsidRPr="00F254DC" w:rsidRDefault="00F254DC" w:rsidP="00F254DC"/>
    <w:p w14:paraId="4925F7B5" w14:textId="77777777" w:rsidR="005B423A" w:rsidRDefault="005B423A"/>
    <w:sectPr w:rsidR="005B423A" w:rsidSect="00F80F09">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93A0AF" w14:textId="77777777" w:rsidR="00F80F09" w:rsidRDefault="00F80F09" w:rsidP="005C476B">
      <w:pPr>
        <w:spacing w:line="240" w:lineRule="auto"/>
      </w:pPr>
      <w:r>
        <w:separator/>
      </w:r>
    </w:p>
  </w:endnote>
  <w:endnote w:type="continuationSeparator" w:id="0">
    <w:p w14:paraId="3EE9FE06" w14:textId="77777777" w:rsidR="00F80F09" w:rsidRDefault="00F80F09" w:rsidP="005C47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73000924"/>
      <w:docPartObj>
        <w:docPartGallery w:val="Page Numbers (Bottom of Page)"/>
        <w:docPartUnique/>
      </w:docPartObj>
    </w:sdtPr>
    <w:sdtContent>
      <w:p w14:paraId="2F3CDE54" w14:textId="626375D5" w:rsidR="005C476B" w:rsidRDefault="005C476B" w:rsidP="00671A5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9E33FA" w14:textId="77777777" w:rsidR="005C476B" w:rsidRDefault="005C476B" w:rsidP="005C47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1879919"/>
      <w:docPartObj>
        <w:docPartGallery w:val="Page Numbers (Bottom of Page)"/>
        <w:docPartUnique/>
      </w:docPartObj>
    </w:sdtPr>
    <w:sdtContent>
      <w:p w14:paraId="41090560" w14:textId="48035F6B" w:rsidR="005C476B" w:rsidRDefault="005C476B" w:rsidP="004D55D2">
        <w:pPr>
          <w:pStyle w:val="Footer"/>
          <w:framePr w:wrap="none" w:vAnchor="text" w:hAnchor="page" w:x="10661" w:y="-17"/>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AF556A0" w14:textId="77777777" w:rsidR="005C476B" w:rsidRDefault="005C476B" w:rsidP="005C476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54148111"/>
      <w:docPartObj>
        <w:docPartGallery w:val="Page Numbers (Bottom of Page)"/>
        <w:docPartUnique/>
      </w:docPartObj>
    </w:sdtPr>
    <w:sdtContent>
      <w:p w14:paraId="39CBE4E5" w14:textId="77777777" w:rsidR="005C476B" w:rsidRDefault="005C476B" w:rsidP="005C476B">
        <w:pPr>
          <w:pStyle w:val="Footer"/>
          <w:framePr w:wrap="none" w:vAnchor="text" w:hAnchor="page" w:x="10541" w:y="-17"/>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18EF38" w14:textId="77777777" w:rsidR="005C476B" w:rsidRDefault="005C476B" w:rsidP="005C47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B88FC" w14:textId="77777777" w:rsidR="00F80F09" w:rsidRDefault="00F80F09" w:rsidP="005C476B">
      <w:pPr>
        <w:spacing w:line="240" w:lineRule="auto"/>
      </w:pPr>
      <w:r>
        <w:separator/>
      </w:r>
    </w:p>
  </w:footnote>
  <w:footnote w:type="continuationSeparator" w:id="0">
    <w:p w14:paraId="32EE21CE" w14:textId="77777777" w:rsidR="00F80F09" w:rsidRDefault="00F80F09" w:rsidP="005C47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C646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DA002A7"/>
    <w:multiLevelType w:val="hybridMultilevel"/>
    <w:tmpl w:val="FFFAB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6003926">
    <w:abstractNumId w:val="1"/>
  </w:num>
  <w:num w:numId="2" w16cid:durableId="1574008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423A"/>
    <w:rsid w:val="000107AA"/>
    <w:rsid w:val="000116B4"/>
    <w:rsid w:val="00013305"/>
    <w:rsid w:val="000573A5"/>
    <w:rsid w:val="000730E6"/>
    <w:rsid w:val="00077D5C"/>
    <w:rsid w:val="000A07D9"/>
    <w:rsid w:val="000C5603"/>
    <w:rsid w:val="000D0EDF"/>
    <w:rsid w:val="001A1D4C"/>
    <w:rsid w:val="001A72B2"/>
    <w:rsid w:val="001D4D2C"/>
    <w:rsid w:val="00255438"/>
    <w:rsid w:val="002558FE"/>
    <w:rsid w:val="00275BB6"/>
    <w:rsid w:val="002A637B"/>
    <w:rsid w:val="002C21E1"/>
    <w:rsid w:val="002D5EF9"/>
    <w:rsid w:val="002E22AB"/>
    <w:rsid w:val="002F47D9"/>
    <w:rsid w:val="0033020F"/>
    <w:rsid w:val="0034732D"/>
    <w:rsid w:val="0035640E"/>
    <w:rsid w:val="00366E62"/>
    <w:rsid w:val="00373673"/>
    <w:rsid w:val="003A690A"/>
    <w:rsid w:val="003C4392"/>
    <w:rsid w:val="003D2E48"/>
    <w:rsid w:val="004278BA"/>
    <w:rsid w:val="00437EDB"/>
    <w:rsid w:val="00446F0E"/>
    <w:rsid w:val="00450A83"/>
    <w:rsid w:val="004D55D2"/>
    <w:rsid w:val="004F03AA"/>
    <w:rsid w:val="004F5B9C"/>
    <w:rsid w:val="00531B4A"/>
    <w:rsid w:val="00545BE5"/>
    <w:rsid w:val="0058648F"/>
    <w:rsid w:val="005B423A"/>
    <w:rsid w:val="005B58FE"/>
    <w:rsid w:val="005C476B"/>
    <w:rsid w:val="005F01A7"/>
    <w:rsid w:val="006242FF"/>
    <w:rsid w:val="00675C92"/>
    <w:rsid w:val="006A192C"/>
    <w:rsid w:val="006B5EE9"/>
    <w:rsid w:val="006C72FF"/>
    <w:rsid w:val="006F6C4C"/>
    <w:rsid w:val="0070702B"/>
    <w:rsid w:val="007467A5"/>
    <w:rsid w:val="007744CC"/>
    <w:rsid w:val="00774723"/>
    <w:rsid w:val="00797F41"/>
    <w:rsid w:val="007B5D5F"/>
    <w:rsid w:val="00837B4E"/>
    <w:rsid w:val="008A3764"/>
    <w:rsid w:val="008A3AB9"/>
    <w:rsid w:val="00944B60"/>
    <w:rsid w:val="009609D3"/>
    <w:rsid w:val="009670BF"/>
    <w:rsid w:val="009707C0"/>
    <w:rsid w:val="009977BB"/>
    <w:rsid w:val="009C5CCC"/>
    <w:rsid w:val="00A00A1C"/>
    <w:rsid w:val="00A02A6F"/>
    <w:rsid w:val="00A05EC8"/>
    <w:rsid w:val="00A07093"/>
    <w:rsid w:val="00A72B5C"/>
    <w:rsid w:val="00AB6C3F"/>
    <w:rsid w:val="00AC672D"/>
    <w:rsid w:val="00AE73BC"/>
    <w:rsid w:val="00B36A11"/>
    <w:rsid w:val="00BA165C"/>
    <w:rsid w:val="00BB6DD7"/>
    <w:rsid w:val="00C472C5"/>
    <w:rsid w:val="00C66FE8"/>
    <w:rsid w:val="00C83978"/>
    <w:rsid w:val="00C86CD5"/>
    <w:rsid w:val="00CB1E5E"/>
    <w:rsid w:val="00CB218D"/>
    <w:rsid w:val="00D02D95"/>
    <w:rsid w:val="00D16127"/>
    <w:rsid w:val="00D839F3"/>
    <w:rsid w:val="00D94286"/>
    <w:rsid w:val="00DA68CC"/>
    <w:rsid w:val="00DD51C3"/>
    <w:rsid w:val="00DF0AC4"/>
    <w:rsid w:val="00E048B5"/>
    <w:rsid w:val="00E06FB0"/>
    <w:rsid w:val="00E816A5"/>
    <w:rsid w:val="00E932A2"/>
    <w:rsid w:val="00EA100D"/>
    <w:rsid w:val="00EB4ED6"/>
    <w:rsid w:val="00EE34F9"/>
    <w:rsid w:val="00F23EBC"/>
    <w:rsid w:val="00F254DC"/>
    <w:rsid w:val="00F33213"/>
    <w:rsid w:val="00F80F09"/>
    <w:rsid w:val="00FB2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F1F49"/>
  <w15:chartTrackingRefBased/>
  <w15:docId w15:val="{8FBD8AF8-3C3D-0C45-9A6E-4A470E803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0F"/>
    <w:pPr>
      <w:spacing w:line="360" w:lineRule="auto"/>
    </w:pPr>
    <w:rPr>
      <w:rFonts w:ascii="Microsoft Sans Serif" w:hAnsi="Microsoft Sans Serif"/>
    </w:rPr>
  </w:style>
  <w:style w:type="paragraph" w:styleId="Heading1">
    <w:name w:val="heading 1"/>
    <w:basedOn w:val="Normal"/>
    <w:next w:val="Normal"/>
    <w:link w:val="Heading1Char"/>
    <w:uiPriority w:val="9"/>
    <w:qFormat/>
    <w:rsid w:val="0033020F"/>
    <w:pPr>
      <w:keepNext/>
      <w:keepLines/>
      <w:numPr>
        <w:numId w:val="2"/>
      </w:numPr>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020F"/>
    <w:pPr>
      <w:keepNext/>
      <w:keepLines/>
      <w:numPr>
        <w:ilvl w:val="1"/>
        <w:numId w:val="2"/>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020F"/>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3020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3020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3020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3020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3020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3020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20F"/>
    <w:rPr>
      <w:rFonts w:ascii="Microsoft Sans Serif" w:eastAsiaTheme="majorEastAsia" w:hAnsi="Microsoft Sans Serif" w:cstheme="majorBidi"/>
      <w:color w:val="2F5496" w:themeColor="accent1" w:themeShade="BF"/>
      <w:sz w:val="32"/>
      <w:szCs w:val="32"/>
    </w:rPr>
  </w:style>
  <w:style w:type="character" w:customStyle="1" w:styleId="Heading2Char">
    <w:name w:val="Heading 2 Char"/>
    <w:basedOn w:val="DefaultParagraphFont"/>
    <w:link w:val="Heading2"/>
    <w:uiPriority w:val="9"/>
    <w:rsid w:val="0033020F"/>
    <w:rPr>
      <w:rFonts w:ascii="Microsoft Sans Serif" w:eastAsiaTheme="majorEastAsia" w:hAnsi="Microsoft Sans Serif"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3020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33020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3020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3020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3020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3020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3020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5C476B"/>
    <w:pPr>
      <w:tabs>
        <w:tab w:val="center" w:pos="4513"/>
        <w:tab w:val="right" w:pos="9026"/>
      </w:tabs>
      <w:spacing w:line="240" w:lineRule="auto"/>
    </w:pPr>
  </w:style>
  <w:style w:type="character" w:customStyle="1" w:styleId="FooterChar">
    <w:name w:val="Footer Char"/>
    <w:basedOn w:val="DefaultParagraphFont"/>
    <w:link w:val="Footer"/>
    <w:uiPriority w:val="99"/>
    <w:rsid w:val="005C476B"/>
    <w:rPr>
      <w:rFonts w:ascii="Microsoft Sans Serif" w:hAnsi="Microsoft Sans Serif"/>
    </w:rPr>
  </w:style>
  <w:style w:type="character" w:styleId="PageNumber">
    <w:name w:val="page number"/>
    <w:basedOn w:val="DefaultParagraphFont"/>
    <w:uiPriority w:val="99"/>
    <w:semiHidden/>
    <w:unhideWhenUsed/>
    <w:rsid w:val="005C476B"/>
  </w:style>
  <w:style w:type="paragraph" w:styleId="Header">
    <w:name w:val="header"/>
    <w:basedOn w:val="Normal"/>
    <w:link w:val="HeaderChar"/>
    <w:uiPriority w:val="99"/>
    <w:unhideWhenUsed/>
    <w:rsid w:val="005C476B"/>
    <w:pPr>
      <w:tabs>
        <w:tab w:val="center" w:pos="4513"/>
        <w:tab w:val="right" w:pos="9026"/>
      </w:tabs>
      <w:spacing w:line="240" w:lineRule="auto"/>
    </w:pPr>
  </w:style>
  <w:style w:type="character" w:customStyle="1" w:styleId="HeaderChar">
    <w:name w:val="Header Char"/>
    <w:basedOn w:val="DefaultParagraphFont"/>
    <w:link w:val="Header"/>
    <w:uiPriority w:val="99"/>
    <w:rsid w:val="005C476B"/>
    <w:rPr>
      <w:rFonts w:ascii="Microsoft Sans Serif" w:hAnsi="Microsoft Sans Serif"/>
    </w:rPr>
  </w:style>
  <w:style w:type="paragraph" w:styleId="TOCHeading">
    <w:name w:val="TOC Heading"/>
    <w:basedOn w:val="Heading1"/>
    <w:next w:val="Normal"/>
    <w:uiPriority w:val="39"/>
    <w:unhideWhenUsed/>
    <w:qFormat/>
    <w:rsid w:val="004D55D2"/>
    <w:pPr>
      <w:numPr>
        <w:numId w:val="0"/>
      </w:numPr>
      <w:spacing w:before="480" w:line="276" w:lineRule="auto"/>
      <w:outlineLvl w:val="9"/>
    </w:pPr>
    <w:rPr>
      <w:rFonts w:asciiTheme="majorHAnsi" w:hAnsiTheme="majorHAnsi"/>
      <w:b/>
      <w:bCs/>
      <w:kern w:val="0"/>
      <w:sz w:val="28"/>
      <w:szCs w:val="28"/>
      <w:lang w:val="en-US"/>
      <w14:ligatures w14:val="none"/>
    </w:rPr>
  </w:style>
  <w:style w:type="paragraph" w:styleId="TOC1">
    <w:name w:val="toc 1"/>
    <w:basedOn w:val="Normal"/>
    <w:next w:val="Normal"/>
    <w:autoRedefine/>
    <w:uiPriority w:val="39"/>
    <w:unhideWhenUsed/>
    <w:rsid w:val="004D55D2"/>
    <w:pPr>
      <w:spacing w:before="120"/>
    </w:pPr>
    <w:rPr>
      <w:rFonts w:asciiTheme="minorHAnsi" w:hAnsiTheme="minorHAnsi" w:cstheme="minorHAnsi"/>
      <w:b/>
      <w:bCs/>
      <w:i/>
      <w:iCs/>
    </w:rPr>
  </w:style>
  <w:style w:type="character" w:styleId="Hyperlink">
    <w:name w:val="Hyperlink"/>
    <w:basedOn w:val="DefaultParagraphFont"/>
    <w:uiPriority w:val="99"/>
    <w:unhideWhenUsed/>
    <w:rsid w:val="004D55D2"/>
    <w:rPr>
      <w:color w:val="0563C1" w:themeColor="hyperlink"/>
      <w:u w:val="single"/>
    </w:rPr>
  </w:style>
  <w:style w:type="paragraph" w:styleId="TOC2">
    <w:name w:val="toc 2"/>
    <w:basedOn w:val="Normal"/>
    <w:next w:val="Normal"/>
    <w:autoRedefine/>
    <w:uiPriority w:val="39"/>
    <w:unhideWhenUsed/>
    <w:rsid w:val="004D55D2"/>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4D55D2"/>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D55D2"/>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D55D2"/>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D55D2"/>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D55D2"/>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D55D2"/>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D55D2"/>
    <w:pPr>
      <w:ind w:left="1920"/>
    </w:pPr>
    <w:rPr>
      <w:rFonts w:asciiTheme="minorHAnsi" w:hAnsiTheme="minorHAnsi" w:cstheme="minorHAnsi"/>
      <w:sz w:val="20"/>
      <w:szCs w:val="20"/>
    </w:rPr>
  </w:style>
  <w:style w:type="table" w:styleId="TableGrid">
    <w:name w:val="Table Grid"/>
    <w:basedOn w:val="TableNormal"/>
    <w:uiPriority w:val="39"/>
    <w:rsid w:val="004D5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D55D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F03AA"/>
  </w:style>
  <w:style w:type="paragraph" w:styleId="NormalWeb">
    <w:name w:val="Normal (Web)"/>
    <w:basedOn w:val="Normal"/>
    <w:uiPriority w:val="99"/>
    <w:unhideWhenUsed/>
    <w:rsid w:val="007744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7744CC"/>
  </w:style>
  <w:style w:type="character" w:styleId="UnresolvedMention">
    <w:name w:val="Unresolved Mention"/>
    <w:basedOn w:val="DefaultParagraphFont"/>
    <w:uiPriority w:val="99"/>
    <w:semiHidden/>
    <w:unhideWhenUsed/>
    <w:rsid w:val="007744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284726">
      <w:bodyDiv w:val="1"/>
      <w:marLeft w:val="0"/>
      <w:marRight w:val="0"/>
      <w:marTop w:val="0"/>
      <w:marBottom w:val="0"/>
      <w:divBdr>
        <w:top w:val="none" w:sz="0" w:space="0" w:color="auto"/>
        <w:left w:val="none" w:sz="0" w:space="0" w:color="auto"/>
        <w:bottom w:val="none" w:sz="0" w:space="0" w:color="auto"/>
        <w:right w:val="none" w:sz="0" w:space="0" w:color="auto"/>
      </w:divBdr>
    </w:div>
    <w:div w:id="368074020">
      <w:bodyDiv w:val="1"/>
      <w:marLeft w:val="0"/>
      <w:marRight w:val="0"/>
      <w:marTop w:val="0"/>
      <w:marBottom w:val="0"/>
      <w:divBdr>
        <w:top w:val="none" w:sz="0" w:space="0" w:color="auto"/>
        <w:left w:val="none" w:sz="0" w:space="0" w:color="auto"/>
        <w:bottom w:val="none" w:sz="0" w:space="0" w:color="auto"/>
        <w:right w:val="none" w:sz="0" w:space="0" w:color="auto"/>
      </w:divBdr>
    </w:div>
    <w:div w:id="398482926">
      <w:bodyDiv w:val="1"/>
      <w:marLeft w:val="0"/>
      <w:marRight w:val="0"/>
      <w:marTop w:val="0"/>
      <w:marBottom w:val="0"/>
      <w:divBdr>
        <w:top w:val="none" w:sz="0" w:space="0" w:color="auto"/>
        <w:left w:val="none" w:sz="0" w:space="0" w:color="auto"/>
        <w:bottom w:val="none" w:sz="0" w:space="0" w:color="auto"/>
        <w:right w:val="none" w:sz="0" w:space="0" w:color="auto"/>
      </w:divBdr>
    </w:div>
    <w:div w:id="616644582">
      <w:bodyDiv w:val="1"/>
      <w:marLeft w:val="0"/>
      <w:marRight w:val="0"/>
      <w:marTop w:val="0"/>
      <w:marBottom w:val="0"/>
      <w:divBdr>
        <w:top w:val="none" w:sz="0" w:space="0" w:color="auto"/>
        <w:left w:val="none" w:sz="0" w:space="0" w:color="auto"/>
        <w:bottom w:val="none" w:sz="0" w:space="0" w:color="auto"/>
        <w:right w:val="none" w:sz="0" w:space="0" w:color="auto"/>
      </w:divBdr>
    </w:div>
    <w:div w:id="820929955">
      <w:bodyDiv w:val="1"/>
      <w:marLeft w:val="0"/>
      <w:marRight w:val="0"/>
      <w:marTop w:val="0"/>
      <w:marBottom w:val="0"/>
      <w:divBdr>
        <w:top w:val="none" w:sz="0" w:space="0" w:color="auto"/>
        <w:left w:val="none" w:sz="0" w:space="0" w:color="auto"/>
        <w:bottom w:val="none" w:sz="0" w:space="0" w:color="auto"/>
        <w:right w:val="none" w:sz="0" w:space="0" w:color="auto"/>
      </w:divBdr>
    </w:div>
    <w:div w:id="884757396">
      <w:bodyDiv w:val="1"/>
      <w:marLeft w:val="0"/>
      <w:marRight w:val="0"/>
      <w:marTop w:val="0"/>
      <w:marBottom w:val="0"/>
      <w:divBdr>
        <w:top w:val="none" w:sz="0" w:space="0" w:color="auto"/>
        <w:left w:val="none" w:sz="0" w:space="0" w:color="auto"/>
        <w:bottom w:val="none" w:sz="0" w:space="0" w:color="auto"/>
        <w:right w:val="none" w:sz="0" w:space="0" w:color="auto"/>
      </w:divBdr>
    </w:div>
    <w:div w:id="894122803">
      <w:bodyDiv w:val="1"/>
      <w:marLeft w:val="0"/>
      <w:marRight w:val="0"/>
      <w:marTop w:val="0"/>
      <w:marBottom w:val="0"/>
      <w:divBdr>
        <w:top w:val="none" w:sz="0" w:space="0" w:color="auto"/>
        <w:left w:val="none" w:sz="0" w:space="0" w:color="auto"/>
        <w:bottom w:val="none" w:sz="0" w:space="0" w:color="auto"/>
        <w:right w:val="none" w:sz="0" w:space="0" w:color="auto"/>
      </w:divBdr>
    </w:div>
    <w:div w:id="1127505598">
      <w:bodyDiv w:val="1"/>
      <w:marLeft w:val="0"/>
      <w:marRight w:val="0"/>
      <w:marTop w:val="0"/>
      <w:marBottom w:val="0"/>
      <w:divBdr>
        <w:top w:val="none" w:sz="0" w:space="0" w:color="auto"/>
        <w:left w:val="none" w:sz="0" w:space="0" w:color="auto"/>
        <w:bottom w:val="none" w:sz="0" w:space="0" w:color="auto"/>
        <w:right w:val="none" w:sz="0" w:space="0" w:color="auto"/>
      </w:divBdr>
    </w:div>
    <w:div w:id="1397127369">
      <w:bodyDiv w:val="1"/>
      <w:marLeft w:val="0"/>
      <w:marRight w:val="0"/>
      <w:marTop w:val="0"/>
      <w:marBottom w:val="0"/>
      <w:divBdr>
        <w:top w:val="none" w:sz="0" w:space="0" w:color="auto"/>
        <w:left w:val="none" w:sz="0" w:space="0" w:color="auto"/>
        <w:bottom w:val="none" w:sz="0" w:space="0" w:color="auto"/>
        <w:right w:val="none" w:sz="0" w:space="0" w:color="auto"/>
      </w:divBdr>
    </w:div>
    <w:div w:id="1456362772">
      <w:bodyDiv w:val="1"/>
      <w:marLeft w:val="0"/>
      <w:marRight w:val="0"/>
      <w:marTop w:val="0"/>
      <w:marBottom w:val="0"/>
      <w:divBdr>
        <w:top w:val="none" w:sz="0" w:space="0" w:color="auto"/>
        <w:left w:val="none" w:sz="0" w:space="0" w:color="auto"/>
        <w:bottom w:val="none" w:sz="0" w:space="0" w:color="auto"/>
        <w:right w:val="none" w:sz="0" w:space="0" w:color="auto"/>
      </w:divBdr>
    </w:div>
    <w:div w:id="1534802147">
      <w:bodyDiv w:val="1"/>
      <w:marLeft w:val="0"/>
      <w:marRight w:val="0"/>
      <w:marTop w:val="0"/>
      <w:marBottom w:val="0"/>
      <w:divBdr>
        <w:top w:val="none" w:sz="0" w:space="0" w:color="auto"/>
        <w:left w:val="none" w:sz="0" w:space="0" w:color="auto"/>
        <w:bottom w:val="none" w:sz="0" w:space="0" w:color="auto"/>
        <w:right w:val="none" w:sz="0" w:space="0" w:color="auto"/>
      </w:divBdr>
    </w:div>
    <w:div w:id="1601253416">
      <w:bodyDiv w:val="1"/>
      <w:marLeft w:val="0"/>
      <w:marRight w:val="0"/>
      <w:marTop w:val="0"/>
      <w:marBottom w:val="0"/>
      <w:divBdr>
        <w:top w:val="none" w:sz="0" w:space="0" w:color="auto"/>
        <w:left w:val="none" w:sz="0" w:space="0" w:color="auto"/>
        <w:bottom w:val="none" w:sz="0" w:space="0" w:color="auto"/>
        <w:right w:val="none" w:sz="0" w:space="0" w:color="auto"/>
      </w:divBdr>
    </w:div>
    <w:div w:id="1618873622">
      <w:bodyDiv w:val="1"/>
      <w:marLeft w:val="0"/>
      <w:marRight w:val="0"/>
      <w:marTop w:val="0"/>
      <w:marBottom w:val="0"/>
      <w:divBdr>
        <w:top w:val="none" w:sz="0" w:space="0" w:color="auto"/>
        <w:left w:val="none" w:sz="0" w:space="0" w:color="auto"/>
        <w:bottom w:val="none" w:sz="0" w:space="0" w:color="auto"/>
        <w:right w:val="none" w:sz="0" w:space="0" w:color="auto"/>
      </w:divBdr>
    </w:div>
    <w:div w:id="1770152332">
      <w:bodyDiv w:val="1"/>
      <w:marLeft w:val="0"/>
      <w:marRight w:val="0"/>
      <w:marTop w:val="0"/>
      <w:marBottom w:val="0"/>
      <w:divBdr>
        <w:top w:val="none" w:sz="0" w:space="0" w:color="auto"/>
        <w:left w:val="none" w:sz="0" w:space="0" w:color="auto"/>
        <w:bottom w:val="none" w:sz="0" w:space="0" w:color="auto"/>
        <w:right w:val="none" w:sz="0" w:space="0" w:color="auto"/>
      </w:divBdr>
    </w:div>
    <w:div w:id="1817720419">
      <w:bodyDiv w:val="1"/>
      <w:marLeft w:val="0"/>
      <w:marRight w:val="0"/>
      <w:marTop w:val="0"/>
      <w:marBottom w:val="0"/>
      <w:divBdr>
        <w:top w:val="none" w:sz="0" w:space="0" w:color="auto"/>
        <w:left w:val="none" w:sz="0" w:space="0" w:color="auto"/>
        <w:bottom w:val="none" w:sz="0" w:space="0" w:color="auto"/>
        <w:right w:val="none" w:sz="0" w:space="0" w:color="auto"/>
      </w:divBdr>
    </w:div>
    <w:div w:id="1842238051">
      <w:bodyDiv w:val="1"/>
      <w:marLeft w:val="0"/>
      <w:marRight w:val="0"/>
      <w:marTop w:val="0"/>
      <w:marBottom w:val="0"/>
      <w:divBdr>
        <w:top w:val="none" w:sz="0" w:space="0" w:color="auto"/>
        <w:left w:val="none" w:sz="0" w:space="0" w:color="auto"/>
        <w:bottom w:val="none" w:sz="0" w:space="0" w:color="auto"/>
        <w:right w:val="none" w:sz="0" w:space="0" w:color="auto"/>
      </w:divBdr>
    </w:div>
    <w:div w:id="1918400981">
      <w:bodyDiv w:val="1"/>
      <w:marLeft w:val="0"/>
      <w:marRight w:val="0"/>
      <w:marTop w:val="0"/>
      <w:marBottom w:val="0"/>
      <w:divBdr>
        <w:top w:val="none" w:sz="0" w:space="0" w:color="auto"/>
        <w:left w:val="none" w:sz="0" w:space="0" w:color="auto"/>
        <w:bottom w:val="none" w:sz="0" w:space="0" w:color="auto"/>
        <w:right w:val="none" w:sz="0" w:space="0" w:color="auto"/>
      </w:divBdr>
    </w:div>
    <w:div w:id="1925675687">
      <w:bodyDiv w:val="1"/>
      <w:marLeft w:val="0"/>
      <w:marRight w:val="0"/>
      <w:marTop w:val="0"/>
      <w:marBottom w:val="0"/>
      <w:divBdr>
        <w:top w:val="none" w:sz="0" w:space="0" w:color="auto"/>
        <w:left w:val="none" w:sz="0" w:space="0" w:color="auto"/>
        <w:bottom w:val="none" w:sz="0" w:space="0" w:color="auto"/>
        <w:right w:val="none" w:sz="0" w:space="0" w:color="auto"/>
      </w:divBdr>
    </w:div>
    <w:div w:id="1937513059">
      <w:bodyDiv w:val="1"/>
      <w:marLeft w:val="0"/>
      <w:marRight w:val="0"/>
      <w:marTop w:val="0"/>
      <w:marBottom w:val="0"/>
      <w:divBdr>
        <w:top w:val="none" w:sz="0" w:space="0" w:color="auto"/>
        <w:left w:val="none" w:sz="0" w:space="0" w:color="auto"/>
        <w:bottom w:val="none" w:sz="0" w:space="0" w:color="auto"/>
        <w:right w:val="none" w:sz="0" w:space="0" w:color="auto"/>
      </w:divBdr>
    </w:div>
    <w:div w:id="1949502441">
      <w:bodyDiv w:val="1"/>
      <w:marLeft w:val="0"/>
      <w:marRight w:val="0"/>
      <w:marTop w:val="0"/>
      <w:marBottom w:val="0"/>
      <w:divBdr>
        <w:top w:val="none" w:sz="0" w:space="0" w:color="auto"/>
        <w:left w:val="none" w:sz="0" w:space="0" w:color="auto"/>
        <w:bottom w:val="none" w:sz="0" w:space="0" w:color="auto"/>
        <w:right w:val="none" w:sz="0" w:space="0" w:color="auto"/>
      </w:divBdr>
    </w:div>
    <w:div w:id="1993678359">
      <w:bodyDiv w:val="1"/>
      <w:marLeft w:val="0"/>
      <w:marRight w:val="0"/>
      <w:marTop w:val="0"/>
      <w:marBottom w:val="0"/>
      <w:divBdr>
        <w:top w:val="none" w:sz="0" w:space="0" w:color="auto"/>
        <w:left w:val="none" w:sz="0" w:space="0" w:color="auto"/>
        <w:bottom w:val="none" w:sz="0" w:space="0" w:color="auto"/>
        <w:right w:val="none" w:sz="0" w:space="0" w:color="auto"/>
      </w:divBdr>
    </w:div>
    <w:div w:id="2035961974">
      <w:bodyDiv w:val="1"/>
      <w:marLeft w:val="0"/>
      <w:marRight w:val="0"/>
      <w:marTop w:val="0"/>
      <w:marBottom w:val="0"/>
      <w:divBdr>
        <w:top w:val="none" w:sz="0" w:space="0" w:color="auto"/>
        <w:left w:val="none" w:sz="0" w:space="0" w:color="auto"/>
        <w:bottom w:val="none" w:sz="0" w:space="0" w:color="auto"/>
        <w:right w:val="none" w:sz="0" w:space="0" w:color="auto"/>
      </w:divBdr>
    </w:div>
    <w:div w:id="2055545669">
      <w:bodyDiv w:val="1"/>
      <w:marLeft w:val="0"/>
      <w:marRight w:val="0"/>
      <w:marTop w:val="0"/>
      <w:marBottom w:val="0"/>
      <w:divBdr>
        <w:top w:val="none" w:sz="0" w:space="0" w:color="auto"/>
        <w:left w:val="none" w:sz="0" w:space="0" w:color="auto"/>
        <w:bottom w:val="none" w:sz="0" w:space="0" w:color="auto"/>
        <w:right w:val="none" w:sz="0" w:space="0" w:color="auto"/>
      </w:divBdr>
    </w:div>
    <w:div w:id="211316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eche.org/about-us/imeche-governance/governance-and-finance-reviews/code-of-conduct-explain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Cha18</b:Tag>
    <b:SourceType>JournalArticle</b:SourceType>
    <b:Guid>{B9ABC724-7130-5647-A2D9-C0AA700EF8AC}</b:Guid>
    <b:Author>
      <b:Author>
        <b:NameList>
          <b:Person>
            <b:Last>Chaudhuri</b:Last>
            <b:First>A.,Boer,</b:First>
            <b:Middle>H.,&amp; Taran, Y.</b:Middle>
          </b:Person>
        </b:NameList>
      </b:Author>
    </b:Author>
    <b:Title>Supply chain integration, risk management and manufacturing flexibility</b:Title>
    <b:Year>2018</b:Year>
    <b:Publisher>International Journal of Operations &amp; Pro- duction Management, 38, 690-712</b:Publisher>
    <b:JournalName>International Journal of Operations &amp; Production Management</b:JournalName>
    <b:Pages>690-712</b:Pages>
    <b:RefOrder>3</b:RefOrder>
  </b:Source>
  <b:Source>
    <b:Tag>Boz15</b:Tag>
    <b:SourceType>JournalArticle</b:SourceType>
    <b:Guid>{ED3A9CD2-A1A0-6444-949B-7AAB2E5E9C12}</b:Guid>
    <b:Title>Expert Systems with Applications</b:Title>
    <b:JournalName>Risk prioritization in Failure Mode and Effects Analysis using interval type-2 fuzzy sets</b:JournalName>
    <b:Year>2015</b:Year>
    <b:Volume>42</b:Volume>
    <b:Issue>8</b:Issue>
    <b:Pages>4000-4015</b:Pages>
    <b:Author>
      <b:Author>
        <b:NameList>
          <b:Person>
            <b:Last>Bozdag</b:Last>
            <b:First>Erhan</b:First>
          </b:Person>
          <b:Person>
            <b:Last>Asan</b:Last>
            <b:First>Umut</b:First>
          </b:Person>
          <b:Person>
            <b:Last>Soyer </b:Last>
            <b:First>Ayberk</b:First>
          </b:Person>
          <b:Person>
            <b:Last>Serdarasan</b:Last>
            <b:First>Seyda</b:First>
          </b:Person>
        </b:NameList>
      </b:Author>
    </b:Author>
    <b:RefOrder>4</b:RefOrder>
  </b:Source>
  <b:Source>
    <b:Tag>IMe24</b:Tag>
    <b:SourceType>InternetSite</b:SourceType>
    <b:Guid>{CE796774-43D9-9148-B2E2-1E0C53D9C69B}</b:Guid>
    <b:Author>
      <b:Author>
        <b:NameList>
          <b:Person>
            <b:Last>IMechE.org</b:Last>
          </b:Person>
        </b:NameList>
      </b:Author>
    </b:Author>
    <b:Title>Code of Conduct Explained </b:Title>
    <b:URL>https://www.imeche.org/about-us/imeche-governance/governance-and-finance-reviews/code-of-conduct-explained</b:URL>
    <b:Year>2024</b:Year>
    <b:YearAccessed>2024</b:YearAccessed>
    <b:MonthAccessed>02</b:MonthAccessed>
    <b:DayAccessed>08</b:DayAccessed>
    <b:RefOrder>1</b:RefOrder>
  </b:Source>
  <b:Source>
    <b:Tag>HSE23</b:Tag>
    <b:SourceType>InternetSite</b:SourceType>
    <b:Guid>{E4C52E5F-01CF-0F48-B394-4ADC27CA100E}</b:Guid>
    <b:Author>
      <b:Author>
        <b:NameList>
          <b:Person>
            <b:Last>HSE</b:Last>
          </b:Person>
        </b:NameList>
      </b:Author>
    </b:Author>
    <b:Title>Legislation</b:Title>
    <b:URL>https://www.hse.gov.uk/leadership/legislation.htm</b:URL>
    <b:Year>2013</b:Year>
    <b:YearAccessed>2024</b:YearAccessed>
    <b:MonthAccessed>02</b:MonthAccessed>
    <b:DayAccessed>08</b:DayAccessed>
    <b:RefOrder>2</b:RefOrder>
  </b:Source>
</b:Sources>
</file>

<file path=customXml/itemProps1.xml><?xml version="1.0" encoding="utf-8"?>
<ds:datastoreItem xmlns:ds="http://schemas.openxmlformats.org/officeDocument/2006/customXml" ds:itemID="{0C0DC851-CC57-B542-B7F0-D563F30D2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13</Pages>
  <Words>1968</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Barry</dc:creator>
  <cp:keywords/>
  <dc:description/>
  <cp:lastModifiedBy>Tracey Barry</cp:lastModifiedBy>
  <cp:revision>116</cp:revision>
  <dcterms:created xsi:type="dcterms:W3CDTF">2024-01-30T17:30:00Z</dcterms:created>
  <dcterms:modified xsi:type="dcterms:W3CDTF">2024-02-11T15:15:00Z</dcterms:modified>
</cp:coreProperties>
</file>