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B3B" w:rsidRPr="001E1B3B" w:rsidRDefault="001E1B3B">
      <w:pPr>
        <w:rPr>
          <w:u w:val="single"/>
        </w:rPr>
      </w:pPr>
      <w:r w:rsidRPr="001E1B3B">
        <w:rPr>
          <w:u w:val="single"/>
        </w:rPr>
        <w:t>Catullus 64.353-371</w:t>
      </w:r>
    </w:p>
    <w:p w:rsidR="002D20F9" w:rsidRDefault="00F55F95">
      <w:r>
        <w:t xml:space="preserve">Catullus 64 is commonly referred to as </w:t>
      </w:r>
      <w:r w:rsidR="002D20F9">
        <w:t>an</w:t>
      </w:r>
      <w:r>
        <w:t xml:space="preserve"> epyllion, a miniature epic, narrating the wedding of Peleus and Thetis. This passage depicts part of a prophecy the Fates are telling the couple about their yet to be born son, Achilles</w:t>
      </w:r>
      <w:r>
        <w:rPr>
          <w:rStyle w:val="FootnoteReference"/>
        </w:rPr>
        <w:footnoteReference w:id="1"/>
      </w:r>
      <w:r>
        <w:t xml:space="preserve">. </w:t>
      </w:r>
      <w:r w:rsidR="002D20F9">
        <w:t xml:space="preserve">This gobbet highlights the theme of </w:t>
      </w:r>
      <w:r w:rsidR="00BF0063">
        <w:t>fated hopelessness shown by doomed relationships and</w:t>
      </w:r>
      <w:r w:rsidR="002D20F9">
        <w:t xml:space="preserve"> </w:t>
      </w:r>
      <w:r w:rsidR="000B24C4">
        <w:t>pastoral corruption</w:t>
      </w:r>
      <w:r w:rsidR="001D6BD2">
        <w:t xml:space="preserve"> in the prophecy</w:t>
      </w:r>
      <w:r w:rsidR="002D20F9">
        <w:t>.</w:t>
      </w:r>
    </w:p>
    <w:p w:rsidR="00E451A4" w:rsidRDefault="00077504">
      <w:r>
        <w:t>Catullus focuses on a cynical view of love and relationships. In the passage</w:t>
      </w:r>
      <w:r w:rsidR="00071C3A">
        <w:t>,</w:t>
      </w:r>
      <w:r>
        <w:t xml:space="preserve"> the sacrifice of </w:t>
      </w:r>
      <w:proofErr w:type="spellStart"/>
      <w:r>
        <w:t>Polyxena</w:t>
      </w:r>
      <w:proofErr w:type="spellEnd"/>
      <w:r>
        <w:t xml:space="preserve"> to be Achilles’ bride is described</w:t>
      </w:r>
      <w:r>
        <w:rPr>
          <w:rStyle w:val="FootnoteReference"/>
        </w:rPr>
        <w:footnoteReference w:id="2"/>
      </w:r>
      <w:r w:rsidR="003B259D">
        <w:t>, the language used creates pathos as she is referred to as innocent with “snow-white limbs of a butchered virgin”</w:t>
      </w:r>
      <w:r w:rsidR="003B259D">
        <w:rPr>
          <w:rStyle w:val="FootnoteReference"/>
        </w:rPr>
        <w:footnoteReference w:id="3"/>
      </w:r>
      <w:r w:rsidR="003B259D">
        <w:t xml:space="preserve"> before removing all of her identity by calling her simply a corpse</w:t>
      </w:r>
      <w:r w:rsidR="003B259D">
        <w:rPr>
          <w:rStyle w:val="FootnoteReference"/>
        </w:rPr>
        <w:footnoteReference w:id="4"/>
      </w:r>
      <w:r w:rsidR="003B259D">
        <w:t>. Furthermore the description, although it is</w:t>
      </w:r>
      <w:r w:rsidR="00E055DF">
        <w:t xml:space="preserve"> referencing</w:t>
      </w:r>
      <w:r w:rsidR="003B259D">
        <w:t xml:space="preserve"> Euripides</w:t>
      </w:r>
      <w:r w:rsidR="003B259D">
        <w:rPr>
          <w:rStyle w:val="FootnoteReference"/>
        </w:rPr>
        <w:footnoteReference w:id="5"/>
      </w:r>
      <w:r w:rsidR="003B259D">
        <w:t xml:space="preserve">, </w:t>
      </w:r>
      <w:r w:rsidR="00E055DF">
        <w:t xml:space="preserve">echoes that of </w:t>
      </w:r>
      <w:r w:rsidR="00E055DF" w:rsidRPr="00E055DF">
        <w:t>Lucretius</w:t>
      </w:r>
      <w:r w:rsidR="00E055DF">
        <w:t xml:space="preserve">’ description of the sacrifice of </w:t>
      </w:r>
      <w:r w:rsidR="00E055DF" w:rsidRPr="00E055DF">
        <w:t>Iphigeneia</w:t>
      </w:r>
      <w:r w:rsidR="00E055DF">
        <w:rPr>
          <w:rStyle w:val="FootnoteReference"/>
        </w:rPr>
        <w:footnoteReference w:id="6"/>
      </w:r>
      <w:r w:rsidR="00E055DF">
        <w:t xml:space="preserve"> who was tricked into believing she was marrying Achilles</w:t>
      </w:r>
      <w:r w:rsidR="00E055DF">
        <w:rPr>
          <w:rStyle w:val="FootnoteReference"/>
        </w:rPr>
        <w:footnoteReference w:id="7"/>
      </w:r>
      <w:r w:rsidR="00E055DF">
        <w:t>. By doing this Catullus has two examples of doomed relationships that are being relayed at a wedding with the couple present, which Godwin calls a grim irony</w:t>
      </w:r>
      <w:r w:rsidR="00E055DF">
        <w:rPr>
          <w:rStyle w:val="FootnoteReference"/>
        </w:rPr>
        <w:footnoteReference w:id="8"/>
      </w:r>
      <w:r w:rsidR="00D95820">
        <w:t xml:space="preserve">. </w:t>
      </w:r>
    </w:p>
    <w:p w:rsidR="0020740E" w:rsidRDefault="00D95820">
      <w:r>
        <w:t>Additionally earlier in the poem Thetis is also present to the retelling of the story of Ariadne and Theseus depicted on the</w:t>
      </w:r>
      <w:r w:rsidR="00587F0E">
        <w:t xml:space="preserve"> coverlet</w:t>
      </w:r>
      <w:r w:rsidR="008203AE">
        <w:rPr>
          <w:rStyle w:val="FootnoteReference"/>
        </w:rPr>
        <w:footnoteReference w:id="9"/>
      </w:r>
      <w:r w:rsidR="008203AE">
        <w:t>, another doomed relationship</w:t>
      </w:r>
      <w:r w:rsidR="008203AE">
        <w:rPr>
          <w:rStyle w:val="FootnoteReference"/>
        </w:rPr>
        <w:footnoteReference w:id="10"/>
      </w:r>
      <w:r w:rsidR="008203AE">
        <w:t xml:space="preserve"> the same can be said for the relationship of Jason and Medea which is also referred to</w:t>
      </w:r>
      <w:r w:rsidR="008203AE">
        <w:rPr>
          <w:rStyle w:val="FootnoteReference"/>
        </w:rPr>
        <w:footnoteReference w:id="11"/>
      </w:r>
      <w:r w:rsidR="008203AE">
        <w:t xml:space="preserve">. Thetis is already, </w:t>
      </w:r>
      <w:r w:rsidR="008203AE" w:rsidRPr="008203AE">
        <w:t>DeBrohun</w:t>
      </w:r>
      <w:r w:rsidR="008203AE">
        <w:t xml:space="preserve"> argues, having lukewarm feelings towards the wedding</w:t>
      </w:r>
      <w:r w:rsidR="00587F0E">
        <w:t xml:space="preserve"> (</w:t>
      </w:r>
      <w:r w:rsidR="00587F0E" w:rsidRPr="00587F0E">
        <w:t xml:space="preserve">non </w:t>
      </w:r>
      <w:proofErr w:type="spellStart"/>
      <w:r w:rsidR="00587F0E" w:rsidRPr="00587F0E">
        <w:t>despexit</w:t>
      </w:r>
      <w:proofErr w:type="spellEnd"/>
      <w:r w:rsidR="00587F0E">
        <w:rPr>
          <w:rStyle w:val="FootnoteReference"/>
        </w:rPr>
        <w:footnoteReference w:id="12"/>
      </w:r>
      <w:r w:rsidR="00587F0E">
        <w:t>)</w:t>
      </w:r>
      <w:r w:rsidR="00587F0E" w:rsidRPr="00587F0E">
        <w:rPr>
          <w:rStyle w:val="FootnoteReference"/>
          <w:vertAlign w:val="baseline"/>
        </w:rPr>
        <w:t xml:space="preserve"> </w:t>
      </w:r>
      <w:r w:rsidR="00587F0E">
        <w:rPr>
          <w:rStyle w:val="FootnoteReference"/>
        </w:rPr>
        <w:footnoteReference w:id="13"/>
      </w:r>
      <w:r w:rsidR="00587F0E">
        <w:t xml:space="preserve"> and so the audience will be asking what her feelings are now she has been confronted with multiple examples of doomed relationships while at her wedding.</w:t>
      </w:r>
      <w:r w:rsidR="008203AE">
        <w:t xml:space="preserve"> </w:t>
      </w:r>
    </w:p>
    <w:p w:rsidR="009A1142" w:rsidRDefault="00A47AA4">
      <w:r>
        <w:t>There is also an exploration of the corruption of pastoral idealism. This is something we see in the passage with Achilles’ slaughter being demonstrated with pastoral similes</w:t>
      </w:r>
      <w:r>
        <w:rPr>
          <w:rStyle w:val="FootnoteReference"/>
        </w:rPr>
        <w:footnoteReference w:id="14"/>
      </w:r>
      <w:r>
        <w:t xml:space="preserve">, while at first it is reminiscent of </w:t>
      </w:r>
      <w:r w:rsidRPr="00A47AA4">
        <w:rPr>
          <w:i/>
        </w:rPr>
        <w:t xml:space="preserve">Iliad </w:t>
      </w:r>
      <w:r w:rsidRPr="00A47AA4">
        <w:t>11.67-71</w:t>
      </w:r>
      <w:r>
        <w:rPr>
          <w:rStyle w:val="FootnoteReference"/>
        </w:rPr>
        <w:footnoteReference w:id="15"/>
      </w:r>
      <w:r>
        <w:t xml:space="preserve"> </w:t>
      </w:r>
      <w:r w:rsidR="001D1664">
        <w:t>in terms of language</w:t>
      </w:r>
      <w:r w:rsidR="000B24C4">
        <w:t>,</w:t>
      </w:r>
      <w:r w:rsidR="001D1664">
        <w:t xml:space="preserve"> </w:t>
      </w:r>
      <w:r>
        <w:t>the tone and mood as Godwin explains</w:t>
      </w:r>
      <w:r w:rsidR="001D1664">
        <w:rPr>
          <w:rStyle w:val="FootnoteReference"/>
        </w:rPr>
        <w:footnoteReference w:id="16"/>
      </w:r>
      <w:r>
        <w:t xml:space="preserve"> is more inclined to a later passage </w:t>
      </w:r>
      <w:r w:rsidR="001D1664">
        <w:t>which uses agricultural simile</w:t>
      </w:r>
      <w:r w:rsidR="0028590F">
        <w:t xml:space="preserve"> more brutally</w:t>
      </w:r>
      <w:r w:rsidR="001D1664">
        <w:rPr>
          <w:rStyle w:val="FootnoteReference"/>
        </w:rPr>
        <w:footnoteReference w:id="17"/>
      </w:r>
      <w:r w:rsidR="0028590F">
        <w:t>. Hurley also brings attention to the juxtaposition that Catullus has created</w:t>
      </w:r>
      <w:r w:rsidR="0028590F">
        <w:rPr>
          <w:rStyle w:val="FootnoteReference"/>
        </w:rPr>
        <w:footnoteReference w:id="18"/>
      </w:r>
      <w:r w:rsidR="0028590F">
        <w:t>, as normally in the agricultural cycle reaping makes way for new life with the next harvest but Achilles’ reaping will not bring life but the destruction of Troy</w:t>
      </w:r>
      <w:r w:rsidR="0028590F">
        <w:rPr>
          <w:rStyle w:val="FootnoteReference"/>
        </w:rPr>
        <w:footnoteReference w:id="19"/>
      </w:r>
      <w:r w:rsidR="000E4013">
        <w:t xml:space="preserve">. </w:t>
      </w:r>
      <w:r w:rsidR="00704A35">
        <w:t>Earlier in the poem too Catullus describes how agriculture has been abandoned</w:t>
      </w:r>
      <w:r w:rsidR="00704A35">
        <w:rPr>
          <w:rStyle w:val="FootnoteReference"/>
        </w:rPr>
        <w:footnoteReference w:id="20"/>
      </w:r>
      <w:r w:rsidR="00827CA1">
        <w:t>.</w:t>
      </w:r>
      <w:r w:rsidR="0028590F">
        <w:t xml:space="preserve"> </w:t>
      </w:r>
      <w:r w:rsidR="00827CA1">
        <w:t>W</w:t>
      </w:r>
      <w:r w:rsidR="00704A35">
        <w:t>hile the language is comparable to Virgil</w:t>
      </w:r>
      <w:r w:rsidR="00704A35">
        <w:rPr>
          <w:rStyle w:val="FootnoteReference"/>
        </w:rPr>
        <w:footnoteReference w:id="21"/>
      </w:r>
      <w:r w:rsidR="00704A35">
        <w:t xml:space="preserve"> </w:t>
      </w:r>
      <w:r w:rsidR="00827CA1">
        <w:t xml:space="preserve">and Godwin argues because of this they </w:t>
      </w:r>
      <w:r w:rsidR="00827CA1">
        <w:lastRenderedPageBreak/>
        <w:t>are still in the Golden Age</w:t>
      </w:r>
      <w:r w:rsidR="00827CA1">
        <w:rPr>
          <w:rStyle w:val="FootnoteReference"/>
        </w:rPr>
        <w:footnoteReference w:id="22"/>
      </w:r>
      <w:r w:rsidR="00827CA1">
        <w:t xml:space="preserve">, </w:t>
      </w:r>
      <w:r w:rsidR="00704A35">
        <w:t>when you include the reaping similes and the mention of the first ship</w:t>
      </w:r>
      <w:r w:rsidR="00704A35">
        <w:rPr>
          <w:rStyle w:val="FootnoteReference"/>
        </w:rPr>
        <w:footnoteReference w:id="23"/>
      </w:r>
      <w:r w:rsidR="00704A35">
        <w:t xml:space="preserve"> Bramble’s argument</w:t>
      </w:r>
      <w:r w:rsidR="00827CA1">
        <w:rPr>
          <w:rStyle w:val="FootnoteReference"/>
        </w:rPr>
        <w:footnoteReference w:id="24"/>
      </w:r>
      <w:r w:rsidR="00704A35">
        <w:t xml:space="preserve"> is more agreeable that this corruption </w:t>
      </w:r>
      <w:r w:rsidR="00827CA1">
        <w:t xml:space="preserve">and decay of agriculture </w:t>
      </w:r>
      <w:r w:rsidR="00704A35">
        <w:t>is a moving away from the Golden Age</w:t>
      </w:r>
      <w:r w:rsidR="00704A35">
        <w:rPr>
          <w:rStyle w:val="FootnoteReference"/>
        </w:rPr>
        <w:footnoteReference w:id="25"/>
      </w:r>
      <w:r w:rsidR="00827CA1">
        <w:t>.</w:t>
      </w:r>
    </w:p>
    <w:p w:rsidR="005509BF" w:rsidRDefault="005509BF">
      <w:r>
        <w:t xml:space="preserve">To conclude </w:t>
      </w:r>
      <w:r w:rsidR="00FB07D9">
        <w:t xml:space="preserve">this passage of Catullus 64 works with the rest of the poem to expand the point </w:t>
      </w:r>
      <w:r w:rsidR="009E4FA7">
        <w:t xml:space="preserve">of hopelessness. Especially with </w:t>
      </w:r>
      <w:r w:rsidR="00FB07D9">
        <w:t xml:space="preserve">doomed relationships, by having Thetis and Peleus not only be reminded of past relationships gone wrong but also of </w:t>
      </w:r>
      <w:r w:rsidR="009E4FA7">
        <w:t>fated</w:t>
      </w:r>
      <w:r w:rsidR="00FB07D9">
        <w:t xml:space="preserve"> doomed relationships to come making the audience think about how that will affect their relationship</w:t>
      </w:r>
      <w:r w:rsidR="00484527">
        <w:t xml:space="preserve"> in the present</w:t>
      </w:r>
      <w:r w:rsidR="00FB07D9">
        <w:t xml:space="preserve">. </w:t>
      </w:r>
      <w:r w:rsidR="009E4FA7">
        <w:t>This theme of hopelessness</w:t>
      </w:r>
      <w:r w:rsidR="00FB07D9">
        <w:t xml:space="preserve"> is continued with the </w:t>
      </w:r>
      <w:r w:rsidR="008E341F">
        <w:t xml:space="preserve">corruption </w:t>
      </w:r>
      <w:r w:rsidR="009E4FA7">
        <w:t>of</w:t>
      </w:r>
      <w:r w:rsidR="008E341F">
        <w:t xml:space="preserve"> agriculture </w:t>
      </w:r>
      <w:r w:rsidR="00FB07D9">
        <w:t xml:space="preserve">being </w:t>
      </w:r>
      <w:r w:rsidR="00A72CD2">
        <w:t xml:space="preserve">used to highlight </w:t>
      </w:r>
      <w:r w:rsidR="00FB07D9">
        <w:t xml:space="preserve">the emergence of the Iron Age. </w:t>
      </w:r>
    </w:p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Default="00A542B8"/>
    <w:p w:rsidR="00A542B8" w:rsidRPr="002E6215" w:rsidRDefault="00A542B8" w:rsidP="00A542B8">
      <w:pPr>
        <w:rPr>
          <w:u w:val="single"/>
        </w:rPr>
      </w:pPr>
      <w:bookmarkStart w:id="0" w:name="_GoBack"/>
      <w:bookmarkEnd w:id="0"/>
      <w:r w:rsidRPr="001F0E3C">
        <w:rPr>
          <w:u w:val="single"/>
        </w:rPr>
        <w:lastRenderedPageBreak/>
        <w:t>Bibliography:-</w:t>
      </w:r>
      <w:r w:rsidRPr="001F0E3C">
        <w:rPr>
          <w:u w:val="single"/>
        </w:rPr>
        <w:br/>
        <w:t>Ancient Sources-</w:t>
      </w:r>
      <w:r>
        <w:rPr>
          <w:u w:val="single"/>
        </w:rPr>
        <w:br/>
      </w:r>
      <w:r>
        <w:t xml:space="preserve">Catullus, </w:t>
      </w:r>
      <w:r>
        <w:rPr>
          <w:i/>
        </w:rPr>
        <w:t xml:space="preserve">The Complete Poems. </w:t>
      </w:r>
      <w:r>
        <w:t>Guy Lee (</w:t>
      </w:r>
      <w:proofErr w:type="gramStart"/>
      <w:r>
        <w:t>trans</w:t>
      </w:r>
      <w:proofErr w:type="gramEnd"/>
      <w:r>
        <w:t>.). 1990. Oxford: Oxford University Press</w:t>
      </w:r>
      <w:r>
        <w:br/>
      </w:r>
      <w:r w:rsidRPr="001C7184">
        <w:t xml:space="preserve">Euripides, </w:t>
      </w:r>
      <w:r w:rsidRPr="001C7184">
        <w:rPr>
          <w:i/>
        </w:rPr>
        <w:t>Medea and Other Plays.</w:t>
      </w:r>
      <w:r w:rsidRPr="001C7184">
        <w:t xml:space="preserve"> Philip </w:t>
      </w:r>
      <w:proofErr w:type="spellStart"/>
      <w:r w:rsidRPr="001C7184">
        <w:t>Vellacott</w:t>
      </w:r>
      <w:proofErr w:type="spellEnd"/>
      <w:r w:rsidRPr="001C7184">
        <w:t xml:space="preserve"> (</w:t>
      </w:r>
      <w:proofErr w:type="gramStart"/>
      <w:r w:rsidRPr="001C7184">
        <w:t>trans</w:t>
      </w:r>
      <w:proofErr w:type="gramEnd"/>
      <w:r w:rsidRPr="001C7184">
        <w:t>.). 1963. London: Penguin</w:t>
      </w:r>
      <w:r>
        <w:br/>
        <w:t xml:space="preserve">Hesiod, </w:t>
      </w:r>
      <w:r w:rsidRPr="006C5747">
        <w:rPr>
          <w:bCs/>
          <w:i/>
          <w:lang w:val="en"/>
        </w:rPr>
        <w:t xml:space="preserve">Theogony. Works and Days. </w:t>
      </w:r>
      <w:proofErr w:type="spellStart"/>
      <w:r w:rsidRPr="006C5747">
        <w:rPr>
          <w:bCs/>
          <w:i/>
          <w:lang w:val="en"/>
        </w:rPr>
        <w:t>Testimonia</w:t>
      </w:r>
      <w:proofErr w:type="spellEnd"/>
      <w:r>
        <w:t xml:space="preserve">. </w:t>
      </w:r>
      <w:r w:rsidRPr="006C5747">
        <w:t>Glenn W. Most</w:t>
      </w:r>
      <w:r>
        <w:t xml:space="preserve"> (</w:t>
      </w:r>
      <w:proofErr w:type="gramStart"/>
      <w:r>
        <w:t>trans</w:t>
      </w:r>
      <w:proofErr w:type="gramEnd"/>
      <w:r>
        <w:t>.). 2007. Loeb</w:t>
      </w:r>
      <w:r>
        <w:br/>
      </w:r>
      <w:r w:rsidRPr="001C7184">
        <w:t xml:space="preserve">Homer, </w:t>
      </w:r>
      <w:proofErr w:type="gramStart"/>
      <w:r w:rsidRPr="001C7184">
        <w:rPr>
          <w:i/>
        </w:rPr>
        <w:t>The</w:t>
      </w:r>
      <w:proofErr w:type="gramEnd"/>
      <w:r w:rsidRPr="001C7184">
        <w:rPr>
          <w:i/>
        </w:rPr>
        <w:t xml:space="preserve"> Iliad. </w:t>
      </w:r>
      <w:r w:rsidRPr="001C7184">
        <w:t xml:space="preserve">E. V. </w:t>
      </w:r>
      <w:proofErr w:type="spellStart"/>
      <w:r w:rsidRPr="001C7184">
        <w:t>Rieu</w:t>
      </w:r>
      <w:proofErr w:type="spellEnd"/>
      <w:r w:rsidRPr="001C7184">
        <w:t xml:space="preserve"> (</w:t>
      </w:r>
      <w:proofErr w:type="gramStart"/>
      <w:r w:rsidRPr="001C7184">
        <w:t>trans</w:t>
      </w:r>
      <w:proofErr w:type="gramEnd"/>
      <w:r w:rsidRPr="001C7184">
        <w:t>.). 2003. London: Penguin</w:t>
      </w:r>
      <w:r>
        <w:br/>
      </w:r>
      <w:r w:rsidRPr="002E6215">
        <w:t>Lucretius</w:t>
      </w:r>
      <w:r>
        <w:t xml:space="preserve">, </w:t>
      </w:r>
      <w:r w:rsidRPr="002E6215">
        <w:rPr>
          <w:i/>
        </w:rPr>
        <w:t>On the Nature of Things</w:t>
      </w:r>
      <w:r>
        <w:rPr>
          <w:i/>
        </w:rPr>
        <w:t>.</w:t>
      </w:r>
      <w:r>
        <w:t xml:space="preserve"> </w:t>
      </w:r>
      <w:r w:rsidRPr="002E6215">
        <w:t>W. H. D. Rouse</w:t>
      </w:r>
      <w:r>
        <w:t xml:space="preserve"> (</w:t>
      </w:r>
      <w:proofErr w:type="gramStart"/>
      <w:r>
        <w:t>trans</w:t>
      </w:r>
      <w:proofErr w:type="gramEnd"/>
      <w:r>
        <w:t>.). 1924. Loeb</w:t>
      </w:r>
    </w:p>
    <w:p w:rsidR="00A542B8" w:rsidRDefault="00A542B8" w:rsidP="00A542B8">
      <w:r w:rsidRPr="002E6215">
        <w:rPr>
          <w:u w:val="single"/>
        </w:rPr>
        <w:t>Modern Sources-</w:t>
      </w:r>
      <w:r>
        <w:rPr>
          <w:u w:val="single"/>
        </w:rPr>
        <w:br/>
      </w:r>
      <w:r w:rsidRPr="00F3289F">
        <w:t>Bramble</w:t>
      </w:r>
      <w:r>
        <w:t xml:space="preserve">, J. C. 1970, ‘Structure and Ambiguity in Catullus LXIV’, </w:t>
      </w:r>
      <w:r>
        <w:rPr>
          <w:i/>
        </w:rPr>
        <w:t xml:space="preserve">Proceedings of the Cambridge Philological Society, </w:t>
      </w:r>
      <w:r>
        <w:t>16, 22-</w:t>
      </w:r>
      <w:proofErr w:type="gramStart"/>
      <w:r>
        <w:t>41</w:t>
      </w:r>
      <w:r>
        <w:rPr>
          <w:i/>
        </w:rPr>
        <w:t xml:space="preserve">  </w:t>
      </w:r>
      <w:proofErr w:type="gramEnd"/>
      <w:r w:rsidRPr="00F3289F">
        <w:br/>
        <w:t>Day, M.</w:t>
      </w:r>
      <w:r w:rsidRPr="00CE0913">
        <w:t xml:space="preserve"> 2007. </w:t>
      </w:r>
      <w:r w:rsidRPr="000B7279">
        <w:rPr>
          <w:i/>
        </w:rPr>
        <w:t xml:space="preserve">100 Characters </w:t>
      </w:r>
      <w:proofErr w:type="gramStart"/>
      <w:r w:rsidRPr="000B7279">
        <w:rPr>
          <w:i/>
        </w:rPr>
        <w:t>From</w:t>
      </w:r>
      <w:proofErr w:type="gramEnd"/>
      <w:r w:rsidRPr="000B7279">
        <w:rPr>
          <w:i/>
        </w:rPr>
        <w:t xml:space="preserve"> Classical Mythology</w:t>
      </w:r>
      <w:r w:rsidRPr="00CE0913">
        <w:t>. New York: Barron’s</w:t>
      </w:r>
      <w:r>
        <w:br/>
        <w:t>DeBrohun, J.B. 2007, ‘</w:t>
      </w:r>
      <w:proofErr w:type="spellStart"/>
      <w:r>
        <w:t>Catullan</w:t>
      </w:r>
      <w:proofErr w:type="spellEnd"/>
      <w:r>
        <w:t xml:space="preserve"> Intertextuality: Apollonius and the Allusive Plot of Catullus 64’, in M.B. Skinner (ed.), </w:t>
      </w:r>
      <w:r>
        <w:rPr>
          <w:i/>
        </w:rPr>
        <w:t>A Companion to Catullus,</w:t>
      </w:r>
      <w:r>
        <w:t xml:space="preserve"> Oxford: Blackwell Publishing Ltd, 276-293</w:t>
      </w:r>
      <w:r>
        <w:br/>
        <w:t xml:space="preserve">Godwin, J. 1995, </w:t>
      </w:r>
      <w:r>
        <w:rPr>
          <w:i/>
        </w:rPr>
        <w:t>Catullus Poems 61-68</w:t>
      </w:r>
      <w:r>
        <w:t xml:space="preserve">, Warminster: </w:t>
      </w:r>
      <w:proofErr w:type="spellStart"/>
      <w:r>
        <w:t>Aris</w:t>
      </w:r>
      <w:proofErr w:type="spellEnd"/>
      <w:r>
        <w:t xml:space="preserve"> &amp; Philips Ltd</w:t>
      </w:r>
      <w:r>
        <w:br/>
        <w:t xml:space="preserve">Hurley, A. K. 2004, </w:t>
      </w:r>
      <w:r>
        <w:rPr>
          <w:i/>
        </w:rPr>
        <w:t>Catullus,</w:t>
      </w:r>
      <w:r>
        <w:t xml:space="preserve"> London: Bristol Classical Press</w:t>
      </w:r>
    </w:p>
    <w:p w:rsidR="00A542B8" w:rsidRDefault="00A542B8"/>
    <w:sectPr w:rsidR="00A54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966" w:rsidRDefault="00870966" w:rsidP="00F55F95">
      <w:pPr>
        <w:spacing w:after="0" w:line="240" w:lineRule="auto"/>
      </w:pPr>
      <w:r>
        <w:separator/>
      </w:r>
    </w:p>
  </w:endnote>
  <w:endnote w:type="continuationSeparator" w:id="0">
    <w:p w:rsidR="00870966" w:rsidRDefault="00870966" w:rsidP="00F55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966" w:rsidRDefault="00870966" w:rsidP="00F55F95">
      <w:pPr>
        <w:spacing w:after="0" w:line="240" w:lineRule="auto"/>
      </w:pPr>
      <w:r>
        <w:separator/>
      </w:r>
    </w:p>
  </w:footnote>
  <w:footnote w:type="continuationSeparator" w:id="0">
    <w:p w:rsidR="00870966" w:rsidRDefault="00870966" w:rsidP="00F55F95">
      <w:pPr>
        <w:spacing w:after="0" w:line="240" w:lineRule="auto"/>
      </w:pPr>
      <w:r>
        <w:continuationSeparator/>
      </w:r>
    </w:p>
  </w:footnote>
  <w:footnote w:id="1">
    <w:p w:rsidR="00F55F95" w:rsidRDefault="00F55F95">
      <w:pPr>
        <w:pStyle w:val="FootnoteText"/>
      </w:pPr>
      <w:r>
        <w:rPr>
          <w:rStyle w:val="FootnoteReference"/>
        </w:rPr>
        <w:footnoteRef/>
      </w:r>
      <w:r>
        <w:t xml:space="preserve"> Catul.64.338</w:t>
      </w:r>
    </w:p>
  </w:footnote>
  <w:footnote w:id="2">
    <w:p w:rsidR="00077504" w:rsidRDefault="00077504">
      <w:pPr>
        <w:pStyle w:val="FootnoteText"/>
      </w:pPr>
      <w:r>
        <w:rPr>
          <w:rStyle w:val="FootnoteReference"/>
        </w:rPr>
        <w:footnoteRef/>
      </w:r>
      <w:r>
        <w:t xml:space="preserve"> Catul.64.</w:t>
      </w:r>
      <w:r w:rsidR="003B259D">
        <w:t>362-</w:t>
      </w:r>
      <w:r>
        <w:t>70</w:t>
      </w:r>
    </w:p>
  </w:footnote>
  <w:footnote w:id="3">
    <w:p w:rsidR="003B259D" w:rsidRDefault="003B259D">
      <w:pPr>
        <w:pStyle w:val="FootnoteText"/>
      </w:pPr>
      <w:r>
        <w:rPr>
          <w:rStyle w:val="FootnoteReference"/>
        </w:rPr>
        <w:footnoteRef/>
      </w:r>
      <w:r>
        <w:t xml:space="preserve"> Catul.64.364</w:t>
      </w:r>
    </w:p>
  </w:footnote>
  <w:footnote w:id="4">
    <w:p w:rsidR="003B259D" w:rsidRDefault="003B259D">
      <w:pPr>
        <w:pStyle w:val="FootnoteText"/>
      </w:pPr>
      <w:r>
        <w:rPr>
          <w:rStyle w:val="FootnoteReference"/>
        </w:rPr>
        <w:footnoteRef/>
      </w:r>
      <w:r>
        <w:t xml:space="preserve"> Catul.64.370</w:t>
      </w:r>
    </w:p>
  </w:footnote>
  <w:footnote w:id="5">
    <w:p w:rsidR="003B259D" w:rsidRDefault="003B25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B259D">
        <w:t>Eur. Hec.</w:t>
      </w:r>
      <w:r>
        <w:t>521-82</w:t>
      </w:r>
    </w:p>
  </w:footnote>
  <w:footnote w:id="6">
    <w:p w:rsidR="00E055DF" w:rsidRDefault="00E055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E055DF">
        <w:t>Lucr</w:t>
      </w:r>
      <w:proofErr w:type="spellEnd"/>
      <w:r w:rsidRPr="00E055DF">
        <w:t>.</w:t>
      </w:r>
      <w:r>
        <w:t xml:space="preserve"> 1.</w:t>
      </w:r>
      <w:r w:rsidR="006B705F">
        <w:t>84-101</w:t>
      </w:r>
    </w:p>
  </w:footnote>
  <w:footnote w:id="7">
    <w:p w:rsidR="00E055DF" w:rsidRDefault="00E055DF">
      <w:pPr>
        <w:pStyle w:val="FootnoteText"/>
      </w:pPr>
      <w:r>
        <w:rPr>
          <w:rStyle w:val="FootnoteReference"/>
        </w:rPr>
        <w:footnoteRef/>
      </w:r>
      <w:r>
        <w:t xml:space="preserve"> Day 2007:145</w:t>
      </w:r>
    </w:p>
  </w:footnote>
  <w:footnote w:id="8">
    <w:p w:rsidR="00E055DF" w:rsidRDefault="00E055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B705F">
        <w:t>Godwin 1995: 169</w:t>
      </w:r>
    </w:p>
  </w:footnote>
  <w:footnote w:id="9">
    <w:p w:rsidR="008203AE" w:rsidRDefault="008203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87F0E">
        <w:t>Catul.64.50-4</w:t>
      </w:r>
    </w:p>
  </w:footnote>
  <w:footnote w:id="10">
    <w:p w:rsidR="008203AE" w:rsidRDefault="008203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87F0E">
        <w:t>Catul.64.200</w:t>
      </w:r>
    </w:p>
  </w:footnote>
  <w:footnote w:id="11">
    <w:p w:rsidR="008203AE" w:rsidRDefault="008203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91D3F">
        <w:t>Godwin 1995:138</w:t>
      </w:r>
    </w:p>
  </w:footnote>
  <w:footnote w:id="12">
    <w:p w:rsidR="00587F0E" w:rsidRDefault="00587F0E">
      <w:pPr>
        <w:pStyle w:val="FootnoteText"/>
      </w:pPr>
      <w:r>
        <w:rPr>
          <w:rStyle w:val="FootnoteReference"/>
        </w:rPr>
        <w:footnoteRef/>
      </w:r>
      <w:r>
        <w:t xml:space="preserve"> Catul.64.20</w:t>
      </w:r>
    </w:p>
  </w:footnote>
  <w:footnote w:id="13">
    <w:p w:rsidR="00587F0E" w:rsidRDefault="00587F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87F0E">
        <w:t>DeBrohun</w:t>
      </w:r>
      <w:r>
        <w:t xml:space="preserve"> 2007: 305</w:t>
      </w:r>
    </w:p>
  </w:footnote>
  <w:footnote w:id="14">
    <w:p w:rsidR="00A47AA4" w:rsidRDefault="00A47A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D1664">
        <w:t>Catul.64.353-55</w:t>
      </w:r>
    </w:p>
  </w:footnote>
  <w:footnote w:id="15">
    <w:p w:rsidR="00A47AA4" w:rsidRDefault="00A47A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1D1664" w:rsidRPr="001D1664">
        <w:t>Hom</w:t>
      </w:r>
      <w:proofErr w:type="spellEnd"/>
      <w:r w:rsidR="001D1664" w:rsidRPr="001D1664">
        <w:t xml:space="preserve">. </w:t>
      </w:r>
      <w:r w:rsidR="001D1664" w:rsidRPr="001D1664">
        <w:rPr>
          <w:i/>
        </w:rPr>
        <w:t>Il</w:t>
      </w:r>
      <w:r w:rsidR="001D1664" w:rsidRPr="001D1664">
        <w:t>.</w:t>
      </w:r>
      <w:r>
        <w:t>11.67-71</w:t>
      </w:r>
    </w:p>
  </w:footnote>
  <w:footnote w:id="16">
    <w:p w:rsidR="001D1664" w:rsidRDefault="001D1664">
      <w:pPr>
        <w:pStyle w:val="FootnoteText"/>
      </w:pPr>
      <w:r>
        <w:rPr>
          <w:rStyle w:val="FootnoteReference"/>
        </w:rPr>
        <w:footnoteRef/>
      </w:r>
      <w:r>
        <w:t xml:space="preserve"> Godwin 1995:168</w:t>
      </w:r>
    </w:p>
  </w:footnote>
  <w:footnote w:id="17">
    <w:p w:rsidR="001D1664" w:rsidRPr="001D1664" w:rsidRDefault="001D16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Hom</w:t>
      </w:r>
      <w:proofErr w:type="spellEnd"/>
      <w:r>
        <w:t xml:space="preserve">. </w:t>
      </w:r>
      <w:r>
        <w:rPr>
          <w:i/>
        </w:rPr>
        <w:t>Il.</w:t>
      </w:r>
      <w:r>
        <w:t>20. 495-503</w:t>
      </w:r>
    </w:p>
  </w:footnote>
  <w:footnote w:id="18">
    <w:p w:rsidR="0028590F" w:rsidRDefault="002859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E4013">
        <w:t>Hurley 2004: 111-112</w:t>
      </w:r>
    </w:p>
  </w:footnote>
  <w:footnote w:id="19">
    <w:p w:rsidR="0028590F" w:rsidRDefault="0028590F">
      <w:pPr>
        <w:pStyle w:val="FootnoteText"/>
      </w:pPr>
      <w:r>
        <w:rPr>
          <w:rStyle w:val="FootnoteReference"/>
        </w:rPr>
        <w:footnoteRef/>
      </w:r>
      <w:r>
        <w:t xml:space="preserve"> Catul.64.345-46</w:t>
      </w:r>
    </w:p>
  </w:footnote>
  <w:footnote w:id="20">
    <w:p w:rsidR="00704A35" w:rsidRDefault="00704A35">
      <w:pPr>
        <w:pStyle w:val="FootnoteText"/>
      </w:pPr>
      <w:r>
        <w:rPr>
          <w:rStyle w:val="FootnoteReference"/>
        </w:rPr>
        <w:footnoteRef/>
      </w:r>
      <w:r>
        <w:t xml:space="preserve"> Catul.64.38-42</w:t>
      </w:r>
    </w:p>
  </w:footnote>
  <w:footnote w:id="21">
    <w:p w:rsidR="00704A35" w:rsidRDefault="00704A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827CA1" w:rsidRPr="00827CA1">
        <w:t>Verg</w:t>
      </w:r>
      <w:proofErr w:type="spellEnd"/>
      <w:r w:rsidR="00827CA1" w:rsidRPr="00827CA1">
        <w:rPr>
          <w:i/>
        </w:rPr>
        <w:t>. Ecl</w:t>
      </w:r>
      <w:r w:rsidR="00827CA1" w:rsidRPr="00827CA1">
        <w:t>.</w:t>
      </w:r>
      <w:r w:rsidR="00827CA1">
        <w:t>4.40-1</w:t>
      </w:r>
    </w:p>
  </w:footnote>
  <w:footnote w:id="22">
    <w:p w:rsidR="00827CA1" w:rsidRDefault="00827C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27CA1">
        <w:t>Godwin</w:t>
      </w:r>
      <w:r>
        <w:t xml:space="preserve"> 1995: 7-8</w:t>
      </w:r>
    </w:p>
  </w:footnote>
  <w:footnote w:id="23">
    <w:p w:rsidR="00704A35" w:rsidRDefault="00704A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7CA1">
        <w:t>Catul.64.11</w:t>
      </w:r>
    </w:p>
  </w:footnote>
  <w:footnote w:id="24">
    <w:p w:rsidR="00827CA1" w:rsidRDefault="00827CA1">
      <w:pPr>
        <w:pStyle w:val="FootnoteText"/>
      </w:pPr>
      <w:r>
        <w:rPr>
          <w:rStyle w:val="FootnoteReference"/>
        </w:rPr>
        <w:footnoteRef/>
      </w:r>
      <w:r>
        <w:t xml:space="preserve"> Bramble </w:t>
      </w:r>
      <w:r w:rsidR="00DF4A99">
        <w:t>1970: 38-9</w:t>
      </w:r>
    </w:p>
  </w:footnote>
  <w:footnote w:id="25">
    <w:p w:rsidR="00704A35" w:rsidRDefault="00704A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827CA1" w:rsidRPr="00827CA1">
        <w:t>Hes</w:t>
      </w:r>
      <w:proofErr w:type="spellEnd"/>
      <w:r w:rsidR="00827CA1" w:rsidRPr="00827CA1">
        <w:t xml:space="preserve">. </w:t>
      </w:r>
      <w:r w:rsidR="00827CA1" w:rsidRPr="00827CA1">
        <w:rPr>
          <w:i/>
        </w:rPr>
        <w:t>WD</w:t>
      </w:r>
      <w:r w:rsidR="00827CA1" w:rsidRPr="00827CA1">
        <w:t>.</w:t>
      </w:r>
      <w:r w:rsidR="00827CA1">
        <w:t>112-8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F95"/>
    <w:rsid w:val="00071C3A"/>
    <w:rsid w:val="00077504"/>
    <w:rsid w:val="000B13CA"/>
    <w:rsid w:val="000B24C4"/>
    <w:rsid w:val="000E4013"/>
    <w:rsid w:val="001D1664"/>
    <w:rsid w:val="001D6BD2"/>
    <w:rsid w:val="001E1B3B"/>
    <w:rsid w:val="0020740E"/>
    <w:rsid w:val="002339E8"/>
    <w:rsid w:val="0028590F"/>
    <w:rsid w:val="002D20F9"/>
    <w:rsid w:val="003B259D"/>
    <w:rsid w:val="00484527"/>
    <w:rsid w:val="005509BF"/>
    <w:rsid w:val="00587F0E"/>
    <w:rsid w:val="006B705F"/>
    <w:rsid w:val="00704A35"/>
    <w:rsid w:val="008203AE"/>
    <w:rsid w:val="00827CA1"/>
    <w:rsid w:val="00870966"/>
    <w:rsid w:val="008E341F"/>
    <w:rsid w:val="008F14F6"/>
    <w:rsid w:val="009A1142"/>
    <w:rsid w:val="009E4FA7"/>
    <w:rsid w:val="00A47AA4"/>
    <w:rsid w:val="00A542B8"/>
    <w:rsid w:val="00A637BC"/>
    <w:rsid w:val="00A72CD2"/>
    <w:rsid w:val="00A91D3F"/>
    <w:rsid w:val="00BF0063"/>
    <w:rsid w:val="00D95820"/>
    <w:rsid w:val="00DA67D6"/>
    <w:rsid w:val="00DF4A99"/>
    <w:rsid w:val="00E055DF"/>
    <w:rsid w:val="00E451A4"/>
    <w:rsid w:val="00EB1B3E"/>
    <w:rsid w:val="00F55F95"/>
    <w:rsid w:val="00FB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EEA352-2E54-4A49-8B97-59BC351C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55F9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55F9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55F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3C1E7-3CEC-4674-BACD-116CE1FB6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Archer</dc:creator>
  <cp:keywords/>
  <dc:description/>
  <cp:lastModifiedBy>Stacy Archer</cp:lastModifiedBy>
  <cp:revision>35</cp:revision>
  <dcterms:created xsi:type="dcterms:W3CDTF">2017-10-26T14:19:00Z</dcterms:created>
  <dcterms:modified xsi:type="dcterms:W3CDTF">2017-10-26T17:36:00Z</dcterms:modified>
</cp:coreProperties>
</file>