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79705" w14:textId="3D59DCAB" w:rsidR="00D84673" w:rsidRDefault="00D84673" w:rsidP="00C90CB9">
      <w:pPr>
        <w:rPr>
          <w:rFonts w:ascii="Arial" w:eastAsia="Times New Roman" w:hAnsi="Arial" w:cs="Arial"/>
          <w:color w:val="000000"/>
          <w:sz w:val="22"/>
          <w:szCs w:val="22"/>
        </w:rPr>
      </w:pPr>
      <w:r w:rsidRPr="00C90CB9">
        <w:rPr>
          <w:rFonts w:ascii="Arial" w:eastAsia="Times New Roman" w:hAnsi="Arial" w:cs="Arial"/>
          <w:color w:val="000000"/>
          <w:sz w:val="22"/>
          <w:szCs w:val="22"/>
          <w:u w:val="single"/>
        </w:rPr>
        <w:t xml:space="preserve">An analysis of the motivations of Hector and Achilles in the build up to their combat in Book 22 of </w:t>
      </w:r>
      <w:r w:rsidRPr="00C90CB9">
        <w:rPr>
          <w:rFonts w:ascii="Arial" w:eastAsia="Times New Roman" w:hAnsi="Arial" w:cs="Arial"/>
          <w:i/>
          <w:iCs/>
          <w:color w:val="000000"/>
          <w:sz w:val="22"/>
          <w:szCs w:val="22"/>
          <w:u w:val="single"/>
        </w:rPr>
        <w:t>The Iliad</w:t>
      </w:r>
    </w:p>
    <w:p w14:paraId="0778B8E5" w14:textId="77777777" w:rsidR="00D84673" w:rsidRDefault="00D84673" w:rsidP="00C90CB9">
      <w:pPr>
        <w:rPr>
          <w:rFonts w:ascii="Arial" w:eastAsia="Times New Roman" w:hAnsi="Arial" w:cs="Arial"/>
          <w:color w:val="000000"/>
          <w:sz w:val="22"/>
          <w:szCs w:val="22"/>
        </w:rPr>
      </w:pPr>
    </w:p>
    <w:p w14:paraId="4202906D" w14:textId="77777777" w:rsidR="001704F4" w:rsidRDefault="001704F4" w:rsidP="001704F4">
      <w:r>
        <w:t>Draft structure / Plan</w:t>
      </w:r>
    </w:p>
    <w:p w14:paraId="776B8953" w14:textId="77777777" w:rsidR="001704F4" w:rsidRPr="00AF0CF8" w:rsidRDefault="001704F4" w:rsidP="001704F4">
      <w:pPr>
        <w:spacing w:after="240"/>
        <w:rPr>
          <w:rFonts w:ascii="Times New Roman" w:eastAsia="Times New Roman" w:hAnsi="Times New Roman" w:cs="Times New Roman"/>
        </w:rPr>
      </w:pPr>
    </w:p>
    <w:p w14:paraId="73802C49" w14:textId="77777777" w:rsidR="001704F4" w:rsidRDefault="001704F4" w:rsidP="001704F4">
      <w:pPr>
        <w:rPr>
          <w:i/>
        </w:rPr>
      </w:pPr>
      <w:r w:rsidRPr="00040CF9">
        <w:rPr>
          <w:i/>
        </w:rPr>
        <w:t>Int</w:t>
      </w:r>
      <w:r>
        <w:rPr>
          <w:i/>
        </w:rPr>
        <w:t>r</w:t>
      </w:r>
      <w:r w:rsidRPr="00040CF9">
        <w:rPr>
          <w:i/>
        </w:rPr>
        <w:t>oduction</w:t>
      </w:r>
    </w:p>
    <w:p w14:paraId="172FE588" w14:textId="64EC6127" w:rsidR="001704F4" w:rsidRDefault="001704F4" w:rsidP="001704F4">
      <w:r>
        <w:tab/>
        <w:t xml:space="preserve">The intention of this essay is to analyse and compare the motivations of Achilles and Hector in the lead up to their combat in Book 22 of </w:t>
      </w:r>
      <w:r>
        <w:rPr>
          <w:i/>
        </w:rPr>
        <w:t>T</w:t>
      </w:r>
      <w:r w:rsidRPr="005E5077">
        <w:rPr>
          <w:i/>
        </w:rPr>
        <w:t>he Iliad</w:t>
      </w:r>
      <w:r>
        <w:t xml:space="preserve">. Within this analysis I will draw on scholarship from De Jong, Arieti, Zanker and other scholars who have commented on the text and the heroic values within the Homeric epic. The ancient text and translation that I shall mainly be using through this essay is </w:t>
      </w:r>
      <w:r w:rsidRPr="005E5077">
        <w:rPr>
          <w:i/>
        </w:rPr>
        <w:t>The Iliad</w:t>
      </w:r>
      <w:r>
        <w:t>, translated by P. Jones (2003).</w:t>
      </w:r>
    </w:p>
    <w:p w14:paraId="5B57FBF8" w14:textId="77777777" w:rsidR="00633C30" w:rsidRDefault="00633C30" w:rsidP="001704F4"/>
    <w:p w14:paraId="2385535F" w14:textId="77777777" w:rsidR="001704F4" w:rsidRPr="004054F8" w:rsidRDefault="001704F4" w:rsidP="001704F4"/>
    <w:p w14:paraId="4CDC297F" w14:textId="77777777" w:rsidR="001704F4" w:rsidRDefault="001704F4" w:rsidP="001704F4">
      <w:r>
        <w:rPr>
          <w:i/>
        </w:rPr>
        <w:t>Section 1: The motivations of Achilles and Hector</w:t>
      </w:r>
    </w:p>
    <w:p w14:paraId="3530B9A4" w14:textId="77777777" w:rsidR="001704F4" w:rsidRDefault="001704F4" w:rsidP="001704F4">
      <w:r>
        <w:t>A close analysis of the text will identify the primary motivations, the interpretation of which will be developed through readings of the secondary scholarship.</w:t>
      </w:r>
    </w:p>
    <w:p w14:paraId="294E8D84" w14:textId="77777777" w:rsidR="001704F4" w:rsidRPr="008F4E10" w:rsidRDefault="001704F4" w:rsidP="001704F4"/>
    <w:p w14:paraId="4597B8A0" w14:textId="77777777" w:rsidR="001704F4" w:rsidRDefault="001704F4" w:rsidP="001704F4">
      <w:r w:rsidRPr="00040CF9">
        <w:rPr>
          <w:i/>
        </w:rPr>
        <w:t>a)</w:t>
      </w:r>
      <w:r>
        <w:rPr>
          <w:i/>
        </w:rPr>
        <w:t xml:space="preserve"> </w:t>
      </w:r>
      <w:r w:rsidRPr="00040CF9">
        <w:rPr>
          <w:i/>
        </w:rPr>
        <w:t>Achilles’ motivations</w:t>
      </w:r>
    </w:p>
    <w:p w14:paraId="6892AA63" w14:textId="77777777" w:rsidR="001704F4" w:rsidRDefault="001704F4" w:rsidP="001704F4">
      <w:pPr>
        <w:pStyle w:val="ListParagraph"/>
        <w:numPr>
          <w:ilvl w:val="0"/>
          <w:numId w:val="1"/>
        </w:numPr>
      </w:pPr>
      <w:r>
        <w:t>Achilles’ guilt/shame at Patroclus’ death pushes him to re-join the combat. His guilt/shame could be seen as one of his primary motivations.</w:t>
      </w:r>
    </w:p>
    <w:p w14:paraId="5D9F971E" w14:textId="77777777" w:rsidR="001704F4" w:rsidRDefault="001704F4" w:rsidP="001704F4">
      <w:pPr>
        <w:pStyle w:val="ListParagraph"/>
        <w:numPr>
          <w:ilvl w:val="1"/>
          <w:numId w:val="1"/>
        </w:numPr>
      </w:pPr>
      <w:r>
        <w:t>When Achilles is first told of Patroclus’ death he falls on the floor instantly and starts moaning and lamenting his death, and whilst in the position he “confesses his feelings of guilt” (Arieti, 1985, 196).</w:t>
      </w:r>
    </w:p>
    <w:p w14:paraId="4E753D1A" w14:textId="77777777" w:rsidR="001704F4" w:rsidRDefault="001704F4" w:rsidP="001704F4">
      <w:pPr>
        <w:pStyle w:val="ListParagraph"/>
        <w:numPr>
          <w:ilvl w:val="1"/>
          <w:numId w:val="1"/>
        </w:numPr>
      </w:pPr>
      <w:r>
        <w:t>From this position Achilles feels that he himself should die as a result of not fighting and leaving his comrades, namely Patroclus, to die (Arieti, 1985, 202).</w:t>
      </w:r>
    </w:p>
    <w:p w14:paraId="02B5FB2C" w14:textId="77777777" w:rsidR="001704F4" w:rsidRDefault="001704F4" w:rsidP="001704F4">
      <w:pPr>
        <w:pStyle w:val="ListParagraph"/>
        <w:numPr>
          <w:ilvl w:val="0"/>
          <w:numId w:val="1"/>
        </w:numPr>
      </w:pPr>
      <w:r>
        <w:t>Anger/wrath: The first line of the Iliad tells us that the poem is about the “wrath of Achilles”, this can be seen as another primary motivation, and may be endemic in his character.</w:t>
      </w:r>
    </w:p>
    <w:p w14:paraId="1A71699B" w14:textId="77777777" w:rsidR="001704F4" w:rsidRDefault="001704F4" w:rsidP="001704F4">
      <w:pPr>
        <w:pStyle w:val="ListParagraph"/>
        <w:numPr>
          <w:ilvl w:val="1"/>
          <w:numId w:val="1"/>
        </w:numPr>
      </w:pPr>
      <w:r>
        <w:t>From Book 18, after the death of Patroclus, Achilles’ wrath switches from being aimed at Agamemnon to Hector.</w:t>
      </w:r>
    </w:p>
    <w:p w14:paraId="0BED0FA5" w14:textId="77777777" w:rsidR="001704F4" w:rsidRDefault="001704F4" w:rsidP="001704F4">
      <w:pPr>
        <w:pStyle w:val="ListParagraph"/>
        <w:numPr>
          <w:ilvl w:val="1"/>
          <w:numId w:val="1"/>
        </w:numPr>
      </w:pPr>
      <w:r>
        <w:t>Wrath towards Hector: Achilles “is angrier at Hector than Hector deserves” (Arieti, 1985, 201).</w:t>
      </w:r>
    </w:p>
    <w:p w14:paraId="207DD721" w14:textId="77777777" w:rsidR="001704F4" w:rsidRDefault="001704F4" w:rsidP="001704F4">
      <w:pPr>
        <w:pStyle w:val="ListParagraph"/>
        <w:numPr>
          <w:ilvl w:val="0"/>
          <w:numId w:val="1"/>
        </w:numPr>
      </w:pPr>
      <w:r>
        <w:t>Revenge: this is an expression of a value rather than value in itself. Achilles’ decision in Book 18 to kill Hector in revenge for the death of Patroclus (18.93), is realised in Book 22.</w:t>
      </w:r>
    </w:p>
    <w:p w14:paraId="16B2CA95" w14:textId="378F39A4" w:rsidR="001704F4" w:rsidRDefault="001704F4" w:rsidP="001704F4">
      <w:pPr>
        <w:pStyle w:val="ListParagraph"/>
        <w:numPr>
          <w:ilvl w:val="1"/>
          <w:numId w:val="1"/>
        </w:numPr>
      </w:pPr>
      <w:r>
        <w:t>Revenge effectively becomes an expression of Achilles’ wrath: “life has narrowed down to taking revenge for Patroclus’ death on Hector” (Van de Mije, 2009, 380)</w:t>
      </w:r>
    </w:p>
    <w:p w14:paraId="0CA31D1A" w14:textId="768E181D" w:rsidR="00633C30" w:rsidRDefault="00633C30" w:rsidP="00633C30"/>
    <w:p w14:paraId="443FF6D0" w14:textId="77777777" w:rsidR="00633C30" w:rsidRDefault="00633C30" w:rsidP="00633C30"/>
    <w:p w14:paraId="64127571" w14:textId="77777777" w:rsidR="001704F4" w:rsidRDefault="001704F4" w:rsidP="001704F4">
      <w:r>
        <w:rPr>
          <w:i/>
        </w:rPr>
        <w:t xml:space="preserve">b) </w:t>
      </w:r>
      <w:r w:rsidRPr="00040CF9">
        <w:rPr>
          <w:i/>
        </w:rPr>
        <w:t>Hector’s motivations</w:t>
      </w:r>
    </w:p>
    <w:p w14:paraId="33305C8C" w14:textId="77777777" w:rsidR="001704F4" w:rsidRDefault="001704F4" w:rsidP="001704F4">
      <w:pPr>
        <w:pStyle w:val="ListParagraph"/>
        <w:numPr>
          <w:ilvl w:val="0"/>
          <w:numId w:val="2"/>
        </w:numPr>
      </w:pPr>
      <w:r>
        <w:t>Duty</w:t>
      </w:r>
    </w:p>
    <w:p w14:paraId="615B414C" w14:textId="77777777" w:rsidR="001704F4" w:rsidRDefault="001704F4" w:rsidP="001704F4">
      <w:pPr>
        <w:pStyle w:val="ListParagraph"/>
        <w:numPr>
          <w:ilvl w:val="1"/>
          <w:numId w:val="2"/>
        </w:numPr>
      </w:pPr>
      <w:r>
        <w:t>Hector has a duty to his city, his family and himself.</w:t>
      </w:r>
    </w:p>
    <w:p w14:paraId="04E4E3AB" w14:textId="77777777" w:rsidR="001704F4" w:rsidRDefault="001704F4" w:rsidP="001704F4">
      <w:pPr>
        <w:pStyle w:val="ListParagraph"/>
        <w:numPr>
          <w:ilvl w:val="1"/>
          <w:numId w:val="2"/>
        </w:numPr>
      </w:pPr>
      <w:r>
        <w:t xml:space="preserve"> Hector is seen as the “saviour of Troy” (Arieti, 1985, 202), he’s their strongest fighter and the leader of their armies.</w:t>
      </w:r>
    </w:p>
    <w:p w14:paraId="4269C9D8" w14:textId="37E06BAA" w:rsidR="00633C30" w:rsidRDefault="001704F4" w:rsidP="00633C30">
      <w:pPr>
        <w:pStyle w:val="ListParagraph"/>
        <w:numPr>
          <w:ilvl w:val="1"/>
          <w:numId w:val="2"/>
        </w:numPr>
      </w:pPr>
      <w:r>
        <w:t>He knows that Troy will perish if he fails.</w:t>
      </w:r>
    </w:p>
    <w:p w14:paraId="596CD8B8" w14:textId="77777777" w:rsidR="001704F4" w:rsidRPr="005F2F5F" w:rsidRDefault="001704F4" w:rsidP="001704F4">
      <w:pPr>
        <w:pStyle w:val="ListParagraph"/>
        <w:numPr>
          <w:ilvl w:val="0"/>
          <w:numId w:val="2"/>
        </w:numPr>
        <w:rPr>
          <w:rFonts w:eastAsia="Times New Roman" w:cs="Times New Roman"/>
        </w:rPr>
      </w:pPr>
      <w:r w:rsidRPr="005F2F5F">
        <w:lastRenderedPageBreak/>
        <w:t>Tim</w:t>
      </w:r>
      <w:r w:rsidRPr="005F2F5F">
        <w:rPr>
          <w:rFonts w:eastAsia="Times New Roman" w:cs="Arial"/>
          <w:color w:val="000000"/>
        </w:rPr>
        <w:t>ē</w:t>
      </w:r>
    </w:p>
    <w:p w14:paraId="3FC2E0C9" w14:textId="77777777" w:rsidR="001704F4" w:rsidRPr="0064539C" w:rsidRDefault="001704F4" w:rsidP="001704F4">
      <w:pPr>
        <w:pStyle w:val="ListParagraph"/>
        <w:numPr>
          <w:ilvl w:val="1"/>
          <w:numId w:val="2"/>
        </w:numPr>
        <w:rPr>
          <w:rFonts w:eastAsia="Times New Roman" w:cs="Times New Roman"/>
        </w:rPr>
      </w:pPr>
      <w:r>
        <w:rPr>
          <w:rFonts w:eastAsia="Times New Roman" w:cs="Times New Roman"/>
        </w:rPr>
        <w:t xml:space="preserve">Hector’s strategic error in not taking Polydamas’ advice (13.725-68) results in potential loss of </w:t>
      </w:r>
      <w:r>
        <w:t>timē</w:t>
      </w:r>
      <w:r>
        <w:rPr>
          <w:rFonts w:eastAsia="Times New Roman" w:cs="Arial"/>
          <w:color w:val="000000"/>
        </w:rPr>
        <w:t xml:space="preserve"> hence his refusal to retreat inside the walls with the rest of his men (22.1-24; Farron 1978, 53; Van der Mije, 2009, 379).</w:t>
      </w:r>
    </w:p>
    <w:p w14:paraId="323665F9" w14:textId="77777777" w:rsidR="001704F4" w:rsidRPr="00E0732E" w:rsidRDefault="001704F4" w:rsidP="001704F4">
      <w:pPr>
        <w:pStyle w:val="ListParagraph"/>
        <w:numPr>
          <w:ilvl w:val="1"/>
          <w:numId w:val="2"/>
        </w:numPr>
        <w:rPr>
          <w:rFonts w:eastAsia="Times New Roman" w:cs="Times New Roman"/>
        </w:rPr>
      </w:pPr>
      <w:r>
        <w:rPr>
          <w:rFonts w:eastAsia="Times New Roman" w:cs="Times New Roman"/>
        </w:rPr>
        <w:t xml:space="preserve">This can be interpreted as him trying to live up to the </w:t>
      </w:r>
      <w:r>
        <w:t>timē placed on him by the city.</w:t>
      </w:r>
    </w:p>
    <w:p w14:paraId="6BF2CAF6" w14:textId="77777777" w:rsidR="001704F4" w:rsidRDefault="001704F4" w:rsidP="001704F4">
      <w:pPr>
        <w:pStyle w:val="ListParagraph"/>
        <w:numPr>
          <w:ilvl w:val="0"/>
          <w:numId w:val="2"/>
        </w:numPr>
      </w:pPr>
      <w:r>
        <w:t>Fear: this is not a value, but rather an expression of Hector’s response to his self-perceived failure of maintaining timē.</w:t>
      </w:r>
    </w:p>
    <w:p w14:paraId="5C612079" w14:textId="77777777" w:rsidR="001704F4" w:rsidRDefault="001704F4" w:rsidP="001704F4">
      <w:pPr>
        <w:pStyle w:val="ListParagraph"/>
        <w:numPr>
          <w:ilvl w:val="1"/>
          <w:numId w:val="2"/>
        </w:numPr>
      </w:pPr>
      <w:r>
        <w:t>Hector’s parents are unable to shake his resolve and move inside the city walls, and his determination is compared in a simile to the anger of a mountain snake that has eaten bad herbs (22.92-7). However, as soon as Hector spies Achilles running towards him he trembles and flees from his spot (22.138).</w:t>
      </w:r>
    </w:p>
    <w:p w14:paraId="1527AB62" w14:textId="596A3B06" w:rsidR="001704F4" w:rsidRDefault="001704F4" w:rsidP="001704F4">
      <w:pPr>
        <w:pStyle w:val="ListParagraph"/>
        <w:numPr>
          <w:ilvl w:val="1"/>
          <w:numId w:val="2"/>
        </w:numPr>
      </w:pPr>
      <w:r>
        <w:t>Hector’s stubbornness in the lines 22.1-24 turns to fear at the sight of Achilles running towards him (22.138). This results in him appearing cowardly which is confirmed with Homer’s use of the snake simile (22.92-7).</w:t>
      </w:r>
    </w:p>
    <w:p w14:paraId="5B673E87" w14:textId="77777777" w:rsidR="00633C30" w:rsidRPr="00471D8A" w:rsidRDefault="00633C30" w:rsidP="00633C30"/>
    <w:p w14:paraId="2DE697E2" w14:textId="77777777" w:rsidR="001704F4" w:rsidRPr="00471D8A" w:rsidRDefault="001704F4" w:rsidP="001704F4"/>
    <w:p w14:paraId="025D854F" w14:textId="77777777" w:rsidR="001704F4" w:rsidRDefault="001704F4" w:rsidP="001704F4">
      <w:pPr>
        <w:rPr>
          <w:i/>
        </w:rPr>
      </w:pPr>
      <w:r>
        <w:rPr>
          <w:i/>
        </w:rPr>
        <w:t>Section 2: A closer analysis / comparison of the motivations</w:t>
      </w:r>
    </w:p>
    <w:p w14:paraId="58CFD0C2" w14:textId="77777777" w:rsidR="001704F4" w:rsidRPr="00DB425F" w:rsidRDefault="001704F4" w:rsidP="001704F4">
      <w:r>
        <w:tab/>
        <w:t xml:space="preserve">Further analysis of the motivations of Hector and Achilles reveals the difference in the core of their motivations, the expression of those motivations within the narrative and how the narrative is therefore shaped. Hector’s motivations can be read as more cooperatively based, whereas Achilles’ motivations are more individualistic. This section of the essay intends to explore this closer analysis of the motivations of the characters and how they fit into the standard of ancient antiquity. Secondary sources on the themes of honour, duty, and other heroic values will be considered (Long, 1970; Finkelberg, 1998; Gagarin, 1987; Hooker, 1987). The language and particularly the similes used within the section of </w:t>
      </w:r>
      <w:r>
        <w:rPr>
          <w:i/>
        </w:rPr>
        <w:t>The Iliad</w:t>
      </w:r>
      <w:r>
        <w:t xml:space="preserve"> give a sense of inevitability as to the outcome of the combat between Hector and Achilles, and reinforces the idea that no matter the motivations of each character they are both fated towards this particular combat as a result of the qualities and values inherent in their characters. </w:t>
      </w:r>
    </w:p>
    <w:p w14:paraId="321946C5" w14:textId="77777777" w:rsidR="00633C30" w:rsidRDefault="00633C30" w:rsidP="001704F4"/>
    <w:p w14:paraId="0D2F7469" w14:textId="77777777" w:rsidR="001704F4" w:rsidRPr="00633C30" w:rsidRDefault="001704F4" w:rsidP="001704F4"/>
    <w:p w14:paraId="70919797" w14:textId="77777777" w:rsidR="001704F4" w:rsidRDefault="001704F4" w:rsidP="001704F4">
      <w:pPr>
        <w:rPr>
          <w:i/>
        </w:rPr>
      </w:pPr>
      <w:r>
        <w:rPr>
          <w:i/>
        </w:rPr>
        <w:t>Conclusion</w:t>
      </w:r>
    </w:p>
    <w:p w14:paraId="1C716595" w14:textId="79FA71BA" w:rsidR="001704F4" w:rsidRDefault="001704F4" w:rsidP="001704F4">
      <w:r>
        <w:tab/>
        <w:t xml:space="preserve">On first reading, the motivations within Book 22 of </w:t>
      </w:r>
      <w:r w:rsidRPr="00A57155">
        <w:rPr>
          <w:i/>
        </w:rPr>
        <w:t>The Iliad</w:t>
      </w:r>
      <w:r>
        <w:t xml:space="preserve"> are the clashing of a </w:t>
      </w:r>
      <w:bookmarkStart w:id="0" w:name="_GoBack"/>
      <w:bookmarkEnd w:id="0"/>
      <w:r w:rsidR="00633C30">
        <w:t>build-up</w:t>
      </w:r>
      <w:r>
        <w:t xml:space="preserve"> of feelings and emotions from the moment that Hector kills Patroclus in Book 16. Further avenues of research could include a deeper look into the role of fate within Book 22 of </w:t>
      </w:r>
      <w:r w:rsidRPr="00DB425F">
        <w:rPr>
          <w:i/>
        </w:rPr>
        <w:t>The Iliad</w:t>
      </w:r>
      <w:r>
        <w:t xml:space="preserve"> ‘</w:t>
      </w:r>
      <w:r w:rsidRPr="00DB425F">
        <w:rPr>
          <w:i/>
        </w:rPr>
        <w:t xml:space="preserve">The </w:t>
      </w:r>
      <w:r>
        <w:rPr>
          <w:i/>
        </w:rPr>
        <w:t>D</w:t>
      </w:r>
      <w:r w:rsidRPr="00DB425F">
        <w:rPr>
          <w:i/>
        </w:rPr>
        <w:t>eath of Hector</w:t>
      </w:r>
      <w:r>
        <w:t>’ and its comparison against the free will of the characters involved.</w:t>
      </w:r>
      <w:r w:rsidRPr="004B244F">
        <w:t xml:space="preserve"> </w:t>
      </w:r>
      <w:r>
        <w:t>The conclusion will also acknowledge the coming together of these three elements; Achilles’ motivations, Hector’s motivations and fate to produce the outcome at the end of Book 22.</w:t>
      </w:r>
    </w:p>
    <w:p w14:paraId="474D5828" w14:textId="4552C3FE" w:rsidR="001704F4" w:rsidRDefault="001704F4" w:rsidP="00C90CB9">
      <w:pPr>
        <w:rPr>
          <w:rFonts w:ascii="Arial" w:eastAsia="Times New Roman" w:hAnsi="Arial" w:cs="Arial"/>
          <w:color w:val="000000"/>
          <w:sz w:val="22"/>
          <w:szCs w:val="22"/>
        </w:rPr>
      </w:pPr>
    </w:p>
    <w:p w14:paraId="427FD36F" w14:textId="3CDF172D" w:rsidR="001704F4" w:rsidRDefault="001704F4" w:rsidP="00C90CB9">
      <w:pPr>
        <w:rPr>
          <w:rFonts w:ascii="Arial" w:eastAsia="Times New Roman" w:hAnsi="Arial" w:cs="Arial"/>
          <w:color w:val="000000"/>
          <w:sz w:val="22"/>
          <w:szCs w:val="22"/>
        </w:rPr>
      </w:pPr>
      <w:r>
        <w:rPr>
          <w:rFonts w:ascii="Arial" w:eastAsia="Times New Roman" w:hAnsi="Arial" w:cs="Arial"/>
          <w:color w:val="000000"/>
          <w:sz w:val="22"/>
          <w:szCs w:val="22"/>
        </w:rPr>
        <w:br w:type="page"/>
      </w:r>
    </w:p>
    <w:p w14:paraId="7AEF1B98" w14:textId="77777777" w:rsidR="001704F4" w:rsidRDefault="001704F4" w:rsidP="00C90CB9">
      <w:pPr>
        <w:rPr>
          <w:rFonts w:ascii="Arial" w:eastAsia="Times New Roman" w:hAnsi="Arial" w:cs="Arial"/>
          <w:color w:val="000000"/>
          <w:sz w:val="22"/>
          <w:szCs w:val="22"/>
        </w:rPr>
      </w:pPr>
    </w:p>
    <w:p w14:paraId="59AACA06" w14:textId="7D3BD1DE" w:rsidR="00C90CB9" w:rsidRPr="00D84673" w:rsidRDefault="00C90CB9" w:rsidP="00C90CB9">
      <w:pPr>
        <w:rPr>
          <w:rFonts w:ascii="Arial" w:eastAsia="Times New Roman" w:hAnsi="Arial" w:cs="Arial"/>
          <w:color w:val="000000"/>
          <w:sz w:val="22"/>
          <w:szCs w:val="22"/>
        </w:rPr>
      </w:pPr>
      <w:r w:rsidRPr="00C90CB9">
        <w:rPr>
          <w:rFonts w:ascii="Arial" w:eastAsia="Times New Roman" w:hAnsi="Arial" w:cs="Arial"/>
          <w:color w:val="000000"/>
          <w:sz w:val="22"/>
          <w:szCs w:val="22"/>
        </w:rPr>
        <w:t>Abstract</w:t>
      </w:r>
    </w:p>
    <w:p w14:paraId="00D6183B" w14:textId="77777777" w:rsidR="00FB19EB" w:rsidRPr="00C90CB9" w:rsidRDefault="00FB19EB" w:rsidP="00C90CB9">
      <w:pPr>
        <w:rPr>
          <w:rFonts w:ascii="-webkit-standard" w:eastAsia="Times New Roman" w:hAnsi="-webkit-standard" w:cs="Times New Roman"/>
          <w:color w:val="000000"/>
        </w:rPr>
      </w:pPr>
    </w:p>
    <w:p w14:paraId="08152E03" w14:textId="40A3461C" w:rsidR="00C90CB9" w:rsidRDefault="00C90CB9" w:rsidP="00C90CB9">
      <w:pPr>
        <w:rPr>
          <w:rFonts w:ascii="Arial" w:eastAsia="Times New Roman" w:hAnsi="Arial" w:cs="Arial"/>
          <w:color w:val="000000" w:themeColor="text1"/>
          <w:sz w:val="22"/>
          <w:szCs w:val="22"/>
        </w:rPr>
      </w:pPr>
      <w:r w:rsidRPr="00C90CB9">
        <w:rPr>
          <w:rFonts w:ascii="Arial" w:eastAsia="Times New Roman" w:hAnsi="Arial" w:cs="Arial"/>
          <w:color w:val="000000" w:themeColor="text1"/>
          <w:sz w:val="22"/>
          <w:szCs w:val="22"/>
        </w:rPr>
        <w:t xml:space="preserve">This essay will analyse the motivations of Achilles and Hector in the lead up to their combat in </w:t>
      </w:r>
      <w:r w:rsidRPr="00C90CB9">
        <w:rPr>
          <w:rFonts w:ascii="Arial" w:eastAsia="Times New Roman" w:hAnsi="Arial" w:cs="Arial"/>
          <w:i/>
          <w:iCs/>
          <w:color w:val="000000" w:themeColor="text1"/>
          <w:sz w:val="22"/>
          <w:szCs w:val="22"/>
        </w:rPr>
        <w:t>The Iliad</w:t>
      </w:r>
      <w:r w:rsidRPr="00C90CB9">
        <w:rPr>
          <w:rFonts w:ascii="Arial" w:eastAsia="Times New Roman" w:hAnsi="Arial" w:cs="Arial"/>
          <w:color w:val="000000" w:themeColor="text1"/>
          <w:sz w:val="22"/>
          <w:szCs w:val="22"/>
        </w:rPr>
        <w:t xml:space="preserve"> (Jones, 2003), in Book 22 </w:t>
      </w:r>
      <w:r w:rsidRPr="00C90CB9">
        <w:rPr>
          <w:rFonts w:ascii="Arial" w:eastAsia="Times New Roman" w:hAnsi="Arial" w:cs="Arial"/>
          <w:i/>
          <w:iCs/>
          <w:color w:val="000000" w:themeColor="text1"/>
          <w:sz w:val="22"/>
          <w:szCs w:val="22"/>
        </w:rPr>
        <w:t>The Death of Hector</w:t>
      </w:r>
      <w:r w:rsidRPr="00C90CB9">
        <w:rPr>
          <w:rFonts w:ascii="Arial" w:eastAsia="Times New Roman" w:hAnsi="Arial" w:cs="Arial"/>
          <w:color w:val="000000" w:themeColor="text1"/>
          <w:sz w:val="22"/>
          <w:szCs w:val="22"/>
        </w:rPr>
        <w:t>. Particular consideration will be given to the motivations of guilt, anger/hatred and revenge for Achilles, the motivations of duty/honour, pride and fear for Hector, and how these motivations lead to the final outcome of the combat. These impulses from both characters are seated within a set of heroic values common to Homeric epics, therefore this essay will also consider how the motivations of Hector and Achilles fit with the values. Themes of timē, aretē and shame are explored by scholars such as De Jong, Finkelberg and Hooker. However, there are also more contemporary perspectives such as guilt as a motivation for Achilles’ behaviour as has been discussed by Arieti. Interesting though Arieti’s stance is, there appears to be a tension between the text and the imposition of 20</w:t>
      </w:r>
      <w:r w:rsidRPr="00C90CB9">
        <w:rPr>
          <w:rFonts w:ascii="Arial" w:eastAsia="Times New Roman" w:hAnsi="Arial" w:cs="Arial"/>
          <w:color w:val="000000" w:themeColor="text1"/>
          <w:sz w:val="22"/>
          <w:szCs w:val="22"/>
          <w:vertAlign w:val="superscript"/>
        </w:rPr>
        <w:t xml:space="preserve">th </w:t>
      </w:r>
      <w:r w:rsidRPr="00C90CB9">
        <w:rPr>
          <w:rFonts w:ascii="Arial" w:eastAsia="Times New Roman" w:hAnsi="Arial" w:cs="Arial"/>
          <w:color w:val="000000" w:themeColor="text1"/>
          <w:sz w:val="22"/>
          <w:szCs w:val="22"/>
        </w:rPr>
        <w:t>century notions. This essay will acknowledge those contemporary contributions to the analysis of the text whilst taking into consideration more traditional responses within the scholarship.</w:t>
      </w:r>
    </w:p>
    <w:p w14:paraId="5AE5ABF1" w14:textId="0050FC59" w:rsidR="00674112" w:rsidRPr="00C90CB9" w:rsidRDefault="00674112" w:rsidP="00C90CB9">
      <w:pPr>
        <w:rPr>
          <w:rFonts w:ascii="Times New Roman" w:eastAsia="Times New Roman" w:hAnsi="Times New Roman" w:cs="Times New Roman"/>
          <w:color w:val="000000" w:themeColor="text1"/>
          <w:sz w:val="22"/>
          <w:szCs w:val="22"/>
        </w:rPr>
      </w:pPr>
    </w:p>
    <w:p w14:paraId="74A41103" w14:textId="77777777" w:rsidR="00BA0B19" w:rsidRPr="00AF0CF8" w:rsidRDefault="00BA0B19" w:rsidP="00AF0CF8">
      <w:pPr>
        <w:rPr>
          <w:rFonts w:eastAsia="Times New Roman" w:cstheme="minorHAnsi"/>
          <w:bCs/>
          <w:color w:val="000000"/>
        </w:rPr>
      </w:pPr>
    </w:p>
    <w:p w14:paraId="0E54E30C" w14:textId="6996FD0D" w:rsidR="00451E2D" w:rsidRDefault="00451E2D" w:rsidP="00451E2D"/>
    <w:p w14:paraId="6076D6AE" w14:textId="4A16ADD2" w:rsidR="00451E2D" w:rsidRDefault="00451E2D">
      <w:r>
        <w:br w:type="page"/>
      </w:r>
    </w:p>
    <w:p w14:paraId="463EBB50" w14:textId="77777777" w:rsidR="009107D3" w:rsidRPr="00735EF2" w:rsidRDefault="009107D3" w:rsidP="009107D3">
      <w:pPr>
        <w:rPr>
          <w:rFonts w:ascii="-webkit-standard" w:eastAsia="Times New Roman" w:hAnsi="-webkit-standard" w:cs="Times New Roman"/>
          <w:color w:val="000000"/>
        </w:rPr>
      </w:pPr>
      <w:r w:rsidRPr="00735EF2">
        <w:rPr>
          <w:rFonts w:ascii="Arial" w:eastAsia="Times New Roman" w:hAnsi="Arial" w:cs="Arial"/>
          <w:color w:val="000000"/>
          <w:sz w:val="22"/>
          <w:szCs w:val="22"/>
        </w:rPr>
        <w:lastRenderedPageBreak/>
        <w:t>Bibliography</w:t>
      </w:r>
    </w:p>
    <w:p w14:paraId="6FA4BA96" w14:textId="77777777" w:rsidR="009107D3" w:rsidRPr="00735EF2" w:rsidRDefault="009107D3" w:rsidP="009107D3">
      <w:pPr>
        <w:rPr>
          <w:rFonts w:ascii="-webkit-standard" w:eastAsia="Times New Roman" w:hAnsi="-webkit-standard" w:cs="Times New Roman"/>
          <w:color w:val="000000"/>
        </w:rPr>
      </w:pPr>
    </w:p>
    <w:p w14:paraId="1D96F41F" w14:textId="77777777" w:rsidR="009107D3" w:rsidRPr="00735EF2" w:rsidRDefault="009107D3" w:rsidP="009107D3">
      <w:pPr>
        <w:rPr>
          <w:rFonts w:ascii="-webkit-standard" w:eastAsia="Times New Roman" w:hAnsi="-webkit-standard" w:cs="Times New Roman"/>
          <w:color w:val="000000"/>
        </w:rPr>
      </w:pPr>
      <w:r w:rsidRPr="00735EF2">
        <w:rPr>
          <w:rFonts w:ascii="Arial" w:eastAsia="Times New Roman" w:hAnsi="Arial" w:cs="Arial"/>
          <w:b/>
          <w:bCs/>
          <w:color w:val="000000"/>
          <w:sz w:val="22"/>
          <w:szCs w:val="22"/>
        </w:rPr>
        <w:t>Ancient sources</w:t>
      </w:r>
    </w:p>
    <w:p w14:paraId="432004D4" w14:textId="77777777" w:rsidR="009107D3" w:rsidRPr="00735EF2" w:rsidRDefault="009107D3" w:rsidP="009107D3">
      <w:pPr>
        <w:rPr>
          <w:rFonts w:ascii="-webkit-standard" w:eastAsia="Times New Roman" w:hAnsi="-webkit-standard" w:cs="Times New Roman"/>
          <w:color w:val="000000"/>
        </w:rPr>
      </w:pPr>
    </w:p>
    <w:p w14:paraId="3E66225D"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Homer, </w:t>
      </w:r>
      <w:r w:rsidRPr="00735EF2">
        <w:rPr>
          <w:rFonts w:ascii="Arial" w:eastAsia="Times New Roman" w:hAnsi="Arial" w:cs="Arial"/>
          <w:i/>
          <w:iCs/>
          <w:color w:val="000000"/>
          <w:sz w:val="22"/>
          <w:szCs w:val="22"/>
        </w:rPr>
        <w:t>The Iliad</w:t>
      </w:r>
      <w:r w:rsidRPr="00735EF2">
        <w:rPr>
          <w:rFonts w:ascii="Arial" w:eastAsia="Times New Roman" w:hAnsi="Arial" w:cs="Arial"/>
          <w:color w:val="000000"/>
          <w:sz w:val="22"/>
          <w:szCs w:val="22"/>
        </w:rPr>
        <w:t>. P. Jones (trans.). 2003. London: Penguin Books</w:t>
      </w:r>
    </w:p>
    <w:p w14:paraId="6F413275" w14:textId="77777777" w:rsidR="009107D3" w:rsidRPr="00735EF2" w:rsidRDefault="009107D3" w:rsidP="009107D3">
      <w:pPr>
        <w:spacing w:after="240"/>
        <w:rPr>
          <w:rFonts w:ascii="-webkit-standard" w:eastAsia="Times New Roman" w:hAnsi="-webkit-standard" w:cs="Times New Roman"/>
          <w:color w:val="000000"/>
        </w:rPr>
      </w:pPr>
    </w:p>
    <w:p w14:paraId="3339A931" w14:textId="77777777" w:rsidR="009107D3" w:rsidRPr="00735EF2" w:rsidRDefault="009107D3" w:rsidP="009107D3">
      <w:pPr>
        <w:rPr>
          <w:rFonts w:ascii="-webkit-standard" w:eastAsia="Times New Roman" w:hAnsi="-webkit-standard" w:cs="Times New Roman"/>
          <w:color w:val="000000"/>
        </w:rPr>
      </w:pPr>
      <w:r w:rsidRPr="00735EF2">
        <w:rPr>
          <w:rFonts w:ascii="Arial" w:eastAsia="Times New Roman" w:hAnsi="Arial" w:cs="Arial"/>
          <w:b/>
          <w:bCs/>
          <w:color w:val="000000"/>
          <w:sz w:val="22"/>
          <w:szCs w:val="22"/>
        </w:rPr>
        <w:t>Modern sources</w:t>
      </w:r>
    </w:p>
    <w:p w14:paraId="461C8BDA" w14:textId="77777777" w:rsidR="009107D3" w:rsidRPr="00735EF2" w:rsidRDefault="009107D3" w:rsidP="009107D3">
      <w:pPr>
        <w:rPr>
          <w:rFonts w:ascii="-webkit-standard" w:eastAsia="Times New Roman" w:hAnsi="-webkit-standard" w:cs="Times New Roman"/>
          <w:color w:val="000000"/>
        </w:rPr>
      </w:pPr>
    </w:p>
    <w:p w14:paraId="502DF5DF"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Arieti, J. (1985) ‘Achilles’ Guilt’, </w:t>
      </w:r>
      <w:r w:rsidRPr="00735EF2">
        <w:rPr>
          <w:rFonts w:ascii="Arial" w:eastAsia="Times New Roman" w:hAnsi="Arial" w:cs="Arial"/>
          <w:i/>
          <w:iCs/>
          <w:color w:val="000000"/>
          <w:sz w:val="22"/>
          <w:szCs w:val="22"/>
        </w:rPr>
        <w:t>The Classical Journal</w:t>
      </w:r>
      <w:r w:rsidRPr="00735EF2">
        <w:rPr>
          <w:rFonts w:ascii="Arial" w:eastAsia="Times New Roman" w:hAnsi="Arial" w:cs="Arial"/>
          <w:color w:val="000000"/>
          <w:sz w:val="22"/>
          <w:szCs w:val="22"/>
        </w:rPr>
        <w:t>, 80, 3, pp. 193-203</w:t>
      </w:r>
    </w:p>
    <w:p w14:paraId="0E3E5763"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Benardete, S. (1963) ‘Achilles and the Iliad’, </w:t>
      </w:r>
      <w:r w:rsidRPr="00735EF2">
        <w:rPr>
          <w:rFonts w:ascii="Arial" w:eastAsia="Times New Roman" w:hAnsi="Arial" w:cs="Arial"/>
          <w:i/>
          <w:iCs/>
          <w:color w:val="000000"/>
          <w:sz w:val="22"/>
          <w:szCs w:val="22"/>
        </w:rPr>
        <w:t>Hermes</w:t>
      </w:r>
      <w:r w:rsidRPr="00735EF2">
        <w:rPr>
          <w:rFonts w:ascii="Arial" w:eastAsia="Times New Roman" w:hAnsi="Arial" w:cs="Arial"/>
          <w:color w:val="000000"/>
          <w:sz w:val="22"/>
          <w:szCs w:val="22"/>
        </w:rPr>
        <w:t>, 91, 1, pp. 1-16</w:t>
      </w:r>
    </w:p>
    <w:p w14:paraId="08AB2F9C"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De Jong, I. (2011) </w:t>
      </w:r>
      <w:r w:rsidRPr="00735EF2">
        <w:rPr>
          <w:rFonts w:ascii="Arial" w:eastAsia="Times New Roman" w:hAnsi="Arial" w:cs="Arial"/>
          <w:i/>
          <w:iCs/>
          <w:color w:val="000000"/>
          <w:sz w:val="22"/>
          <w:szCs w:val="22"/>
        </w:rPr>
        <w:t>Homer: Iliad Book XXII</w:t>
      </w:r>
      <w:r w:rsidRPr="00735EF2">
        <w:rPr>
          <w:rFonts w:ascii="Arial" w:eastAsia="Times New Roman" w:hAnsi="Arial" w:cs="Arial"/>
          <w:color w:val="000000"/>
          <w:sz w:val="22"/>
          <w:szCs w:val="22"/>
        </w:rPr>
        <w:t>. Cambridge: Cambridge University Press</w:t>
      </w:r>
      <w:r>
        <w:rPr>
          <w:rFonts w:ascii="Arial" w:eastAsia="Times New Roman" w:hAnsi="Arial" w:cs="Arial"/>
          <w:color w:val="000000"/>
          <w:sz w:val="22"/>
          <w:szCs w:val="22"/>
        </w:rPr>
        <w:t>.</w:t>
      </w:r>
    </w:p>
    <w:p w14:paraId="2A4E2174"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Edwards, M. (1987) </w:t>
      </w:r>
      <w:r w:rsidRPr="00735EF2">
        <w:rPr>
          <w:rFonts w:ascii="Arial" w:eastAsia="Times New Roman" w:hAnsi="Arial" w:cs="Arial"/>
          <w:i/>
          <w:iCs/>
          <w:color w:val="000000"/>
          <w:sz w:val="22"/>
          <w:szCs w:val="22"/>
        </w:rPr>
        <w:t>Homer, Poet of the Iliad</w:t>
      </w:r>
      <w:r w:rsidRPr="00735EF2">
        <w:rPr>
          <w:rFonts w:ascii="Arial" w:eastAsia="Times New Roman" w:hAnsi="Arial" w:cs="Arial"/>
          <w:color w:val="000000"/>
          <w:sz w:val="22"/>
          <w:szCs w:val="22"/>
        </w:rPr>
        <w:t>. London: The Johns Hopkins Press</w:t>
      </w:r>
      <w:r>
        <w:rPr>
          <w:rFonts w:ascii="Arial" w:eastAsia="Times New Roman" w:hAnsi="Arial" w:cs="Arial"/>
          <w:color w:val="000000"/>
          <w:sz w:val="22"/>
          <w:szCs w:val="22"/>
        </w:rPr>
        <w:t>.</w:t>
      </w:r>
    </w:p>
    <w:p w14:paraId="1266384F"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Farron, S. (1978) ‘The Character of Hector in the </w:t>
      </w:r>
      <w:r w:rsidRPr="00735EF2">
        <w:rPr>
          <w:rFonts w:ascii="Arial" w:eastAsia="Times New Roman" w:hAnsi="Arial" w:cs="Arial"/>
          <w:i/>
          <w:iCs/>
          <w:color w:val="000000"/>
          <w:sz w:val="22"/>
          <w:szCs w:val="22"/>
        </w:rPr>
        <w:t>Iliad</w:t>
      </w:r>
      <w:r w:rsidRPr="00735EF2">
        <w:rPr>
          <w:rFonts w:ascii="Arial" w:eastAsia="Times New Roman" w:hAnsi="Arial" w:cs="Arial"/>
          <w:color w:val="000000"/>
          <w:sz w:val="22"/>
          <w:szCs w:val="22"/>
        </w:rPr>
        <w:t xml:space="preserve">’, </w:t>
      </w:r>
      <w:r w:rsidRPr="00735EF2">
        <w:rPr>
          <w:rFonts w:ascii="Arial" w:eastAsia="Times New Roman" w:hAnsi="Arial" w:cs="Arial"/>
          <w:i/>
          <w:iCs/>
          <w:color w:val="000000"/>
          <w:sz w:val="22"/>
          <w:szCs w:val="22"/>
        </w:rPr>
        <w:t>Acta Classica</w:t>
      </w:r>
      <w:r w:rsidRPr="00735EF2">
        <w:rPr>
          <w:rFonts w:ascii="Arial" w:eastAsia="Times New Roman" w:hAnsi="Arial" w:cs="Arial"/>
          <w:color w:val="000000"/>
          <w:sz w:val="22"/>
          <w:szCs w:val="22"/>
        </w:rPr>
        <w:t>, 21, pp. 39-57</w:t>
      </w:r>
    </w:p>
    <w:p w14:paraId="768AE804"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Feeney, D. (1986) ‘Epic Hero and Epic Fable’, </w:t>
      </w:r>
      <w:r w:rsidRPr="00735EF2">
        <w:rPr>
          <w:rFonts w:ascii="Arial" w:eastAsia="Times New Roman" w:hAnsi="Arial" w:cs="Arial"/>
          <w:i/>
          <w:iCs/>
          <w:color w:val="000000"/>
          <w:sz w:val="22"/>
          <w:szCs w:val="22"/>
        </w:rPr>
        <w:t>Comparative Literature</w:t>
      </w:r>
      <w:r w:rsidRPr="00735EF2">
        <w:rPr>
          <w:rFonts w:ascii="Arial" w:eastAsia="Times New Roman" w:hAnsi="Arial" w:cs="Arial"/>
          <w:color w:val="000000"/>
          <w:sz w:val="22"/>
          <w:szCs w:val="22"/>
        </w:rPr>
        <w:t>, 38, 2, pp. 137-158</w:t>
      </w:r>
    </w:p>
    <w:p w14:paraId="49F3DFEF"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Finkelberg, M. (1998) ‘Timē and Aretē in Homer’, </w:t>
      </w:r>
      <w:r w:rsidRPr="00735EF2">
        <w:rPr>
          <w:rFonts w:ascii="Arial" w:eastAsia="Times New Roman" w:hAnsi="Arial" w:cs="Arial"/>
          <w:i/>
          <w:iCs/>
          <w:color w:val="000000"/>
          <w:sz w:val="22"/>
          <w:szCs w:val="22"/>
        </w:rPr>
        <w:t>The Classical Quarterly</w:t>
      </w:r>
      <w:r w:rsidRPr="00735EF2">
        <w:rPr>
          <w:rFonts w:ascii="Arial" w:eastAsia="Times New Roman" w:hAnsi="Arial" w:cs="Arial"/>
          <w:color w:val="000000"/>
          <w:sz w:val="22"/>
          <w:szCs w:val="22"/>
        </w:rPr>
        <w:t>, 48, 1, pp. 14-28</w:t>
      </w:r>
    </w:p>
    <w:p w14:paraId="2BE29EAE"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Gagarin, M. (1987) ‘Morality in Homer’, </w:t>
      </w:r>
      <w:r w:rsidRPr="00735EF2">
        <w:rPr>
          <w:rFonts w:ascii="Arial" w:eastAsia="Times New Roman" w:hAnsi="Arial" w:cs="Arial"/>
          <w:i/>
          <w:iCs/>
          <w:color w:val="000000"/>
          <w:sz w:val="22"/>
          <w:szCs w:val="22"/>
        </w:rPr>
        <w:t>Classical Philology</w:t>
      </w:r>
      <w:r w:rsidRPr="00735EF2">
        <w:rPr>
          <w:rFonts w:ascii="Arial" w:eastAsia="Times New Roman" w:hAnsi="Arial" w:cs="Arial"/>
          <w:color w:val="000000"/>
          <w:sz w:val="22"/>
          <w:szCs w:val="22"/>
        </w:rPr>
        <w:t>, 82, 4, pp. 285-306</w:t>
      </w:r>
    </w:p>
    <w:p w14:paraId="2FEE3E4C"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Hooker, J. (1987) ‘Homeric Society: A Shame-Culture?’, </w:t>
      </w:r>
      <w:r w:rsidRPr="00735EF2">
        <w:rPr>
          <w:rFonts w:ascii="Arial" w:eastAsia="Times New Roman" w:hAnsi="Arial" w:cs="Arial"/>
          <w:i/>
          <w:iCs/>
          <w:color w:val="000000"/>
          <w:sz w:val="22"/>
          <w:szCs w:val="22"/>
        </w:rPr>
        <w:t>Greece and Rome</w:t>
      </w:r>
      <w:r w:rsidRPr="00735EF2">
        <w:rPr>
          <w:rFonts w:ascii="Arial" w:eastAsia="Times New Roman" w:hAnsi="Arial" w:cs="Arial"/>
          <w:color w:val="000000"/>
          <w:sz w:val="22"/>
          <w:szCs w:val="22"/>
        </w:rPr>
        <w:t>, 34, 2, pp. 121-125</w:t>
      </w:r>
    </w:p>
    <w:p w14:paraId="61D8AF37"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Kirk, G. (1993) </w:t>
      </w:r>
      <w:r w:rsidRPr="00735EF2">
        <w:rPr>
          <w:rFonts w:ascii="Arial" w:eastAsia="Times New Roman" w:hAnsi="Arial" w:cs="Arial"/>
          <w:i/>
          <w:iCs/>
          <w:color w:val="000000"/>
          <w:sz w:val="22"/>
          <w:szCs w:val="22"/>
        </w:rPr>
        <w:t>The Iliad, a Commentary, Vol. VI</w:t>
      </w:r>
      <w:r w:rsidRPr="00735EF2">
        <w:rPr>
          <w:rFonts w:ascii="Arial" w:eastAsia="Times New Roman" w:hAnsi="Arial" w:cs="Arial"/>
          <w:color w:val="000000"/>
          <w:sz w:val="22"/>
          <w:szCs w:val="22"/>
        </w:rPr>
        <w:t>. Cambridge: Cambridge University Press</w:t>
      </w:r>
      <w:r>
        <w:rPr>
          <w:rFonts w:ascii="Arial" w:eastAsia="Times New Roman" w:hAnsi="Arial" w:cs="Arial"/>
          <w:color w:val="000000"/>
          <w:sz w:val="22"/>
          <w:szCs w:val="22"/>
        </w:rPr>
        <w:t>.</w:t>
      </w:r>
    </w:p>
    <w:p w14:paraId="50C6C75E"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Knox, B. (1990) ‘Achilles’, </w:t>
      </w:r>
      <w:r w:rsidRPr="00735EF2">
        <w:rPr>
          <w:rFonts w:ascii="Arial" w:eastAsia="Times New Roman" w:hAnsi="Arial" w:cs="Arial"/>
          <w:i/>
          <w:iCs/>
          <w:color w:val="000000"/>
          <w:sz w:val="22"/>
          <w:szCs w:val="22"/>
        </w:rPr>
        <w:t>Grand Street</w:t>
      </w:r>
      <w:r w:rsidRPr="00735EF2">
        <w:rPr>
          <w:rFonts w:ascii="Arial" w:eastAsia="Times New Roman" w:hAnsi="Arial" w:cs="Arial"/>
          <w:color w:val="000000"/>
          <w:sz w:val="22"/>
          <w:szCs w:val="22"/>
        </w:rPr>
        <w:t>, 9, 3, pp.129-150</w:t>
      </w:r>
    </w:p>
    <w:p w14:paraId="74DB3AAF"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Long, A. (1970) ‘Morals and Values in Homer’, </w:t>
      </w:r>
      <w:r w:rsidRPr="00735EF2">
        <w:rPr>
          <w:rFonts w:ascii="Arial" w:eastAsia="Times New Roman" w:hAnsi="Arial" w:cs="Arial"/>
          <w:i/>
          <w:iCs/>
          <w:color w:val="000000"/>
          <w:sz w:val="22"/>
          <w:szCs w:val="22"/>
        </w:rPr>
        <w:t>The Journal of Hellenic Studies</w:t>
      </w:r>
      <w:r w:rsidRPr="00735EF2">
        <w:rPr>
          <w:rFonts w:ascii="Arial" w:eastAsia="Times New Roman" w:hAnsi="Arial" w:cs="Arial"/>
          <w:color w:val="000000"/>
          <w:sz w:val="22"/>
          <w:szCs w:val="22"/>
        </w:rPr>
        <w:t>, 90, pp. 121-139</w:t>
      </w:r>
    </w:p>
    <w:p w14:paraId="19674E1A"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Morris, I. and Powell, B. B. (1997) </w:t>
      </w:r>
      <w:r w:rsidRPr="00735EF2">
        <w:rPr>
          <w:rFonts w:ascii="Arial" w:eastAsia="Times New Roman" w:hAnsi="Arial" w:cs="Arial"/>
          <w:i/>
          <w:iCs/>
          <w:color w:val="000000"/>
          <w:sz w:val="22"/>
          <w:szCs w:val="22"/>
        </w:rPr>
        <w:t xml:space="preserve">A new companion to Homer. </w:t>
      </w:r>
      <w:r w:rsidRPr="00735EF2">
        <w:rPr>
          <w:rFonts w:ascii="Arial" w:eastAsia="Times New Roman" w:hAnsi="Arial" w:cs="Arial"/>
          <w:color w:val="000000"/>
          <w:sz w:val="22"/>
          <w:szCs w:val="22"/>
        </w:rPr>
        <w:t>Leiden: E.J. Brill</w:t>
      </w:r>
      <w:r>
        <w:rPr>
          <w:rFonts w:ascii="Arial" w:eastAsia="Times New Roman" w:hAnsi="Arial" w:cs="Arial"/>
          <w:color w:val="000000"/>
          <w:sz w:val="22"/>
          <w:szCs w:val="22"/>
        </w:rPr>
        <w:t>.</w:t>
      </w:r>
    </w:p>
    <w:p w14:paraId="2B2BFF1B"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Neal, T. (2006) ‘Blood and Hunger in the Iliad’, </w:t>
      </w:r>
      <w:r w:rsidRPr="00735EF2">
        <w:rPr>
          <w:rFonts w:ascii="Arial" w:eastAsia="Times New Roman" w:hAnsi="Arial" w:cs="Arial"/>
          <w:i/>
          <w:iCs/>
          <w:color w:val="000000"/>
          <w:sz w:val="22"/>
          <w:szCs w:val="22"/>
        </w:rPr>
        <w:t>Classical Philology</w:t>
      </w:r>
      <w:r w:rsidRPr="00735EF2">
        <w:rPr>
          <w:rFonts w:ascii="Arial" w:eastAsia="Times New Roman" w:hAnsi="Arial" w:cs="Arial"/>
          <w:color w:val="000000"/>
          <w:sz w:val="22"/>
          <w:szCs w:val="22"/>
        </w:rPr>
        <w:t>, 101, 1, pp. 15-33</w:t>
      </w:r>
    </w:p>
    <w:p w14:paraId="51E68979"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Redfield, J. (1975) </w:t>
      </w:r>
      <w:r w:rsidRPr="00735EF2">
        <w:rPr>
          <w:rFonts w:ascii="Arial" w:eastAsia="Times New Roman" w:hAnsi="Arial" w:cs="Arial"/>
          <w:i/>
          <w:iCs/>
          <w:color w:val="000000"/>
          <w:sz w:val="22"/>
          <w:szCs w:val="22"/>
        </w:rPr>
        <w:t>Nature and Culture in the Iliad, The Tragedy of Hector</w:t>
      </w:r>
      <w:r w:rsidRPr="00735EF2">
        <w:rPr>
          <w:rFonts w:ascii="Arial" w:eastAsia="Times New Roman" w:hAnsi="Arial" w:cs="Arial"/>
          <w:color w:val="000000"/>
          <w:sz w:val="22"/>
          <w:szCs w:val="22"/>
        </w:rPr>
        <w:t>. Chicago: The University of Chicago Press</w:t>
      </w:r>
      <w:r>
        <w:rPr>
          <w:rFonts w:ascii="Arial" w:eastAsia="Times New Roman" w:hAnsi="Arial" w:cs="Arial"/>
          <w:color w:val="000000"/>
          <w:sz w:val="22"/>
          <w:szCs w:val="22"/>
        </w:rPr>
        <w:t>.</w:t>
      </w:r>
    </w:p>
    <w:p w14:paraId="1434B88F"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Sale, W. (1963) ‘Achilles and Heroic Values’, </w:t>
      </w:r>
      <w:r w:rsidRPr="00735EF2">
        <w:rPr>
          <w:rFonts w:ascii="Arial" w:eastAsia="Times New Roman" w:hAnsi="Arial" w:cs="Arial"/>
          <w:i/>
          <w:iCs/>
          <w:color w:val="000000"/>
          <w:sz w:val="22"/>
          <w:szCs w:val="22"/>
        </w:rPr>
        <w:t>A Journal of Humanities and the Classics</w:t>
      </w:r>
      <w:r w:rsidRPr="00735EF2">
        <w:rPr>
          <w:rFonts w:ascii="Arial" w:eastAsia="Times New Roman" w:hAnsi="Arial" w:cs="Arial"/>
          <w:color w:val="000000"/>
          <w:sz w:val="22"/>
          <w:szCs w:val="22"/>
        </w:rPr>
        <w:t>, 2, 3, pp. 86-100</w:t>
      </w:r>
    </w:p>
    <w:p w14:paraId="4598F202"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Schein, S. (1984) </w:t>
      </w:r>
      <w:r w:rsidRPr="00735EF2">
        <w:rPr>
          <w:rFonts w:ascii="Arial" w:eastAsia="Times New Roman" w:hAnsi="Arial" w:cs="Arial"/>
          <w:i/>
          <w:iCs/>
          <w:color w:val="000000"/>
          <w:sz w:val="22"/>
          <w:szCs w:val="22"/>
        </w:rPr>
        <w:t>The Mortal Hero, an Introduction to Homer’s Iliad</w:t>
      </w:r>
      <w:r w:rsidRPr="00735EF2">
        <w:rPr>
          <w:rFonts w:ascii="Arial" w:eastAsia="Times New Roman" w:hAnsi="Arial" w:cs="Arial"/>
          <w:color w:val="000000"/>
          <w:sz w:val="22"/>
          <w:szCs w:val="22"/>
        </w:rPr>
        <w:t>. California: University of California Press</w:t>
      </w:r>
      <w:r>
        <w:rPr>
          <w:rFonts w:ascii="Arial" w:eastAsia="Times New Roman" w:hAnsi="Arial" w:cs="Arial"/>
          <w:color w:val="000000"/>
          <w:sz w:val="22"/>
          <w:szCs w:val="22"/>
        </w:rPr>
        <w:t>.</w:t>
      </w:r>
    </w:p>
    <w:p w14:paraId="17890913"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Segal, C. (1971) </w:t>
      </w:r>
      <w:r w:rsidRPr="00735EF2">
        <w:rPr>
          <w:rFonts w:ascii="Arial" w:eastAsia="Times New Roman" w:hAnsi="Arial" w:cs="Arial"/>
          <w:i/>
          <w:iCs/>
          <w:color w:val="000000"/>
          <w:sz w:val="22"/>
          <w:szCs w:val="22"/>
        </w:rPr>
        <w:t>The Theme of the Mutilation of the Corpse in the Iliad</w:t>
      </w:r>
      <w:r w:rsidRPr="00735EF2">
        <w:rPr>
          <w:rFonts w:ascii="Arial" w:eastAsia="Times New Roman" w:hAnsi="Arial" w:cs="Arial"/>
          <w:color w:val="000000"/>
          <w:sz w:val="22"/>
          <w:szCs w:val="22"/>
        </w:rPr>
        <w:t>. Netherlands: Brill</w:t>
      </w:r>
      <w:r>
        <w:rPr>
          <w:rFonts w:ascii="Arial" w:eastAsia="Times New Roman" w:hAnsi="Arial" w:cs="Arial"/>
          <w:color w:val="000000"/>
          <w:sz w:val="22"/>
          <w:szCs w:val="22"/>
        </w:rPr>
        <w:t>.</w:t>
      </w:r>
    </w:p>
    <w:p w14:paraId="7F2DE947"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Traill, D. (1990) ‘Unfair to Hector?’, </w:t>
      </w:r>
      <w:r w:rsidRPr="00735EF2">
        <w:rPr>
          <w:rFonts w:ascii="Arial" w:eastAsia="Times New Roman" w:hAnsi="Arial" w:cs="Arial"/>
          <w:i/>
          <w:iCs/>
          <w:color w:val="000000"/>
          <w:sz w:val="22"/>
          <w:szCs w:val="22"/>
        </w:rPr>
        <w:t>Classical Philology</w:t>
      </w:r>
      <w:r w:rsidRPr="00735EF2">
        <w:rPr>
          <w:rFonts w:ascii="Arial" w:eastAsia="Times New Roman" w:hAnsi="Arial" w:cs="Arial"/>
          <w:color w:val="000000"/>
          <w:sz w:val="22"/>
          <w:szCs w:val="22"/>
        </w:rPr>
        <w:t>, 85, 4, pp. 299-303</w:t>
      </w:r>
    </w:p>
    <w:p w14:paraId="1F5B3EA8"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Van der Mije, S. (2009) ‘Bad Herbs - The Snake Simile in Iliad 22’, </w:t>
      </w:r>
      <w:r w:rsidRPr="00735EF2">
        <w:rPr>
          <w:rFonts w:ascii="Arial" w:eastAsia="Times New Roman" w:hAnsi="Arial" w:cs="Arial"/>
          <w:i/>
          <w:iCs/>
          <w:color w:val="000000"/>
          <w:sz w:val="22"/>
          <w:szCs w:val="22"/>
        </w:rPr>
        <w:t>Mnemosyne</w:t>
      </w:r>
      <w:r w:rsidRPr="00735EF2">
        <w:rPr>
          <w:rFonts w:ascii="Arial" w:eastAsia="Times New Roman" w:hAnsi="Arial" w:cs="Arial"/>
          <w:color w:val="000000"/>
          <w:sz w:val="22"/>
          <w:szCs w:val="22"/>
        </w:rPr>
        <w:t>, 64, 3, pp. 359-382</w:t>
      </w:r>
    </w:p>
    <w:p w14:paraId="0A7F823C"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Willcock, M. (1976) </w:t>
      </w:r>
      <w:r w:rsidRPr="00735EF2">
        <w:rPr>
          <w:rFonts w:ascii="Arial" w:eastAsia="Times New Roman" w:hAnsi="Arial" w:cs="Arial"/>
          <w:i/>
          <w:iCs/>
          <w:color w:val="000000"/>
          <w:sz w:val="22"/>
          <w:szCs w:val="22"/>
        </w:rPr>
        <w:t>A Companion to the Iliad</w:t>
      </w:r>
      <w:r w:rsidRPr="00735EF2">
        <w:rPr>
          <w:rFonts w:ascii="Arial" w:eastAsia="Times New Roman" w:hAnsi="Arial" w:cs="Arial"/>
          <w:color w:val="000000"/>
          <w:sz w:val="22"/>
          <w:szCs w:val="22"/>
        </w:rPr>
        <w:t>. Chicago: The University of Chicago Press</w:t>
      </w:r>
    </w:p>
    <w:p w14:paraId="58B3EB0C" w14:textId="77777777" w:rsidR="009107D3" w:rsidRPr="00735EF2"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Wilson, D. (2002) </w:t>
      </w:r>
      <w:r w:rsidRPr="00735EF2">
        <w:rPr>
          <w:rFonts w:ascii="Arial" w:eastAsia="Times New Roman" w:hAnsi="Arial" w:cs="Arial"/>
          <w:i/>
          <w:iCs/>
          <w:color w:val="000000"/>
          <w:sz w:val="22"/>
          <w:szCs w:val="22"/>
        </w:rPr>
        <w:t>Ransom, Revenge, and Heroic Identity in the Iliad</w:t>
      </w:r>
      <w:r w:rsidRPr="00735EF2">
        <w:rPr>
          <w:rFonts w:ascii="Arial" w:eastAsia="Times New Roman" w:hAnsi="Arial" w:cs="Arial"/>
          <w:color w:val="000000"/>
          <w:sz w:val="22"/>
          <w:szCs w:val="22"/>
        </w:rPr>
        <w:t>. Cambridge: Cambridge University Press</w:t>
      </w:r>
      <w:r>
        <w:rPr>
          <w:rFonts w:ascii="Arial" w:eastAsia="Times New Roman" w:hAnsi="Arial" w:cs="Arial"/>
          <w:color w:val="000000"/>
          <w:sz w:val="22"/>
          <w:szCs w:val="22"/>
        </w:rPr>
        <w:t>.</w:t>
      </w:r>
    </w:p>
    <w:p w14:paraId="63173E9C" w14:textId="6C31B729" w:rsidR="00451E2D" w:rsidRPr="009107D3" w:rsidRDefault="009107D3" w:rsidP="009107D3">
      <w:pPr>
        <w:spacing w:after="160"/>
        <w:rPr>
          <w:rFonts w:ascii="-webkit-standard" w:eastAsia="Times New Roman" w:hAnsi="-webkit-standard" w:cs="Times New Roman"/>
          <w:color w:val="000000"/>
        </w:rPr>
      </w:pPr>
      <w:r w:rsidRPr="00735EF2">
        <w:rPr>
          <w:rFonts w:ascii="Arial" w:eastAsia="Times New Roman" w:hAnsi="Arial" w:cs="Arial"/>
          <w:color w:val="000000"/>
          <w:sz w:val="22"/>
          <w:szCs w:val="22"/>
        </w:rPr>
        <w:t xml:space="preserve">Zanker, G. (1996) </w:t>
      </w:r>
      <w:r w:rsidRPr="00735EF2">
        <w:rPr>
          <w:rFonts w:ascii="Arial" w:eastAsia="Times New Roman" w:hAnsi="Arial" w:cs="Arial"/>
          <w:i/>
          <w:iCs/>
          <w:color w:val="000000"/>
          <w:sz w:val="22"/>
          <w:szCs w:val="22"/>
        </w:rPr>
        <w:t>The Heart of Achilles, Characterization and Personal Ethics in the Iliad</w:t>
      </w:r>
      <w:r w:rsidRPr="00735EF2">
        <w:rPr>
          <w:rFonts w:ascii="Arial" w:eastAsia="Times New Roman" w:hAnsi="Arial" w:cs="Arial"/>
          <w:color w:val="000000"/>
          <w:sz w:val="22"/>
          <w:szCs w:val="22"/>
        </w:rPr>
        <w:t>. Michigan: The University of Michigan Press</w:t>
      </w:r>
      <w:r>
        <w:rPr>
          <w:rFonts w:ascii="Arial" w:eastAsia="Times New Roman" w:hAnsi="Arial" w:cs="Arial"/>
          <w:color w:val="000000"/>
          <w:sz w:val="22"/>
          <w:szCs w:val="22"/>
        </w:rPr>
        <w:t>.</w:t>
      </w:r>
    </w:p>
    <w:sectPr w:rsidR="00451E2D" w:rsidRPr="009107D3" w:rsidSect="00E65D9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59137A"/>
    <w:multiLevelType w:val="hybridMultilevel"/>
    <w:tmpl w:val="B560CD0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8755D0"/>
    <w:multiLevelType w:val="hybridMultilevel"/>
    <w:tmpl w:val="833AD55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CF8"/>
    <w:rsid w:val="001704F4"/>
    <w:rsid w:val="002B315C"/>
    <w:rsid w:val="00451E2D"/>
    <w:rsid w:val="004C0C9B"/>
    <w:rsid w:val="004C1609"/>
    <w:rsid w:val="004D2F7F"/>
    <w:rsid w:val="005A7F02"/>
    <w:rsid w:val="005E3525"/>
    <w:rsid w:val="00633C30"/>
    <w:rsid w:val="00674112"/>
    <w:rsid w:val="006B2F42"/>
    <w:rsid w:val="006D38C3"/>
    <w:rsid w:val="00735FCD"/>
    <w:rsid w:val="007D6F1C"/>
    <w:rsid w:val="007F60E7"/>
    <w:rsid w:val="009107D3"/>
    <w:rsid w:val="0094385A"/>
    <w:rsid w:val="00982750"/>
    <w:rsid w:val="00AE4D7C"/>
    <w:rsid w:val="00AF0CF8"/>
    <w:rsid w:val="00BA0B19"/>
    <w:rsid w:val="00C60732"/>
    <w:rsid w:val="00C90CB9"/>
    <w:rsid w:val="00CF3DF2"/>
    <w:rsid w:val="00D62CC6"/>
    <w:rsid w:val="00D84673"/>
    <w:rsid w:val="00E65D92"/>
    <w:rsid w:val="00FB19EB"/>
    <w:rsid w:val="00FD1AF8"/>
    <w:rsid w:val="00FD5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FCF9E"/>
  <w14:defaultImageDpi w14:val="32767"/>
  <w15:chartTrackingRefBased/>
  <w15:docId w15:val="{700D81A9-0F46-0645-9F53-4ADF56315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0CF8"/>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451E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1527053">
      <w:bodyDiv w:val="1"/>
      <w:marLeft w:val="0"/>
      <w:marRight w:val="0"/>
      <w:marTop w:val="0"/>
      <w:marBottom w:val="0"/>
      <w:divBdr>
        <w:top w:val="none" w:sz="0" w:space="0" w:color="auto"/>
        <w:left w:val="none" w:sz="0" w:space="0" w:color="auto"/>
        <w:bottom w:val="none" w:sz="0" w:space="0" w:color="auto"/>
        <w:right w:val="none" w:sz="0" w:space="0" w:color="auto"/>
      </w:divBdr>
    </w:div>
    <w:div w:id="206806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4FCB53-3E93-F64C-8CC1-2A2DB4840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4</Pages>
  <Words>1240</Words>
  <Characters>7071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cp:lastModifiedBy>
  <cp:revision>21</cp:revision>
  <dcterms:created xsi:type="dcterms:W3CDTF">2018-11-19T23:25:00Z</dcterms:created>
  <dcterms:modified xsi:type="dcterms:W3CDTF">2018-11-23T20:15:00Z</dcterms:modified>
</cp:coreProperties>
</file>