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sdt>
      <w:sdtPr>
        <w:id w:val="-33808199"/>
        <w:docPartObj>
          <w:docPartGallery w:val="Cover Pages"/>
          <w:docPartUnique/>
        </w:docPartObj>
      </w:sdtPr>
      <w:sdtContent>
        <w:p w14:paraId="297EEAFC" w14:textId="57915F38" w:rsidR="009770C0" w:rsidRPr="00E33F50" w:rsidRDefault="009770C0">
          <w:r w:rsidRPr="00E33F50">
            <w:drawing>
              <wp:anchor distT="0" distB="0" distL="114300" distR="114300" simplePos="0" relativeHeight="251662336" behindDoc="0" locked="0" layoutInCell="1" allowOverlap="1" wp14:anchorId="050989BC" wp14:editId="59F5B003">
                <wp:simplePos x="0" y="0"/>
                <wp:positionH relativeFrom="page">
                  <wp:align>center</wp:align>
                </wp:positionH>
                <mc:AlternateContent>
                  <mc:Choice Requires="wp14">
                    <wp:positionV relativeFrom="page">
                      <wp14:pctPosVOffset>2.3%</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purl.oclc.org/ooxml/drawingml/main">
                  <a:graphicData uri="http://schemas.microsoft.com/office/word/2010/wordprocessingGroup">
                    <wp:wgp>
                      <wp:cNvGrpSpPr/>
                      <wp:grpSpPr>
                        <a:xfrm>
                          <a:off x="0" y="0"/>
                          <a:ext cx="7315200" cy="1215391"/>
                          <a:chOff x="0" y="-1"/>
                          <a:chExt cx="7315200" cy="1216153"/>
                        </a:xfrm>
                      </wp:grpSpPr>
                      <wp:wsp>
                        <wp:cNvPr id="150" name="Rectangle 51"/>
                        <wp:cNvSpPr/>
                        <wp: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pPr>
                        <wp:style>
                          <a:lnRef idx="2">
                            <a:schemeClr val="accent1">
                              <a:shade val="50%"/>
                            </a:schemeClr>
                          </a:lnRef>
                          <a:fillRef idx="1">
                            <a:schemeClr val="accent1"/>
                          </a:fillRef>
                          <a:effectRef idx="0">
                            <a:schemeClr val="accent1"/>
                          </a:effectRef>
                          <a:fontRef idx="minor">
                            <a:schemeClr val="lt1"/>
                          </a:fontRef>
                        </wp:style>
                        <wp:bodyPr rot="0" spcFirstLastPara="0" vertOverflow="overflow" horzOverflow="overflow" vert="horz" wrap="square" lIns="91440" tIns="45720" rIns="91440" bIns="45720" numCol="1" spcCol="0" rtlCol="0" fromWordArt="0" anchor="ctr" anchorCtr="0" forceAA="0" compatLnSpc="1">
                          <a:prstTxWarp prst="textNoShape">
                            <a:avLst/>
                          </a:prstTxWarp>
                          <a:noAutofit/>
                        </wp:bodyPr>
                      </wp:wsp>
                      <wp:wsp>
                        <wp:cNvPr id="151" name="Rectangle 151"/>
                        <wp:cNvSpPr/>
                        <wp:spPr>
                          <a:xfrm>
                            <a:off x="0" y="0"/>
                            <a:ext cx="7315200" cy="1216152"/>
                          </a:xfrm>
                          <a:prstGeom prst="rect">
                            <a:avLst/>
                          </a:prstGeom>
                          <a:blipFill>
                            <a:blip r:embed="rId7"/>
                            <a:stretch>
                              <a:fillRect r="-7.574%"/>
                            </a:stretch>
                          </a:blipFill>
                          <a:ln>
                            <a:noFill/>
                          </a:ln>
                        </wp:spPr>
                        <wp:style>
                          <a:lnRef idx="2">
                            <a:schemeClr val="accent1">
                              <a:shade val="50%"/>
                            </a:schemeClr>
                          </a:lnRef>
                          <a:fillRef idx="1">
                            <a:schemeClr val="accent1"/>
                          </a:fillRef>
                          <a:effectRef idx="0">
                            <a:schemeClr val="accent1"/>
                          </a:effectRef>
                          <a:fontRef idx="minor">
                            <a:schemeClr val="lt1"/>
                          </a:fontRef>
                        </wp:style>
                        <wp:bodyPr rot="0" spcFirstLastPara="0" vertOverflow="overflow" horzOverflow="overflow" vert="horz" wrap="square" lIns="91440" tIns="45720" rIns="91440" bIns="45720" numCol="1" spcCol="0" rtlCol="0" fromWordArt="0" anchor="ctr" anchorCtr="0" forceAA="0" compatLnSpc="1">
                          <a:prstTxWarp prst="textNoShape">
                            <a:avLst/>
                          </a:prstTxWarp>
                          <a:noAutofit/>
                        </wp:bodyPr>
                      </wp:wsp>
                    </wp:wgp>
                  </a:graphicData>
                </a:graphic>
                <wp14:sizeRelH relativeFrom="page">
                  <wp14:pctWidth>94.1%</wp14:pctWidth>
                </wp14:sizeRelH>
                <wp14:sizeRelV relativeFrom="page">
                  <wp14:pctHeight>12.1%</wp14:pctHeight>
                </wp14:sizeRelV>
              </wp:anchor>
            </w:drawing>
          </w:r>
          <w:r w:rsidRPr="00E33F50">
            <w:drawing>
              <wp:anchor distT="0" distB="0" distL="114300" distR="114300" simplePos="0" relativeHeight="251660288" behindDoc="0" locked="0" layoutInCell="1" allowOverlap="1" wp14:anchorId="416E3E34" wp14:editId="3D5525EF">
                <wp:simplePos x="0" y="0"/>
                <wp:positionH relativeFrom="page">
                  <wp:align>center</wp:align>
                </wp:positionH>
                <mc:AlternateContent>
                  <mc:Choice Requires="wp14">
                    <wp:positionV relativeFrom="page">
                      <wp14:pctPosVOffset>81.8%</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purl.oclc.org/ooxml/drawingml/main">
                  <a:graphicData uri="http://schemas.microsoft.com/office/word/2010/wordprocessingShape">
                    <wp:wsp>
                      <wp:cNvSpPr txBox="1"/>
                      <wp:spPr>
                        <a:xfrm>
                          <a:off x="0" y="0"/>
                          <a:ext cx="7315200" cy="914400"/>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95F8AA" w14:textId="2B42FF3C" w:rsidR="009770C0" w:rsidRPr="00E33F50" w:rsidRDefault="009770C0">
                                <w:pPr>
                                  <w:pStyle w:val="NoSpacing"/>
                                  <w:jc w:val="end"/>
                                  <w:rPr>
                                    <w:color w:val="595959" w:themeColor="text1" w:themeTint="A6"/>
                                    <w:sz w:val="28"/>
                                    <w:szCs w:val="28"/>
                                    <w:lang w:val="en-GB"/>
                                  </w:rPr>
                                </w:pPr>
                                <w:r w:rsidRPr="00E33F50">
                                  <w:rPr>
                                    <w:color w:val="595959" w:themeColor="text1" w:themeTint="A6"/>
                                    <w:sz w:val="28"/>
                                    <w:szCs w:val="28"/>
                                    <w:lang w:val="en-GB"/>
                                  </w:rPr>
                                  <w:t>Ispas Monica</w:t>
                                </w:r>
                              </w:p>
                            </w:sdtContent>
                          </w:sdt>
                          <w:p w14:paraId="05714A42" w14:textId="4759EEEC" w:rsidR="009770C0" w:rsidRPr="00E33F50" w:rsidRDefault="009770C0">
                            <w:pPr>
                              <w:pStyle w:val="NoSpacing"/>
                              <w:jc w:val="end"/>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D2FFB" w:rsidRPr="00E33F50">
                                  <w:rPr>
                                    <w:color w:val="595959" w:themeColor="text1" w:themeTint="A6"/>
                                    <w:sz w:val="18"/>
                                    <w:szCs w:val="18"/>
                                    <w:lang w:val="en-GB"/>
                                  </w:rPr>
                                  <w:t xml:space="preserve">     </w:t>
                                </w:r>
                              </w:sdtContent>
                            </w:sdt>
                          </w:p>
                        </wne:txbxContent>
                      </wp:txbx>
                      <wp:bodyPr rot="0" spcFirstLastPara="0" vertOverflow="overflow" horzOverflow="overflow" vert="horz" wrap="square" lIns="1600200" tIns="0" rIns="685800" bIns="0" numCol="1" spcCol="0" rtlCol="0" fromWordArt="0" anchor="b" anchorCtr="0" forceAA="0" compatLnSpc="1">
                        <a:prstTxWarp prst="textNoShape">
                          <a:avLst/>
                        </a:prstTxWarp>
                        <a:noAutofit/>
                      </wp:bodyPr>
                    </wp:wsp>
                  </a:graphicData>
                </a:graphic>
                <wp14:sizeRelH relativeFrom="page">
                  <wp14:pctWidth>94.1%</wp14:pctWidth>
                </wp14:sizeRelH>
                <wp14:sizeRelV relativeFrom="page">
                  <wp14:pctHeight>9.2%</wp14:pctHeight>
                </wp14:sizeRelV>
              </wp:anchor>
            </w:drawing>
          </w:r>
          <w:r w:rsidRPr="00E33F50">
            <w:drawing>
              <wp:anchor distT="0" distB="0" distL="114300" distR="114300" simplePos="0" relativeHeight="251661312" behindDoc="0" locked="0" layoutInCell="1" allowOverlap="1" wp14:anchorId="069D21E3" wp14:editId="5529AFB2">
                <wp:simplePos x="0" y="0"/>
                <wp:positionH relativeFrom="page">
                  <wp:align>center</wp:align>
                </wp:positionH>
                <mc:AlternateContent>
                  <mc:Choice Requires="wp14">
                    <wp:positionV relativeFrom="page">
                      <wp14:pctPosVOffset>70%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purl.oclc.org/ooxml/drawingml/main">
                  <a:graphicData uri="http://schemas.microsoft.com/office/word/2010/wordprocessingShape">
                    <wp:wsp>
                      <wp:cNvSpPr txBox="1"/>
                      <wp:spPr>
                        <a:xfrm>
                          <a:off x="0" y="0"/>
                          <a:ext cx="7315200" cy="1009650"/>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p w14:paraId="6C12EBA8" w14:textId="3E632A4A" w:rsidR="009770C0" w:rsidRPr="00E33F50" w:rsidRDefault="00E722AE">
                            <w:pPr>
                              <w:pStyle w:val="NoSpacing"/>
                              <w:jc w:val="end"/>
                              <w:rPr>
                                <w:color w:val="156082" w:themeColor="accent1"/>
                                <w:sz w:val="28"/>
                                <w:szCs w:val="28"/>
                                <w:lang w:val="en-GB"/>
                              </w:rPr>
                            </w:pPr>
                            <w:r w:rsidRPr="00E33F50">
                              <w:rPr>
                                <w:color w:val="156082" w:themeColor="accent1"/>
                                <w:sz w:val="28"/>
                                <w:szCs w:val="28"/>
                                <w:lang w:val="en-GB"/>
                              </w:rPr>
                              <w:t>Student ID:2318</w:t>
                            </w:r>
                            <w:r w:rsidR="003F1593" w:rsidRPr="00E33F50">
                              <w:rPr>
                                <w:color w:val="156082" w:themeColor="accent1"/>
                                <w:sz w:val="28"/>
                                <w:szCs w:val="28"/>
                                <w:lang w:val="en-GB"/>
                              </w:rPr>
                              <w:t>409</w:t>
                            </w:r>
                          </w:p>
                          <w:p w14:paraId="0A809C0D" w14:textId="32558F1D" w:rsidR="003F1593" w:rsidRPr="00E33F50" w:rsidRDefault="003F1593">
                            <w:pPr>
                              <w:pStyle w:val="NoSpacing"/>
                              <w:jc w:val="end"/>
                              <w:rPr>
                                <w:color w:val="156082" w:themeColor="accent1"/>
                                <w:sz w:val="28"/>
                                <w:szCs w:val="28"/>
                                <w:lang w:val="en-GB"/>
                              </w:rPr>
                            </w:pPr>
                            <w:r w:rsidRPr="00E33F50">
                              <w:rPr>
                                <w:color w:val="156082" w:themeColor="accent1"/>
                                <w:sz w:val="28"/>
                                <w:szCs w:val="28"/>
                                <w:lang w:val="en-GB"/>
                              </w:rPr>
                              <w:t xml:space="preserve">Module </w:t>
                            </w:r>
                            <w:proofErr w:type="gramStart"/>
                            <w:r w:rsidRPr="00E33F50">
                              <w:rPr>
                                <w:color w:val="156082" w:themeColor="accent1"/>
                                <w:sz w:val="28"/>
                                <w:szCs w:val="28"/>
                                <w:lang w:val="en-GB"/>
                              </w:rPr>
                              <w:t>code:</w:t>
                            </w:r>
                            <w:r w:rsidR="008762D9" w:rsidRPr="00E33F50">
                              <w:rPr>
                                <w:color w:val="156082" w:themeColor="accent1"/>
                                <w:sz w:val="28"/>
                                <w:szCs w:val="28"/>
                                <w:lang w:val="en-GB"/>
                              </w:rPr>
                              <w:t>B</w:t>
                            </w:r>
                            <w:r w:rsidR="00B14076" w:rsidRPr="00E33F50">
                              <w:rPr>
                                <w:color w:val="156082" w:themeColor="accent1"/>
                                <w:sz w:val="28"/>
                                <w:szCs w:val="28"/>
                                <w:lang w:val="en-GB"/>
                              </w:rPr>
                              <w:t>MHP</w:t>
                            </w:r>
                            <w:proofErr w:type="gramEnd"/>
                            <w:r w:rsidR="00B14076" w:rsidRPr="00E33F50">
                              <w:rPr>
                                <w:color w:val="156082" w:themeColor="accent1"/>
                                <w:sz w:val="28"/>
                                <w:szCs w:val="28"/>
                                <w:lang w:val="en-GB"/>
                              </w:rPr>
                              <w:t>5016_LON</w:t>
                            </w:r>
                          </w:p>
                          <w:p w14:paraId="5D10F65C" w14:textId="7952F60B" w:rsidR="00B14076" w:rsidRPr="00E33F50" w:rsidRDefault="00B14076">
                            <w:pPr>
                              <w:pStyle w:val="NoSpacing"/>
                              <w:jc w:val="end"/>
                              <w:rPr>
                                <w:color w:val="156082" w:themeColor="accent1"/>
                                <w:sz w:val="28"/>
                                <w:szCs w:val="28"/>
                                <w:lang w:val="en-GB"/>
                              </w:rPr>
                            </w:pPr>
                            <w:proofErr w:type="gramStart"/>
                            <w:r w:rsidRPr="00E33F50">
                              <w:rPr>
                                <w:color w:val="156082" w:themeColor="accent1"/>
                                <w:sz w:val="28"/>
                                <w:szCs w:val="28"/>
                                <w:lang w:val="en-GB"/>
                              </w:rPr>
                              <w:t>Lecturer :Dr</w:t>
                            </w:r>
                            <w:proofErr w:type="gramEnd"/>
                            <w:r w:rsidRPr="00E33F50">
                              <w:rPr>
                                <w:color w:val="156082" w:themeColor="accent1"/>
                                <w:sz w:val="28"/>
                                <w:szCs w:val="28"/>
                                <w:lang w:val="en-GB"/>
                              </w:rPr>
                              <w:t xml:space="preserve"> </w:t>
                            </w:r>
                            <w:proofErr w:type="spellStart"/>
                            <w:r w:rsidRPr="00E33F50">
                              <w:rPr>
                                <w:color w:val="156082" w:themeColor="accent1"/>
                                <w:sz w:val="28"/>
                                <w:szCs w:val="28"/>
                                <w:lang w:val="en-GB"/>
                              </w:rPr>
                              <w:t>Itse</w:t>
                            </w:r>
                            <w:proofErr w:type="spellEnd"/>
                            <w:r w:rsidRPr="00E33F50">
                              <w:rPr>
                                <w:color w:val="156082" w:themeColor="accent1"/>
                                <w:sz w:val="28"/>
                                <w:szCs w:val="28"/>
                                <w:lang w:val="en-GB"/>
                              </w:rPr>
                              <w:t xml:space="preserve"> Olaoye</w:t>
                            </w:r>
                          </w:p>
                          <w:p w14:paraId="2CE7735C" w14:textId="7B38232E" w:rsidR="009770C0" w:rsidRPr="00E33F50" w:rsidRDefault="009770C0">
                            <w:pPr>
                              <w:pStyle w:val="NoSpacing"/>
                              <w:jc w:val="end"/>
                              <w:rPr>
                                <w:color w:val="595959" w:themeColor="text1" w:themeTint="A6"/>
                                <w:sz w:val="20"/>
                                <w:szCs w:val="20"/>
                                <w:lang w:val="en-GB"/>
                              </w:rPr>
                            </w:pPr>
                          </w:p>
                        </wne:txbxContent>
                      </wp:txbx>
                      <wp:bodyPr rot="0" spcFirstLastPara="0" vertOverflow="overflow" horzOverflow="overflow" vert="horz" wrap="square" lIns="1600200" tIns="0" rIns="685800" bIns="0" numCol="1" spcCol="0" rtlCol="0" fromWordArt="0" anchor="t" anchorCtr="0" forceAA="0" compatLnSpc="1">
                        <a:prstTxWarp prst="textNoShape">
                          <a:avLst/>
                        </a:prstTxWarp>
                        <a:spAutoFit/>
                      </wp:bodyPr>
                    </wp:wsp>
                  </a:graphicData>
                </a:graphic>
                <wp14:sizeRelH relativeFrom="page">
                  <wp14:pctWidth>94.1%</wp14:pctWidth>
                </wp14:sizeRelH>
                <wp14:sizeRelV relativeFrom="page">
                  <wp14:pctHeight>10%</wp14:pctHeight>
                </wp14:sizeRelV>
              </wp:anchor>
            </w:drawing>
          </w:r>
          <w:r w:rsidRPr="00E33F50">
            <w:drawing>
              <wp:anchor distT="0" distB="0" distL="114300" distR="114300" simplePos="0" relativeHeight="251659264" behindDoc="0" locked="0" layoutInCell="1" allowOverlap="1" wp14:anchorId="3B461C47" wp14:editId="0BB796C1">
                <wp:simplePos x="0" y="0"/>
                <wp:positionH relativeFrom="page">
                  <wp:align>center</wp:align>
                </wp:positionH>
                <mc:AlternateContent>
                  <mc:Choice Requires="wp14">
                    <wp:positionV relativeFrom="page">
                      <wp14:pctPosVOffset>30%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purl.oclc.org/ooxml/drawingml/main">
                  <a:graphicData uri="http://schemas.microsoft.com/office/word/2010/wordprocessingShape">
                    <wp:wsp>
                      <wp:cNvSpPr txBox="1"/>
                      <wp:spPr>
                        <a:xfrm>
                          <a:off x="0" y="0"/>
                          <a:ext cx="7315200" cy="3638550"/>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p w14:paraId="539F8027" w14:textId="60EDC02F" w:rsidR="009770C0" w:rsidRPr="00E33F50" w:rsidRDefault="009770C0">
                            <w:pPr>
                              <w:jc w:val="end"/>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1B29" w:rsidRPr="00E33F50">
                                  <w:rPr>
                                    <w:caps/>
                                    <w:color w:val="156082" w:themeColor="accent1"/>
                                    <w:sz w:val="64"/>
                                    <w:szCs w:val="64"/>
                                  </w:rPr>
                                  <w:t xml:space="preserve">assessment </w:t>
                                </w:r>
                                <w:proofErr w:type="gramStart"/>
                                <w:r w:rsidR="00841B29" w:rsidRPr="00E33F50">
                                  <w:rPr>
                                    <w:caps/>
                                    <w:color w:val="156082" w:themeColor="accent1"/>
                                    <w:sz w:val="64"/>
                                    <w:szCs w:val="64"/>
                                  </w:rPr>
                                  <w:t xml:space="preserve">2 </w:t>
                                </w:r>
                                <w:r w:rsidR="000D2FFB" w:rsidRPr="00E33F50">
                                  <w:rPr>
                                    <w:caps/>
                                    <w:color w:val="156082" w:themeColor="accent1"/>
                                    <w:sz w:val="64"/>
                                    <w:szCs w:val="64"/>
                                  </w:rPr>
                                  <w:t xml:space="preserve"> principles</w:t>
                                </w:r>
                                <w:proofErr w:type="gramEnd"/>
                                <w:r w:rsidR="000D2FFB" w:rsidRPr="00E33F50">
                                  <w:rPr>
                                    <w:caps/>
                                    <w:color w:val="156082" w:themeColor="accent1"/>
                                    <w:sz w:val="64"/>
                                    <w:szCs w:val="64"/>
                                  </w:rPr>
                                  <w:t xml:space="preserve"> of health and social care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043F59" w14:textId="2F873B1A" w:rsidR="009770C0" w:rsidRPr="00E33F50" w:rsidRDefault="00E766B0">
                                <w:pPr>
                                  <w:jc w:val="end"/>
                                  <w:rPr>
                                    <w:smallCaps/>
                                    <w:color w:val="404040" w:themeColor="text1" w:themeTint="BF"/>
                                    <w:sz w:val="36"/>
                                    <w:szCs w:val="36"/>
                                  </w:rPr>
                                </w:pPr>
                                <w:r w:rsidRPr="00E33F50">
                                  <w:rPr>
                                    <w:color w:val="404040" w:themeColor="text1" w:themeTint="BF"/>
                                    <w:sz w:val="36"/>
                                    <w:szCs w:val="36"/>
                                  </w:rPr>
                                  <w:t>Monica Ispas</w:t>
                                </w:r>
                                <w:r w:rsidR="00E722AE" w:rsidRPr="00E33F50">
                                  <w:rPr>
                                    <w:color w:val="404040" w:themeColor="text1" w:themeTint="BF"/>
                                    <w:sz w:val="36"/>
                                    <w:szCs w:val="36"/>
                                  </w:rPr>
                                  <w:t xml:space="preserve">  </w:t>
                                </w:r>
                              </w:p>
                            </w:sdtContent>
                          </w:sdt>
                        </wne:txbxContent>
                      </wp:txbx>
                      <wp:bodyPr rot="0" spcFirstLastPara="0" vertOverflow="overflow" horzOverflow="overflow" vert="horz" wrap="square" lIns="1600200" tIns="0" rIns="685800" bIns="0" numCol="1" spcCol="0" rtlCol="0" fromWordArt="0" anchor="b" anchorCtr="0" forceAA="0" compatLnSpc="1">
                        <a:prstTxWarp prst="textNoShape">
                          <a:avLst/>
                        </a:prstTxWarp>
                        <a:noAutofit/>
                      </wp:bodyPr>
                    </wp:wsp>
                  </a:graphicData>
                </a:graphic>
                <wp14:sizeRelH relativeFrom="page">
                  <wp14:pctWidth>94.1%</wp14:pctWidth>
                </wp14:sizeRelH>
                <wp14:sizeRelV relativeFrom="page">
                  <wp14:pctHeight>36.3%</wp14:pctHeight>
                </wp14:sizeRelV>
              </wp:anchor>
            </w:drawing>
          </w:r>
        </w:p>
        <w:p w14:paraId="2960FE1F" w14:textId="40691B8F" w:rsidR="009770C0" w:rsidRPr="00E33F50" w:rsidRDefault="009770C0">
          <w:r w:rsidRPr="00E33F50">
            <w:br w:type="page"/>
          </w:r>
        </w:p>
      </w:sdtContent>
    </w:sdt>
    <w:p w14:paraId="5987EA89" w14:textId="66F757D7" w:rsidR="00E21A2B" w:rsidRPr="00B003BB" w:rsidRDefault="000D2FFB">
      <w:pPr>
        <w:rPr>
          <w:rFonts w:ascii="Arial" w:hAnsi="Arial" w:cs="Arial"/>
        </w:rPr>
      </w:pPr>
      <w:r w:rsidRPr="00B003BB">
        <w:rPr>
          <w:rFonts w:ascii="Arial" w:hAnsi="Arial" w:cs="Arial"/>
        </w:rPr>
        <w:lastRenderedPageBreak/>
        <w:t>Table of contents</w:t>
      </w:r>
    </w:p>
    <w:sdt>
      <w:sdtPr>
        <w:id w:val="-96326702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7F48EC5" w14:textId="441B384A" w:rsidR="00B003BB" w:rsidRDefault="00B003BB">
          <w:pPr>
            <w:pStyle w:val="TOCHeading"/>
          </w:pPr>
          <w:r>
            <w:t>Contents</w:t>
          </w:r>
        </w:p>
        <w:p w14:paraId="1451878C" w14:textId="3F0EE88A" w:rsidR="00B003BB" w:rsidRDefault="00B003BB">
          <w:pPr>
            <w:pStyle w:val="TOC1"/>
            <w:tabs>
              <w:tab w:val="end" w:leader="dot" w:pos="453.10pt"/>
            </w:tabs>
            <w:rPr>
              <w:noProof/>
            </w:rPr>
          </w:pPr>
          <w:r>
            <w:fldChar w:fldCharType="begin"/>
          </w:r>
          <w:r>
            <w:instrText xml:space="preserve"> TOC \o "1-3" \h \z \u </w:instrText>
          </w:r>
          <w:r>
            <w:fldChar w:fldCharType="separate"/>
          </w:r>
          <w:hyperlink w:anchor="_Toc236916845" w:history="1">
            <w:r w:rsidRPr="00DF4205">
              <w:rPr>
                <w:rStyle w:val="Hyperlink"/>
                <w:noProof/>
              </w:rPr>
              <w:t>Bronfenbrenner’s Ecological Systems Theory: A Critical Analysis of its Application to Health and Social Care Policy and Practice</w:t>
            </w:r>
            <w:r>
              <w:rPr>
                <w:noProof/>
                <w:webHidden/>
              </w:rPr>
              <w:tab/>
            </w:r>
            <w:r>
              <w:rPr>
                <w:noProof/>
                <w:webHidden/>
              </w:rPr>
              <w:fldChar w:fldCharType="begin"/>
            </w:r>
            <w:r>
              <w:rPr>
                <w:noProof/>
                <w:webHidden/>
              </w:rPr>
              <w:instrText xml:space="preserve"> PAGEREF _Toc236916845 \h </w:instrText>
            </w:r>
            <w:r>
              <w:rPr>
                <w:noProof/>
                <w:webHidden/>
              </w:rPr>
            </w:r>
            <w:r>
              <w:rPr>
                <w:noProof/>
                <w:webHidden/>
              </w:rPr>
              <w:fldChar w:fldCharType="separate"/>
            </w:r>
            <w:r>
              <w:rPr>
                <w:noProof/>
                <w:webHidden/>
              </w:rPr>
              <w:t>2</w:t>
            </w:r>
            <w:r>
              <w:rPr>
                <w:noProof/>
                <w:webHidden/>
              </w:rPr>
              <w:fldChar w:fldCharType="end"/>
            </w:r>
          </w:hyperlink>
        </w:p>
        <w:p w14:paraId="16C9BF7B" w14:textId="0CF8EE89" w:rsidR="00B003BB" w:rsidRDefault="00B003BB">
          <w:pPr>
            <w:pStyle w:val="TOC1"/>
            <w:tabs>
              <w:tab w:val="end" w:leader="dot" w:pos="453.10pt"/>
            </w:tabs>
            <w:rPr>
              <w:noProof/>
            </w:rPr>
          </w:pPr>
          <w:hyperlink w:anchor="_Toc236916846" w:history="1">
            <w:r w:rsidRPr="00DF4205">
              <w:rPr>
                <w:rStyle w:val="Hyperlink"/>
                <w:rFonts w:eastAsia="Times New Roman"/>
                <w:noProof/>
                <w:lang w:eastAsia="ro-RO"/>
              </w:rPr>
              <w:t>Introduction</w:t>
            </w:r>
            <w:r>
              <w:rPr>
                <w:noProof/>
                <w:webHidden/>
              </w:rPr>
              <w:tab/>
            </w:r>
            <w:r>
              <w:rPr>
                <w:noProof/>
                <w:webHidden/>
              </w:rPr>
              <w:fldChar w:fldCharType="begin"/>
            </w:r>
            <w:r>
              <w:rPr>
                <w:noProof/>
                <w:webHidden/>
              </w:rPr>
              <w:instrText xml:space="preserve"> PAGEREF _Toc236916846 \h </w:instrText>
            </w:r>
            <w:r>
              <w:rPr>
                <w:noProof/>
                <w:webHidden/>
              </w:rPr>
            </w:r>
            <w:r>
              <w:rPr>
                <w:noProof/>
                <w:webHidden/>
              </w:rPr>
              <w:fldChar w:fldCharType="separate"/>
            </w:r>
            <w:r>
              <w:rPr>
                <w:noProof/>
                <w:webHidden/>
              </w:rPr>
              <w:t>2</w:t>
            </w:r>
            <w:r>
              <w:rPr>
                <w:noProof/>
                <w:webHidden/>
              </w:rPr>
              <w:fldChar w:fldCharType="end"/>
            </w:r>
          </w:hyperlink>
        </w:p>
        <w:p w14:paraId="54C39F4F" w14:textId="7101CDCD" w:rsidR="00B003BB" w:rsidRDefault="00B003BB">
          <w:pPr>
            <w:pStyle w:val="TOC1"/>
            <w:tabs>
              <w:tab w:val="end" w:leader="dot" w:pos="453.10pt"/>
            </w:tabs>
            <w:rPr>
              <w:noProof/>
            </w:rPr>
          </w:pPr>
          <w:hyperlink w:anchor="_Toc236916847" w:history="1">
            <w:r w:rsidRPr="00DF4205">
              <w:rPr>
                <w:rStyle w:val="Hyperlink"/>
                <w:rFonts w:eastAsia="Times New Roman"/>
                <w:noProof/>
                <w:lang w:eastAsia="ro-RO"/>
              </w:rPr>
              <w:t>The Emergence and Development of Bronfenbrenner’s Ecological Systems Theory</w:t>
            </w:r>
            <w:r>
              <w:rPr>
                <w:noProof/>
                <w:webHidden/>
              </w:rPr>
              <w:tab/>
            </w:r>
            <w:r>
              <w:rPr>
                <w:noProof/>
                <w:webHidden/>
              </w:rPr>
              <w:fldChar w:fldCharType="begin"/>
            </w:r>
            <w:r>
              <w:rPr>
                <w:noProof/>
                <w:webHidden/>
              </w:rPr>
              <w:instrText xml:space="preserve"> PAGEREF _Toc236916847 \h </w:instrText>
            </w:r>
            <w:r>
              <w:rPr>
                <w:noProof/>
                <w:webHidden/>
              </w:rPr>
            </w:r>
            <w:r>
              <w:rPr>
                <w:noProof/>
                <w:webHidden/>
              </w:rPr>
              <w:fldChar w:fldCharType="separate"/>
            </w:r>
            <w:r>
              <w:rPr>
                <w:noProof/>
                <w:webHidden/>
              </w:rPr>
              <w:t>3</w:t>
            </w:r>
            <w:r>
              <w:rPr>
                <w:noProof/>
                <w:webHidden/>
              </w:rPr>
              <w:fldChar w:fldCharType="end"/>
            </w:r>
          </w:hyperlink>
        </w:p>
        <w:p w14:paraId="6FC37A6E" w14:textId="78D3AEE6" w:rsidR="00B003BB" w:rsidRDefault="00B003BB">
          <w:pPr>
            <w:pStyle w:val="TOC1"/>
            <w:tabs>
              <w:tab w:val="end" w:leader="dot" w:pos="453.10pt"/>
            </w:tabs>
            <w:rPr>
              <w:noProof/>
            </w:rPr>
          </w:pPr>
          <w:hyperlink w:anchor="_Toc236916848" w:history="1">
            <w:r w:rsidRPr="00DF4205">
              <w:rPr>
                <w:rStyle w:val="Hyperlink"/>
                <w:rFonts w:eastAsia="Times New Roman"/>
                <w:noProof/>
                <w:lang w:eastAsia="ro-RO"/>
              </w:rPr>
              <w:t>Critical Evaluation of Bronfenbrenner’s Ecological Systems Theory</w:t>
            </w:r>
            <w:r>
              <w:rPr>
                <w:noProof/>
                <w:webHidden/>
              </w:rPr>
              <w:tab/>
            </w:r>
            <w:r>
              <w:rPr>
                <w:noProof/>
                <w:webHidden/>
              </w:rPr>
              <w:fldChar w:fldCharType="begin"/>
            </w:r>
            <w:r>
              <w:rPr>
                <w:noProof/>
                <w:webHidden/>
              </w:rPr>
              <w:instrText xml:space="preserve"> PAGEREF _Toc236916848 \h </w:instrText>
            </w:r>
            <w:r>
              <w:rPr>
                <w:noProof/>
                <w:webHidden/>
              </w:rPr>
            </w:r>
            <w:r>
              <w:rPr>
                <w:noProof/>
                <w:webHidden/>
              </w:rPr>
              <w:fldChar w:fldCharType="separate"/>
            </w:r>
            <w:r>
              <w:rPr>
                <w:noProof/>
                <w:webHidden/>
              </w:rPr>
              <w:t>5</w:t>
            </w:r>
            <w:r>
              <w:rPr>
                <w:noProof/>
                <w:webHidden/>
              </w:rPr>
              <w:fldChar w:fldCharType="end"/>
            </w:r>
          </w:hyperlink>
        </w:p>
        <w:p w14:paraId="393CBAE8" w14:textId="7EF53AA2" w:rsidR="00B003BB" w:rsidRDefault="00B003BB">
          <w:pPr>
            <w:pStyle w:val="TOC1"/>
            <w:tabs>
              <w:tab w:val="end" w:leader="dot" w:pos="453.10pt"/>
            </w:tabs>
            <w:rPr>
              <w:noProof/>
            </w:rPr>
          </w:pPr>
          <w:hyperlink w:anchor="_Toc236916849" w:history="1">
            <w:r w:rsidRPr="00DF4205">
              <w:rPr>
                <w:rStyle w:val="Hyperlink"/>
                <w:rFonts w:eastAsia="Times New Roman"/>
                <w:noProof/>
                <w:lang w:eastAsia="ro-RO"/>
              </w:rPr>
              <w:t>Application to Health and Social Care Policy and Practice</w:t>
            </w:r>
            <w:r>
              <w:rPr>
                <w:noProof/>
                <w:webHidden/>
              </w:rPr>
              <w:tab/>
            </w:r>
            <w:r>
              <w:rPr>
                <w:noProof/>
                <w:webHidden/>
              </w:rPr>
              <w:fldChar w:fldCharType="begin"/>
            </w:r>
            <w:r>
              <w:rPr>
                <w:noProof/>
                <w:webHidden/>
              </w:rPr>
              <w:instrText xml:space="preserve"> PAGEREF _Toc236916849 \h </w:instrText>
            </w:r>
            <w:r>
              <w:rPr>
                <w:noProof/>
                <w:webHidden/>
              </w:rPr>
            </w:r>
            <w:r>
              <w:rPr>
                <w:noProof/>
                <w:webHidden/>
              </w:rPr>
              <w:fldChar w:fldCharType="separate"/>
            </w:r>
            <w:r>
              <w:rPr>
                <w:noProof/>
                <w:webHidden/>
              </w:rPr>
              <w:t>6</w:t>
            </w:r>
            <w:r>
              <w:rPr>
                <w:noProof/>
                <w:webHidden/>
              </w:rPr>
              <w:fldChar w:fldCharType="end"/>
            </w:r>
          </w:hyperlink>
        </w:p>
        <w:p w14:paraId="69DB3450" w14:textId="00A2BE49" w:rsidR="00B003BB" w:rsidRDefault="00B003BB">
          <w:pPr>
            <w:pStyle w:val="TOC1"/>
            <w:tabs>
              <w:tab w:val="end" w:leader="dot" w:pos="453.10pt"/>
            </w:tabs>
            <w:rPr>
              <w:noProof/>
            </w:rPr>
          </w:pPr>
          <w:hyperlink w:anchor="_Toc236916850" w:history="1">
            <w:r w:rsidRPr="00DF4205">
              <w:rPr>
                <w:rStyle w:val="Hyperlink"/>
                <w:rFonts w:eastAsia="Times New Roman"/>
                <w:noProof/>
                <w:lang w:eastAsia="ro-RO"/>
              </w:rPr>
              <w:t>Recommendations for Future Policy and Practice</w:t>
            </w:r>
            <w:r>
              <w:rPr>
                <w:noProof/>
                <w:webHidden/>
              </w:rPr>
              <w:tab/>
            </w:r>
            <w:r>
              <w:rPr>
                <w:noProof/>
                <w:webHidden/>
              </w:rPr>
              <w:fldChar w:fldCharType="begin"/>
            </w:r>
            <w:r>
              <w:rPr>
                <w:noProof/>
                <w:webHidden/>
              </w:rPr>
              <w:instrText xml:space="preserve"> PAGEREF _Toc236916850 \h </w:instrText>
            </w:r>
            <w:r>
              <w:rPr>
                <w:noProof/>
                <w:webHidden/>
              </w:rPr>
            </w:r>
            <w:r>
              <w:rPr>
                <w:noProof/>
                <w:webHidden/>
              </w:rPr>
              <w:fldChar w:fldCharType="separate"/>
            </w:r>
            <w:r>
              <w:rPr>
                <w:noProof/>
                <w:webHidden/>
              </w:rPr>
              <w:t>8</w:t>
            </w:r>
            <w:r>
              <w:rPr>
                <w:noProof/>
                <w:webHidden/>
              </w:rPr>
              <w:fldChar w:fldCharType="end"/>
            </w:r>
          </w:hyperlink>
        </w:p>
        <w:p w14:paraId="1972DFB2" w14:textId="5C591532" w:rsidR="00B003BB" w:rsidRDefault="00B003BB">
          <w:pPr>
            <w:pStyle w:val="TOC1"/>
            <w:tabs>
              <w:tab w:val="end" w:leader="dot" w:pos="453.10pt"/>
            </w:tabs>
            <w:rPr>
              <w:noProof/>
            </w:rPr>
          </w:pPr>
          <w:hyperlink w:anchor="_Toc236916851" w:history="1">
            <w:r w:rsidRPr="00DF4205">
              <w:rPr>
                <w:rStyle w:val="Hyperlink"/>
                <w:rFonts w:eastAsia="Times New Roman"/>
                <w:noProof/>
                <w:lang w:eastAsia="ro-RO"/>
              </w:rPr>
              <w:t>Conclusion</w:t>
            </w:r>
            <w:r>
              <w:rPr>
                <w:noProof/>
                <w:webHidden/>
              </w:rPr>
              <w:tab/>
            </w:r>
            <w:r>
              <w:rPr>
                <w:noProof/>
                <w:webHidden/>
              </w:rPr>
              <w:fldChar w:fldCharType="begin"/>
            </w:r>
            <w:r>
              <w:rPr>
                <w:noProof/>
                <w:webHidden/>
              </w:rPr>
              <w:instrText xml:space="preserve"> PAGEREF _Toc236916851 \h </w:instrText>
            </w:r>
            <w:r>
              <w:rPr>
                <w:noProof/>
                <w:webHidden/>
              </w:rPr>
            </w:r>
            <w:r>
              <w:rPr>
                <w:noProof/>
                <w:webHidden/>
              </w:rPr>
              <w:fldChar w:fldCharType="separate"/>
            </w:r>
            <w:r>
              <w:rPr>
                <w:noProof/>
                <w:webHidden/>
              </w:rPr>
              <w:t>9</w:t>
            </w:r>
            <w:r>
              <w:rPr>
                <w:noProof/>
                <w:webHidden/>
              </w:rPr>
              <w:fldChar w:fldCharType="end"/>
            </w:r>
          </w:hyperlink>
        </w:p>
        <w:p w14:paraId="66FC6217" w14:textId="6CCD352A" w:rsidR="00B003BB" w:rsidRDefault="00B003BB">
          <w:pPr>
            <w:pStyle w:val="TOC2"/>
            <w:tabs>
              <w:tab w:val="end" w:leader="dot" w:pos="453.10pt"/>
            </w:tabs>
            <w:rPr>
              <w:noProof/>
            </w:rPr>
          </w:pPr>
          <w:hyperlink w:anchor="_Toc236916852" w:history="1">
            <w:r w:rsidRPr="00DF4205">
              <w:rPr>
                <w:rStyle w:val="Hyperlink"/>
                <w:noProof/>
              </w:rPr>
              <w:t>References</w:t>
            </w:r>
            <w:r>
              <w:rPr>
                <w:noProof/>
                <w:webHidden/>
              </w:rPr>
              <w:tab/>
            </w:r>
            <w:r>
              <w:rPr>
                <w:noProof/>
                <w:webHidden/>
              </w:rPr>
              <w:fldChar w:fldCharType="begin"/>
            </w:r>
            <w:r>
              <w:rPr>
                <w:noProof/>
                <w:webHidden/>
              </w:rPr>
              <w:instrText xml:space="preserve"> PAGEREF _Toc236916852 \h </w:instrText>
            </w:r>
            <w:r>
              <w:rPr>
                <w:noProof/>
                <w:webHidden/>
              </w:rPr>
            </w:r>
            <w:r>
              <w:rPr>
                <w:noProof/>
                <w:webHidden/>
              </w:rPr>
              <w:fldChar w:fldCharType="separate"/>
            </w:r>
            <w:r>
              <w:rPr>
                <w:noProof/>
                <w:webHidden/>
              </w:rPr>
              <w:t>9</w:t>
            </w:r>
            <w:r>
              <w:rPr>
                <w:noProof/>
                <w:webHidden/>
              </w:rPr>
              <w:fldChar w:fldCharType="end"/>
            </w:r>
          </w:hyperlink>
        </w:p>
        <w:p w14:paraId="7C1602D0" w14:textId="177D7C6E" w:rsidR="00B003BB" w:rsidRDefault="00B003BB">
          <w:r>
            <w:rPr>
              <w:b/>
              <w:bCs/>
              <w:noProof/>
            </w:rPr>
            <w:fldChar w:fldCharType="end"/>
          </w:r>
        </w:p>
      </w:sdtContent>
    </w:sdt>
    <w:p w14:paraId="0BF9BE3F" w14:textId="77777777" w:rsidR="000D2FFB" w:rsidRPr="00E33F50" w:rsidRDefault="000D2FFB"/>
    <w:p w14:paraId="47D10CD3" w14:textId="77777777" w:rsidR="000D2FFB" w:rsidRPr="00E33F50" w:rsidRDefault="000D2FFB"/>
    <w:p w14:paraId="422C8AE7" w14:textId="77777777" w:rsidR="000D2FFB" w:rsidRPr="00E33F50" w:rsidRDefault="000D2FFB"/>
    <w:p w14:paraId="517135BB" w14:textId="77777777" w:rsidR="000D2FFB" w:rsidRPr="00E33F50" w:rsidRDefault="000D2FFB"/>
    <w:p w14:paraId="19918F95" w14:textId="77777777" w:rsidR="000D2FFB" w:rsidRPr="00E33F50" w:rsidRDefault="000D2FFB"/>
    <w:p w14:paraId="6450E327" w14:textId="77777777" w:rsidR="000D2FFB" w:rsidRPr="00E33F50" w:rsidRDefault="000D2FFB"/>
    <w:p w14:paraId="1100BEE8" w14:textId="77777777" w:rsidR="000D2FFB" w:rsidRPr="00E33F50" w:rsidRDefault="000D2FFB"/>
    <w:p w14:paraId="2FF5C140" w14:textId="77777777" w:rsidR="000D2FFB" w:rsidRPr="00E33F50" w:rsidRDefault="000D2FFB"/>
    <w:p w14:paraId="5E0A130B" w14:textId="77777777" w:rsidR="000D2FFB" w:rsidRPr="00E33F50" w:rsidRDefault="000D2FFB"/>
    <w:p w14:paraId="0A4EFC01" w14:textId="77777777" w:rsidR="000D2FFB" w:rsidRPr="00E33F50" w:rsidRDefault="000D2FFB"/>
    <w:p w14:paraId="45A47DAE" w14:textId="77777777" w:rsidR="000D2FFB" w:rsidRPr="00E33F50" w:rsidRDefault="000D2FFB"/>
    <w:p w14:paraId="1FC4AE6D" w14:textId="77777777" w:rsidR="000D2FFB" w:rsidRPr="00E33F50" w:rsidRDefault="000D2FFB"/>
    <w:p w14:paraId="3BB4EEFF" w14:textId="77777777" w:rsidR="000D2FFB" w:rsidRPr="00E33F50" w:rsidRDefault="000D2FFB"/>
    <w:p w14:paraId="18CADCBE" w14:textId="77777777" w:rsidR="000D2FFB" w:rsidRPr="00E33F50" w:rsidRDefault="000D2FFB"/>
    <w:p w14:paraId="79016D9F" w14:textId="77777777" w:rsidR="000D2FFB" w:rsidRPr="00E33F50" w:rsidRDefault="000D2FFB"/>
    <w:p w14:paraId="4F73C8F6" w14:textId="77777777" w:rsidR="000D2FFB" w:rsidRPr="00E33F50" w:rsidRDefault="000D2FFB"/>
    <w:p w14:paraId="70B07381" w14:textId="77777777" w:rsidR="000D2FFB" w:rsidRPr="00E33F50" w:rsidRDefault="000D2FFB"/>
    <w:p w14:paraId="4AA79A58" w14:textId="77777777" w:rsidR="000D2FFB" w:rsidRPr="00E33F50" w:rsidRDefault="000D2FFB"/>
    <w:p w14:paraId="12D093E6" w14:textId="77777777" w:rsidR="000D2FFB" w:rsidRPr="00E33F50" w:rsidRDefault="000D2FFB"/>
    <w:p w14:paraId="6B306AD3" w14:textId="77777777" w:rsidR="000D2FFB" w:rsidRPr="00E33F50" w:rsidRDefault="000D2FFB"/>
    <w:p w14:paraId="16616BCA" w14:textId="77777777" w:rsidR="000D2FFB" w:rsidRPr="00E33F50" w:rsidRDefault="000D2FFB"/>
    <w:p w14:paraId="30016E7B" w14:textId="77777777" w:rsidR="000D2FFB" w:rsidRPr="00E33F50" w:rsidRDefault="000D2FFB"/>
    <w:p w14:paraId="6952E591" w14:textId="77777777" w:rsidR="000D2FFB" w:rsidRPr="00E33F50" w:rsidRDefault="000D2FFB"/>
    <w:p w14:paraId="5E300CAD" w14:textId="77777777" w:rsidR="000D2FFB" w:rsidRPr="00E33F50" w:rsidRDefault="000D2FFB"/>
    <w:p w14:paraId="1D47484E" w14:textId="77777777" w:rsidR="000D2FFB" w:rsidRPr="00E33F50" w:rsidRDefault="000D2FFB"/>
    <w:p w14:paraId="6AAAD043" w14:textId="77777777" w:rsidR="000D2FFB" w:rsidRPr="00E33F50" w:rsidRDefault="000D2FFB"/>
    <w:p w14:paraId="6695FB9A" w14:textId="77777777" w:rsidR="000D2FFB" w:rsidRPr="00E33F50" w:rsidRDefault="000D2FFB"/>
    <w:p w14:paraId="59E400C1" w14:textId="77777777" w:rsidR="000D2FFB" w:rsidRPr="00E33F50" w:rsidRDefault="000D2FFB"/>
    <w:p w14:paraId="19237F53" w14:textId="77777777" w:rsidR="000D2FFB" w:rsidRPr="00E33F50" w:rsidRDefault="000D2FFB"/>
    <w:p w14:paraId="0BE63DF2" w14:textId="77777777" w:rsidR="000D2FFB" w:rsidRPr="00E33F50" w:rsidRDefault="000D2FFB"/>
    <w:p w14:paraId="66A88C04" w14:textId="77777777" w:rsidR="00F51D53" w:rsidRPr="00E33F50" w:rsidRDefault="00F51D53" w:rsidP="000864F1">
      <w:pPr>
        <w:pStyle w:val="Heading1"/>
      </w:pPr>
      <w:bookmarkStart w:id="0" w:name="_Toc236916845"/>
      <w:r w:rsidRPr="00E33F50">
        <w:t>Bronfenbrenner’s Ecological Systems Theory: A Critical Analysis of its Application to Health and Social Care Policy and Practice</w:t>
      </w:r>
      <w:bookmarkEnd w:id="0"/>
    </w:p>
    <w:p w14:paraId="3A805E45" w14:textId="7A5B23CE" w:rsidR="000D2FFB" w:rsidRPr="00E33F50" w:rsidRDefault="000D2FFB" w:rsidP="00B003BB">
      <w:pPr>
        <w:pStyle w:val="Heading1"/>
        <w:spacing w:line="18pt" w:lineRule="auto"/>
      </w:pPr>
    </w:p>
    <w:p w14:paraId="18D344A6" w14:textId="77777777" w:rsidR="00C5564B" w:rsidRPr="00E33F50" w:rsidRDefault="00C5564B" w:rsidP="000864F1">
      <w:pPr>
        <w:pStyle w:val="Heading1"/>
        <w:rPr>
          <w:rFonts w:eastAsia="Times New Roman"/>
          <w:sz w:val="24"/>
          <w:szCs w:val="24"/>
          <w:lang w:eastAsia="ro-RO"/>
        </w:rPr>
      </w:pPr>
      <w:bookmarkStart w:id="1" w:name="_Toc236916846"/>
      <w:r w:rsidRPr="00E33F50">
        <w:rPr>
          <w:rFonts w:eastAsia="Times New Roman"/>
          <w:lang w:eastAsia="ro-RO"/>
        </w:rPr>
        <w:t>Introduction</w:t>
      </w:r>
      <w:bookmarkEnd w:id="1"/>
    </w:p>
    <w:p w14:paraId="7BFD4DEC" w14:textId="77777777" w:rsidR="00C5564B" w:rsidRPr="00E33F50" w:rsidRDefault="00C5564B" w:rsidP="00C5564B">
      <w:pPr>
        <w:spacing w:after="0pt" w:line="12pt" w:lineRule="auto"/>
        <w:rPr>
          <w:rFonts w:ascii="Arial" w:eastAsia="Times New Roman" w:hAnsi="Arial" w:cs="Arial"/>
          <w:kern w:val="0"/>
          <w:sz w:val="24"/>
          <w:szCs w:val="24"/>
          <w:lang w:eastAsia="ro-RO"/>
          <w14:ligatures w14:val="none"/>
        </w:rPr>
      </w:pPr>
    </w:p>
    <w:p w14:paraId="3FA34AB9" w14:textId="48FE1D9E" w:rsidR="00C5564B" w:rsidRPr="00E33F50" w:rsidRDefault="00C5564B" w:rsidP="00C5564B">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Health and social care professionals </w:t>
      </w:r>
      <w:r w:rsidRPr="00E33F50">
        <w:rPr>
          <w:rFonts w:ascii="Arial" w:eastAsia="Times New Roman" w:hAnsi="Arial" w:cs="Arial"/>
          <w:color w:val="000000"/>
          <w:kern w:val="0"/>
          <w:lang w:eastAsia="ro-RO"/>
          <w14:ligatures w14:val="none"/>
        </w:rPr>
        <w:t xml:space="preserve">are </w:t>
      </w:r>
      <w:r w:rsidRPr="00E33F50">
        <w:rPr>
          <w:rFonts w:ascii="Arial" w:eastAsia="Times New Roman" w:hAnsi="Arial" w:cs="Arial"/>
          <w:color w:val="000000"/>
          <w:kern w:val="0"/>
          <w:lang w:eastAsia="ro-RO"/>
          <w14:ligatures w14:val="none"/>
        </w:rPr>
        <w:t>increasingly recognis</w:t>
      </w:r>
      <w:r w:rsidRPr="00E33F50">
        <w:rPr>
          <w:rFonts w:ascii="Arial" w:eastAsia="Times New Roman" w:hAnsi="Arial" w:cs="Arial"/>
          <w:color w:val="000000"/>
          <w:kern w:val="0"/>
          <w:lang w:eastAsia="ro-RO"/>
          <w14:ligatures w14:val="none"/>
        </w:rPr>
        <w:t xml:space="preserve">ing </w:t>
      </w:r>
      <w:r w:rsidRPr="00E33F50">
        <w:rPr>
          <w:rFonts w:ascii="Arial" w:eastAsia="Times New Roman" w:hAnsi="Arial" w:cs="Arial"/>
          <w:color w:val="000000"/>
          <w:kern w:val="0"/>
          <w:lang w:eastAsia="ro-RO"/>
          <w14:ligatures w14:val="none"/>
        </w:rPr>
        <w:t>that an individual’s health and wellbeing are influenced by a combination of psychological,</w:t>
      </w:r>
      <w:r w:rsidRPr="00E33F50">
        <w:rPr>
          <w:rFonts w:ascii="Arial" w:eastAsia="Times New Roman" w:hAnsi="Arial" w:cs="Arial"/>
          <w:color w:val="000000"/>
          <w:kern w:val="0"/>
          <w:lang w:eastAsia="ro-RO"/>
          <w14:ligatures w14:val="none"/>
        </w:rPr>
        <w:t xml:space="preserve"> biological</w:t>
      </w:r>
      <w:r w:rsidRPr="00E33F50">
        <w:rPr>
          <w:rFonts w:ascii="Arial" w:eastAsia="Times New Roman" w:hAnsi="Arial" w:cs="Arial"/>
          <w:color w:val="000000"/>
          <w:kern w:val="0"/>
          <w:lang w:eastAsia="ro-RO"/>
          <w14:ligatures w14:val="none"/>
        </w:rPr>
        <w:t xml:space="preserve"> social, environmental and political factors rather than medical conditions alone. This understanding has</w:t>
      </w:r>
      <w:r w:rsidRPr="00E33F50">
        <w:rPr>
          <w:rFonts w:ascii="Arial" w:eastAsia="Times New Roman" w:hAnsi="Arial" w:cs="Arial"/>
          <w:color w:val="000000"/>
          <w:kern w:val="0"/>
          <w:lang w:eastAsia="ro-RO"/>
          <w14:ligatures w14:val="none"/>
        </w:rPr>
        <w:t xml:space="preserve"> </w:t>
      </w:r>
      <w:proofErr w:type="gramStart"/>
      <w:r w:rsidRPr="00E33F50">
        <w:rPr>
          <w:rFonts w:ascii="Arial" w:eastAsia="Times New Roman" w:hAnsi="Arial" w:cs="Arial"/>
          <w:color w:val="000000"/>
          <w:kern w:val="0"/>
          <w:lang w:eastAsia="ro-RO"/>
          <w14:ligatures w14:val="none"/>
        </w:rPr>
        <w:t xml:space="preserve">been </w:t>
      </w:r>
      <w:r w:rsidRPr="00E33F50">
        <w:rPr>
          <w:rFonts w:ascii="Arial" w:eastAsia="Times New Roman" w:hAnsi="Arial" w:cs="Arial"/>
          <w:color w:val="000000"/>
          <w:kern w:val="0"/>
          <w:lang w:eastAsia="ro-RO"/>
          <w14:ligatures w14:val="none"/>
        </w:rPr>
        <w:t xml:space="preserve"> encourag</w:t>
      </w:r>
      <w:r w:rsidRPr="00E33F50">
        <w:rPr>
          <w:rFonts w:ascii="Arial" w:eastAsia="Times New Roman" w:hAnsi="Arial" w:cs="Arial"/>
          <w:color w:val="000000"/>
          <w:kern w:val="0"/>
          <w:lang w:eastAsia="ro-RO"/>
          <w14:ligatures w14:val="none"/>
        </w:rPr>
        <w:t>ing</w:t>
      </w:r>
      <w:proofErr w:type="gramEnd"/>
      <w:r w:rsidRPr="00E33F50">
        <w:rPr>
          <w:rFonts w:ascii="Arial" w:eastAsia="Times New Roman" w:hAnsi="Arial" w:cs="Arial"/>
          <w:color w:val="000000"/>
          <w:kern w:val="0"/>
          <w:lang w:eastAsia="ro-RO"/>
          <w14:ligatures w14:val="none"/>
        </w:rPr>
        <w:t xml:space="preserve"> </w:t>
      </w:r>
      <w:r w:rsidRPr="00E33F50">
        <w:rPr>
          <w:rFonts w:ascii="Arial" w:eastAsia="Times New Roman" w:hAnsi="Arial" w:cs="Arial"/>
          <w:color w:val="000000"/>
          <w:kern w:val="0"/>
          <w:lang w:eastAsia="ro-RO"/>
          <w14:ligatures w14:val="none"/>
        </w:rPr>
        <w:t>the adoption of holistic and person-centred approaches that consider the wider circumstances affecting people’s lives. One theoretical framework that supports this perspective is Bronfenbrenner’s Ecological Systems Theory (1979), which explains how multiple environmental systems interact to shape an individual’s development, behaviour and health outcomes (Bronfenbrenner, 1979).</w:t>
      </w:r>
    </w:p>
    <w:p w14:paraId="76767BF0" w14:textId="77777777" w:rsidR="00C5564B" w:rsidRPr="00E33F50" w:rsidRDefault="00C5564B" w:rsidP="00C5564B">
      <w:pPr>
        <w:spacing w:after="0pt" w:line="12pt" w:lineRule="auto"/>
        <w:rPr>
          <w:rFonts w:ascii="Arial" w:eastAsia="Times New Roman" w:hAnsi="Arial" w:cs="Arial"/>
          <w:kern w:val="0"/>
          <w:sz w:val="24"/>
          <w:szCs w:val="24"/>
          <w:lang w:eastAsia="ro-RO"/>
          <w14:ligatures w14:val="none"/>
        </w:rPr>
      </w:pPr>
    </w:p>
    <w:p w14:paraId="3A7D9322" w14:textId="412342F2" w:rsidR="00C5564B" w:rsidRPr="00E33F50" w:rsidRDefault="00C5564B" w:rsidP="00C5564B">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Bronfenbrenner proposed that human development </w:t>
      </w:r>
      <w:r w:rsidR="00DE5435" w:rsidRPr="00E33F50">
        <w:rPr>
          <w:rFonts w:ascii="Arial" w:eastAsia="Times New Roman" w:hAnsi="Arial" w:cs="Arial"/>
          <w:color w:val="000000"/>
          <w:kern w:val="0"/>
          <w:lang w:eastAsia="ro-RO"/>
          <w14:ligatures w14:val="none"/>
        </w:rPr>
        <w:t xml:space="preserve">is </w:t>
      </w:r>
      <w:proofErr w:type="spellStart"/>
      <w:r w:rsidRPr="00E33F50">
        <w:rPr>
          <w:rFonts w:ascii="Arial" w:eastAsia="Times New Roman" w:hAnsi="Arial" w:cs="Arial"/>
          <w:color w:val="000000"/>
          <w:kern w:val="0"/>
          <w:lang w:eastAsia="ro-RO"/>
          <w14:ligatures w14:val="none"/>
        </w:rPr>
        <w:t>occur</w:t>
      </w:r>
      <w:r w:rsidR="00DE5435" w:rsidRPr="00E33F50">
        <w:rPr>
          <w:rFonts w:ascii="Arial" w:eastAsia="Times New Roman" w:hAnsi="Arial" w:cs="Arial"/>
          <w:color w:val="000000"/>
          <w:kern w:val="0"/>
          <w:lang w:eastAsia="ro-RO"/>
          <w14:ligatures w14:val="none"/>
        </w:rPr>
        <w:t>ing</w:t>
      </w:r>
      <w:proofErr w:type="spellEnd"/>
      <w:r w:rsidRPr="00E33F50">
        <w:rPr>
          <w:rFonts w:ascii="Arial" w:eastAsia="Times New Roman" w:hAnsi="Arial" w:cs="Arial"/>
          <w:color w:val="000000"/>
          <w:kern w:val="0"/>
          <w:lang w:eastAsia="ro-RO"/>
          <w14:ligatures w14:val="none"/>
        </w:rPr>
        <w:t xml:space="preserve"> through continuous interactions between individuals and the environments in which they live. Rather than viewing health as solely the result of genetics or personal choices, the theory suggests that family </w:t>
      </w:r>
      <w:proofErr w:type="gramStart"/>
      <w:r w:rsidRPr="00E33F50">
        <w:rPr>
          <w:rFonts w:ascii="Arial" w:eastAsia="Times New Roman" w:hAnsi="Arial" w:cs="Arial"/>
          <w:color w:val="000000"/>
          <w:kern w:val="0"/>
          <w:lang w:eastAsia="ro-RO"/>
          <w14:ligatures w14:val="none"/>
        </w:rPr>
        <w:t>relationships,  healthcare</w:t>
      </w:r>
      <w:proofErr w:type="gramEnd"/>
      <w:r w:rsidRPr="00E33F50">
        <w:rPr>
          <w:rFonts w:ascii="Arial" w:eastAsia="Times New Roman" w:hAnsi="Arial" w:cs="Arial"/>
          <w:color w:val="000000"/>
          <w:kern w:val="0"/>
          <w:lang w:eastAsia="ro-RO"/>
          <w14:ligatures w14:val="none"/>
        </w:rPr>
        <w:t xml:space="preserve"> services, </w:t>
      </w:r>
      <w:proofErr w:type="gramStart"/>
      <w:r w:rsidRPr="00E33F50">
        <w:rPr>
          <w:rFonts w:ascii="Arial" w:eastAsia="Times New Roman" w:hAnsi="Arial" w:cs="Arial"/>
          <w:color w:val="000000"/>
          <w:kern w:val="0"/>
          <w:lang w:eastAsia="ro-RO"/>
          <w14:ligatures w14:val="none"/>
        </w:rPr>
        <w:t xml:space="preserve">communities, </w:t>
      </w:r>
      <w:r w:rsidR="00DE5435" w:rsidRPr="00E33F50">
        <w:rPr>
          <w:rFonts w:ascii="Arial" w:eastAsia="Times New Roman" w:hAnsi="Arial" w:cs="Arial"/>
          <w:color w:val="000000"/>
          <w:kern w:val="0"/>
          <w:lang w:eastAsia="ro-RO"/>
          <w14:ligatures w14:val="none"/>
        </w:rPr>
        <w:t xml:space="preserve"> education</w:t>
      </w:r>
      <w:proofErr w:type="gramEnd"/>
      <w:r w:rsidR="00DE5435" w:rsidRPr="00E33F50">
        <w:rPr>
          <w:rFonts w:ascii="Arial" w:eastAsia="Times New Roman" w:hAnsi="Arial" w:cs="Arial"/>
          <w:color w:val="000000"/>
          <w:kern w:val="0"/>
          <w:lang w:eastAsia="ro-RO"/>
          <w14:ligatures w14:val="none"/>
        </w:rPr>
        <w:t xml:space="preserve"> , </w:t>
      </w:r>
      <w:r w:rsidRPr="00E33F50">
        <w:rPr>
          <w:rFonts w:ascii="Arial" w:eastAsia="Times New Roman" w:hAnsi="Arial" w:cs="Arial"/>
          <w:color w:val="000000"/>
          <w:kern w:val="0"/>
          <w:lang w:eastAsia="ro-RO"/>
          <w14:ligatures w14:val="none"/>
        </w:rPr>
        <w:t>government policies and wider cultural values collectively influence an individual’s physical, emotional and social wellbeing (Bronfenbrenner and Morris, 2006). Consequently, the theory aligns closely with modern health and social care principles, particularly person-centred care, multidisciplinary collaboration and the recognition of the social determinants of health.</w:t>
      </w:r>
    </w:p>
    <w:p w14:paraId="7E825D62" w14:textId="77777777" w:rsidR="00C5564B" w:rsidRPr="00E33F50" w:rsidRDefault="00C5564B" w:rsidP="00C5564B">
      <w:pPr>
        <w:spacing w:after="0pt" w:line="12pt" w:lineRule="auto"/>
        <w:rPr>
          <w:rFonts w:ascii="Arial" w:eastAsia="Times New Roman" w:hAnsi="Arial" w:cs="Arial"/>
          <w:kern w:val="0"/>
          <w:sz w:val="24"/>
          <w:szCs w:val="24"/>
          <w:lang w:eastAsia="ro-RO"/>
          <w14:ligatures w14:val="none"/>
        </w:rPr>
      </w:pPr>
    </w:p>
    <w:p w14:paraId="6A45773A" w14:textId="5DBE90B5" w:rsidR="00C5564B" w:rsidRPr="00E33F50" w:rsidRDefault="00C5564B" w:rsidP="00C5564B">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The relevance of Bronfenbrenner’s theory has become increasingly evident within UK health and social care policy, where there is growing emphasis on integrated care, early intervention and reducing health inequalities (NHS England, 2019). However, despite its </w:t>
      </w:r>
      <w:r w:rsidRPr="00E33F50">
        <w:rPr>
          <w:rFonts w:ascii="Arial" w:eastAsia="Times New Roman" w:hAnsi="Arial" w:cs="Arial"/>
          <w:color w:val="000000"/>
          <w:kern w:val="0"/>
          <w:lang w:eastAsia="ro-RO"/>
          <w14:ligatures w14:val="none"/>
        </w:rPr>
        <w:lastRenderedPageBreak/>
        <w:t>widespread application, the theory has also</w:t>
      </w:r>
      <w:r w:rsidR="005E0657" w:rsidRPr="00E33F50">
        <w:rPr>
          <w:rFonts w:ascii="Arial" w:eastAsia="Times New Roman" w:hAnsi="Arial" w:cs="Arial"/>
          <w:color w:val="000000"/>
          <w:kern w:val="0"/>
          <w:lang w:eastAsia="ro-RO"/>
          <w14:ligatures w14:val="none"/>
        </w:rPr>
        <w:t xml:space="preserve"> been</w:t>
      </w:r>
      <w:r w:rsidRPr="00E33F50">
        <w:rPr>
          <w:rFonts w:ascii="Arial" w:eastAsia="Times New Roman" w:hAnsi="Arial" w:cs="Arial"/>
          <w:color w:val="000000"/>
          <w:kern w:val="0"/>
          <w:lang w:eastAsia="ro-RO"/>
          <w14:ligatures w14:val="none"/>
        </w:rPr>
        <w:t xml:space="preserve"> attract</w:t>
      </w:r>
      <w:r w:rsidR="005E0657" w:rsidRPr="00E33F50">
        <w:rPr>
          <w:rFonts w:ascii="Arial" w:eastAsia="Times New Roman" w:hAnsi="Arial" w:cs="Arial"/>
          <w:color w:val="000000"/>
          <w:kern w:val="0"/>
          <w:lang w:eastAsia="ro-RO"/>
          <w14:ligatures w14:val="none"/>
        </w:rPr>
        <w:t>ing</w:t>
      </w:r>
      <w:r w:rsidRPr="00E33F50">
        <w:rPr>
          <w:rFonts w:ascii="Arial" w:eastAsia="Times New Roman" w:hAnsi="Arial" w:cs="Arial"/>
          <w:color w:val="000000"/>
          <w:kern w:val="0"/>
          <w:lang w:eastAsia="ro-RO"/>
          <w14:ligatures w14:val="none"/>
        </w:rPr>
        <w:t xml:space="preserve"> criticism regarding its complexity, limited explanation of biological influences and difficulties in translating its broad concepts into everyday clinical practice.</w:t>
      </w:r>
    </w:p>
    <w:p w14:paraId="05FBEB61" w14:textId="77777777" w:rsidR="00C5564B" w:rsidRPr="00E33F50" w:rsidRDefault="00C5564B" w:rsidP="00C5564B">
      <w:pPr>
        <w:spacing w:after="0pt" w:line="12pt" w:lineRule="auto"/>
        <w:rPr>
          <w:rFonts w:ascii="Arial" w:eastAsia="Times New Roman" w:hAnsi="Arial" w:cs="Arial"/>
          <w:kern w:val="0"/>
          <w:sz w:val="24"/>
          <w:szCs w:val="24"/>
          <w:lang w:eastAsia="ro-RO"/>
          <w14:ligatures w14:val="none"/>
        </w:rPr>
      </w:pPr>
    </w:p>
    <w:p w14:paraId="2C818CA8" w14:textId="3F595C7E" w:rsidR="00C5564B" w:rsidRPr="00E33F50" w:rsidRDefault="00C5564B" w:rsidP="00C5564B">
      <w:pPr>
        <w:spacing w:after="0pt" w:line="12pt" w:lineRule="auto"/>
        <w:rPr>
          <w:rFonts w:ascii="Arial" w:eastAsia="Times New Roman" w:hAnsi="Arial" w:cs="Arial"/>
          <w:color w:val="000000"/>
          <w:kern w:val="0"/>
          <w:lang w:eastAsia="ro-RO"/>
          <w14:ligatures w14:val="none"/>
        </w:rPr>
      </w:pPr>
      <w:r w:rsidRPr="00E33F50">
        <w:rPr>
          <w:rFonts w:ascii="Arial" w:eastAsia="Times New Roman" w:hAnsi="Arial" w:cs="Arial"/>
          <w:color w:val="000000"/>
          <w:kern w:val="0"/>
          <w:lang w:eastAsia="ro-RO"/>
          <w14:ligatures w14:val="none"/>
        </w:rPr>
        <w:t>This essay critically examines the development of Bronfenbrenner’s Ecological Systems Theory, evaluates its strengths and limitations, explores its influence on health and social care policy and practice, and provides recommendations for improving its application within contemporary service</w:t>
      </w:r>
      <w:r w:rsidR="005E0657" w:rsidRPr="00E33F50">
        <w:rPr>
          <w:rFonts w:ascii="Arial" w:eastAsia="Times New Roman" w:hAnsi="Arial" w:cs="Arial"/>
          <w:color w:val="000000"/>
          <w:kern w:val="0"/>
          <w:lang w:eastAsia="ro-RO"/>
          <w14:ligatures w14:val="none"/>
        </w:rPr>
        <w:t>s.</w:t>
      </w:r>
    </w:p>
    <w:p w14:paraId="02FEA0AE" w14:textId="77777777" w:rsidR="005E0657" w:rsidRPr="00E33F50" w:rsidRDefault="005E0657" w:rsidP="00C5564B">
      <w:pPr>
        <w:spacing w:after="0pt" w:line="12pt" w:lineRule="auto"/>
        <w:rPr>
          <w:rFonts w:ascii="Arial" w:eastAsia="Times New Roman" w:hAnsi="Arial" w:cs="Arial"/>
          <w:color w:val="000000"/>
          <w:kern w:val="0"/>
          <w:lang w:eastAsia="ro-RO"/>
          <w14:ligatures w14:val="none"/>
        </w:rPr>
      </w:pPr>
    </w:p>
    <w:p w14:paraId="6FF77C3F" w14:textId="77777777" w:rsidR="005E0657" w:rsidRPr="00E33F50" w:rsidRDefault="005E0657" w:rsidP="00C5564B">
      <w:pPr>
        <w:spacing w:after="0pt" w:line="12pt" w:lineRule="auto"/>
        <w:rPr>
          <w:rFonts w:ascii="Arial" w:eastAsia="Times New Roman" w:hAnsi="Arial" w:cs="Arial"/>
          <w:color w:val="000000"/>
          <w:kern w:val="0"/>
          <w:lang w:eastAsia="ro-RO"/>
          <w14:ligatures w14:val="none"/>
        </w:rPr>
      </w:pPr>
    </w:p>
    <w:p w14:paraId="5D6906EB" w14:textId="77777777" w:rsidR="001110B9" w:rsidRPr="00E33F50" w:rsidRDefault="001110B9" w:rsidP="000864F1">
      <w:pPr>
        <w:pStyle w:val="Heading1"/>
        <w:rPr>
          <w:rFonts w:eastAsia="Times New Roman"/>
          <w:sz w:val="24"/>
          <w:szCs w:val="24"/>
          <w:lang w:eastAsia="ro-RO"/>
        </w:rPr>
      </w:pPr>
      <w:bookmarkStart w:id="2" w:name="_Toc236916847"/>
      <w:r w:rsidRPr="00E33F50">
        <w:rPr>
          <w:rFonts w:eastAsia="Times New Roman"/>
          <w:lang w:eastAsia="ro-RO"/>
        </w:rPr>
        <w:t>The Emergence and Development of Bronfenbrenner’s Ecological Systems Theory</w:t>
      </w:r>
      <w:bookmarkEnd w:id="2"/>
    </w:p>
    <w:p w14:paraId="213B4E33"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7B33B26C" w14:textId="77777777"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Bronfenbrenner developed the Ecological Systems Theory during the 1970s as a response to traditional developmental theories that focused primarily on individual characteristics while overlooking the influence of environmental factors. At that time, many psychological theories explained behaviour through genetics or cognitive development, whereas Bronfenbrenner argued that these perspectives underestimated the importance of the social environments surrounding individuals (Bronfenbrenner, 1979).</w:t>
      </w:r>
    </w:p>
    <w:p w14:paraId="0950C669"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7AD85048" w14:textId="18BFBDA3"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His theory was heavily influenced by ecological perspectives in sociology</w:t>
      </w:r>
      <w:r w:rsidR="001E6982" w:rsidRPr="00E33F50">
        <w:rPr>
          <w:rFonts w:ascii="Arial" w:eastAsia="Times New Roman" w:hAnsi="Arial" w:cs="Arial"/>
          <w:color w:val="000000"/>
          <w:kern w:val="0"/>
          <w:lang w:eastAsia="ro-RO"/>
          <w14:ligatures w14:val="none"/>
        </w:rPr>
        <w:t>, biology</w:t>
      </w:r>
      <w:r w:rsidRPr="00E33F50">
        <w:rPr>
          <w:rFonts w:ascii="Arial" w:eastAsia="Times New Roman" w:hAnsi="Arial" w:cs="Arial"/>
          <w:color w:val="000000"/>
          <w:kern w:val="0"/>
          <w:lang w:eastAsia="ro-RO"/>
          <w14:ligatures w14:val="none"/>
        </w:rPr>
        <w:t xml:space="preserve"> and developmental psychology. Bronfenbrenner proposed that individuals do not develop in isolation but are continuously influenced by interactions occurring across several interconnected environmental systems. This marked a significant shift away from reductionist approaches by recognising that development results from dynamic relationships between individuals and their environments rather than a single determining factor.</w:t>
      </w:r>
    </w:p>
    <w:p w14:paraId="578CC574"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4E7FD12D" w14:textId="0F8BB26E"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Initially, the theory </w:t>
      </w:r>
      <w:r w:rsidR="00E81158" w:rsidRPr="00E33F50">
        <w:rPr>
          <w:rFonts w:ascii="Arial" w:eastAsia="Times New Roman" w:hAnsi="Arial" w:cs="Arial"/>
          <w:color w:val="000000"/>
          <w:kern w:val="0"/>
          <w:lang w:eastAsia="ro-RO"/>
          <w14:ligatures w14:val="none"/>
        </w:rPr>
        <w:t xml:space="preserve">was consisted </w:t>
      </w:r>
      <w:r w:rsidRPr="00E33F50">
        <w:rPr>
          <w:rFonts w:ascii="Arial" w:eastAsia="Times New Roman" w:hAnsi="Arial" w:cs="Arial"/>
          <w:color w:val="000000"/>
          <w:kern w:val="0"/>
          <w:lang w:eastAsia="ro-RO"/>
          <w14:ligatures w14:val="none"/>
        </w:rPr>
        <w:t xml:space="preserve">of four environmental systems: the microsystem, mesosystem, </w:t>
      </w:r>
      <w:proofErr w:type="spellStart"/>
      <w:r w:rsidRPr="00E33F50">
        <w:rPr>
          <w:rFonts w:ascii="Arial" w:eastAsia="Times New Roman" w:hAnsi="Arial" w:cs="Arial"/>
          <w:color w:val="000000"/>
          <w:kern w:val="0"/>
          <w:lang w:eastAsia="ro-RO"/>
          <w14:ligatures w14:val="none"/>
        </w:rPr>
        <w:t>exosystem</w:t>
      </w:r>
      <w:proofErr w:type="spellEnd"/>
      <w:r w:rsidRPr="00E33F50">
        <w:rPr>
          <w:rFonts w:ascii="Arial" w:eastAsia="Times New Roman" w:hAnsi="Arial" w:cs="Arial"/>
          <w:color w:val="000000"/>
          <w:kern w:val="0"/>
          <w:lang w:eastAsia="ro-RO"/>
          <w14:ligatures w14:val="none"/>
        </w:rPr>
        <w:t xml:space="preserve"> and macrosystem. Bronfenbrenner later introduced a fifth level, the chronosystem, to acknowledge that environmental influences change throughout an individual’s life as society evolves (Bronfenbrenner and Morris, 2006).</w:t>
      </w:r>
    </w:p>
    <w:p w14:paraId="1888839E"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482DF6D3" w14:textId="580F1371"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The microsystem</w:t>
      </w:r>
      <w:r w:rsidR="000B7534" w:rsidRPr="00E33F50">
        <w:rPr>
          <w:rFonts w:ascii="Arial" w:eastAsia="Times New Roman" w:hAnsi="Arial" w:cs="Arial"/>
          <w:color w:val="000000"/>
          <w:kern w:val="0"/>
          <w:lang w:eastAsia="ro-RO"/>
          <w14:ligatures w14:val="none"/>
        </w:rPr>
        <w:t xml:space="preserve"> </w:t>
      </w:r>
      <w:proofErr w:type="gramStart"/>
      <w:r w:rsidR="000B7534" w:rsidRPr="00E33F50">
        <w:rPr>
          <w:rFonts w:ascii="Arial" w:eastAsia="Times New Roman" w:hAnsi="Arial" w:cs="Arial"/>
          <w:color w:val="000000"/>
          <w:kern w:val="0"/>
          <w:lang w:eastAsia="ro-RO"/>
          <w14:ligatures w14:val="none"/>
        </w:rPr>
        <w:t xml:space="preserve">is </w:t>
      </w:r>
      <w:r w:rsidRPr="00E33F50">
        <w:rPr>
          <w:rFonts w:ascii="Arial" w:eastAsia="Times New Roman" w:hAnsi="Arial" w:cs="Arial"/>
          <w:color w:val="000000"/>
          <w:kern w:val="0"/>
          <w:lang w:eastAsia="ro-RO"/>
          <w14:ligatures w14:val="none"/>
        </w:rPr>
        <w:t xml:space="preserve"> represent</w:t>
      </w:r>
      <w:r w:rsidR="000B7534" w:rsidRPr="00E33F50">
        <w:rPr>
          <w:rFonts w:ascii="Arial" w:eastAsia="Times New Roman" w:hAnsi="Arial" w:cs="Arial"/>
          <w:color w:val="000000"/>
          <w:kern w:val="0"/>
          <w:lang w:eastAsia="ro-RO"/>
          <w14:ligatures w14:val="none"/>
        </w:rPr>
        <w:t>ing</w:t>
      </w:r>
      <w:proofErr w:type="gramEnd"/>
      <w:r w:rsidR="000B7534" w:rsidRPr="00E33F50">
        <w:rPr>
          <w:rFonts w:ascii="Arial" w:eastAsia="Times New Roman" w:hAnsi="Arial" w:cs="Arial"/>
          <w:color w:val="000000"/>
          <w:kern w:val="0"/>
          <w:lang w:eastAsia="ro-RO"/>
          <w14:ligatures w14:val="none"/>
        </w:rPr>
        <w:t xml:space="preserve"> </w:t>
      </w:r>
      <w:r w:rsidRPr="00E33F50">
        <w:rPr>
          <w:rFonts w:ascii="Arial" w:eastAsia="Times New Roman" w:hAnsi="Arial" w:cs="Arial"/>
          <w:color w:val="000000"/>
          <w:kern w:val="0"/>
          <w:lang w:eastAsia="ro-RO"/>
          <w14:ligatures w14:val="none"/>
        </w:rPr>
        <w:t xml:space="preserve">the environments in which individuals have direct contact, including family members, friends, schools, workplaces and healthcare professionals. Within health and social care, these relationships significantly influence health behaviours, emotional wellbeing and treatment outcomes. For example, a patient living with diabetes may experience better health outcomes when supported by knowledgeable family members and healthcare professionals who encourage adherence to medication and healthy lifestyle </w:t>
      </w:r>
      <w:r w:rsidRPr="00E33F50">
        <w:rPr>
          <w:rFonts w:ascii="Arial" w:eastAsia="Times New Roman" w:hAnsi="Arial" w:cs="Arial"/>
          <w:color w:val="000000"/>
          <w:kern w:val="0"/>
          <w:lang w:eastAsia="ro-RO"/>
          <w14:ligatures w14:val="none"/>
        </w:rPr>
        <w:lastRenderedPageBreak/>
        <w:t>choices. This demonstrates that effective care extends beyond clinical interventions to include supportive interpersonal relationships.</w:t>
      </w:r>
    </w:p>
    <w:p w14:paraId="2662DFDC"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3A32C148" w14:textId="77777777"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The mesosystem refers to the interactions between different microsystems. Rather than viewing services independently, Bronfenbrenner argued that communication and cooperation between family members, healthcare providers, educational institutions and social care professionals can positively influence individual outcomes. This concept closely reflects modern multidisciplinary working, where collaboration between professionals improves continuity of care. Nevertheless, fragmented communication between agencies remains a persistent challenge within health and social care, suggesting that the theoretical benefits of the mesosystem are not always achieved in practice.</w:t>
      </w:r>
    </w:p>
    <w:p w14:paraId="482DB023"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1BCB0569" w14:textId="77777777"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The </w:t>
      </w:r>
      <w:proofErr w:type="spellStart"/>
      <w:r w:rsidRPr="00E33F50">
        <w:rPr>
          <w:rFonts w:ascii="Arial" w:eastAsia="Times New Roman" w:hAnsi="Arial" w:cs="Arial"/>
          <w:color w:val="000000"/>
          <w:kern w:val="0"/>
          <w:lang w:eastAsia="ro-RO"/>
          <w14:ligatures w14:val="none"/>
        </w:rPr>
        <w:t>exosystem</w:t>
      </w:r>
      <w:proofErr w:type="spellEnd"/>
      <w:r w:rsidRPr="00E33F50">
        <w:rPr>
          <w:rFonts w:ascii="Arial" w:eastAsia="Times New Roman" w:hAnsi="Arial" w:cs="Arial"/>
          <w:color w:val="000000"/>
          <w:kern w:val="0"/>
          <w:lang w:eastAsia="ro-RO"/>
          <w14:ligatures w14:val="none"/>
        </w:rPr>
        <w:t xml:space="preserve"> includes settings that indirectly affect individuals despite them having little or no direct involvement. Examples include parental employment, local authority decisions, housing policies and healthcare funding. A child, for instance, may never attend a local council meeting, yet decisions regarding housing quality, social care funding or community resources can significantly influence their health and development. This highlights one of Bronfenbrenner’s major contributions by recognising that broader organisational structures can shape individual wellbeing even when people have limited control over these influences.</w:t>
      </w:r>
    </w:p>
    <w:p w14:paraId="569B46B0"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1DF3BAF6" w14:textId="77777777"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The macrosystem encompasses wider societal values, cultural beliefs, political ideologies, economic conditions and legislation. Within the United Kingdom, policies promoting equality, safeguarding and person-centred care demonstrate how national priorities influence professional practice. Legislation such as the Care Act 2014, Equality Act 2010 and Health and Care Act 2022 reflects societal commitments to protecting vulnerable individuals, promoting inclusion and reducing health inequalities. Consequently, Bronfenbrenner’s theory provides a useful framework for understanding how political decisions influence health outcomes beyond individual responsibility.</w:t>
      </w:r>
    </w:p>
    <w:p w14:paraId="2A582DDC"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13E41722" w14:textId="242C35DB"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Finally, Bronfenbrenner introduced the chronosystem, recognising that environmental influences vary over time. Life transitions such as unemployment,</w:t>
      </w:r>
      <w:r w:rsidR="00E81158" w:rsidRPr="00E33F50">
        <w:rPr>
          <w:rFonts w:ascii="Arial" w:eastAsia="Times New Roman" w:hAnsi="Arial" w:cs="Arial"/>
          <w:color w:val="000000"/>
          <w:kern w:val="0"/>
          <w:lang w:eastAsia="ro-RO"/>
          <w14:ligatures w14:val="none"/>
        </w:rPr>
        <w:t xml:space="preserve"> starting school</w:t>
      </w:r>
      <w:r w:rsidRPr="00E33F50">
        <w:rPr>
          <w:rFonts w:ascii="Arial" w:eastAsia="Times New Roman" w:hAnsi="Arial" w:cs="Arial"/>
          <w:color w:val="000000"/>
          <w:kern w:val="0"/>
          <w:lang w:eastAsia="ro-RO"/>
          <w14:ligatures w14:val="none"/>
        </w:rPr>
        <w:t xml:space="preserve"> bereavement, ageing or experiencing a pandemic can substantially alter an individual’s health and wellbeing. More recently, the COVID-19 pandemic demonstrated the importance of this concept by illustrating how widespread social, economic and healthcare changes affected individuals differently depending on their age, socioeconomic circumstances and available support networks. Therefore, the chronosystem strengthens the theory by acknowledging that health is shaped by both historical events and personal life transitions.</w:t>
      </w:r>
    </w:p>
    <w:p w14:paraId="30582E65"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41F8B7A0" w14:textId="77777777" w:rsidR="001110B9" w:rsidRPr="00E33F50" w:rsidRDefault="001110B9"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lastRenderedPageBreak/>
        <w:t>Although Bronfenbrenner’s theory has undergone considerable development since its introduction, it was later refined into the Bioecological Model, emphasising the importance of proximal processes—the regular interactions between individuals and their environments—as the primary drivers of development (Bronfenbrenner and Morris, 2006). This refinement</w:t>
      </w:r>
      <w:r w:rsidRPr="00E33F50">
        <w:rPr>
          <w:rFonts w:ascii="Google Sans Text" w:eastAsia="Times New Roman" w:hAnsi="Google Sans Text" w:cs="Times New Roman"/>
          <w:color w:val="000000"/>
          <w:kern w:val="0"/>
          <w:lang w:eastAsia="ro-RO"/>
          <w14:ligatures w14:val="none"/>
        </w:rPr>
        <w:t xml:space="preserve"> </w:t>
      </w:r>
      <w:r w:rsidRPr="00E33F50">
        <w:rPr>
          <w:rFonts w:ascii="Arial" w:eastAsia="Times New Roman" w:hAnsi="Arial" w:cs="Arial"/>
          <w:color w:val="000000"/>
          <w:kern w:val="0"/>
          <w:lang w:eastAsia="ro-RO"/>
          <w14:ligatures w14:val="none"/>
        </w:rPr>
        <w:t>responded to criticism that the original model focused excessively on environmental structures without adequately explaining the mechanisms through which development occurs. By incorporating biological characteristics alongside environmental influences, the revised model provides a more comprehensive explanation of human development. Nevertheless, some researchers argue that even the updated model does not fully account for contemporary issues such as digital technology, globalisation and intersectionality, which increasingly shape health experiences within modern societies.</w:t>
      </w:r>
    </w:p>
    <w:p w14:paraId="7DA95448" w14:textId="77777777" w:rsidR="001110B9" w:rsidRPr="00E33F50" w:rsidRDefault="001110B9" w:rsidP="001110B9">
      <w:pPr>
        <w:spacing w:after="0pt" w:line="12pt" w:lineRule="auto"/>
        <w:rPr>
          <w:rFonts w:ascii="Arial" w:eastAsia="Times New Roman" w:hAnsi="Arial" w:cs="Arial"/>
          <w:kern w:val="0"/>
          <w:sz w:val="24"/>
          <w:szCs w:val="24"/>
          <w:lang w:eastAsia="ro-RO"/>
          <w14:ligatures w14:val="none"/>
        </w:rPr>
      </w:pPr>
    </w:p>
    <w:p w14:paraId="64134238" w14:textId="77777777" w:rsidR="001110B9" w:rsidRPr="00E33F50" w:rsidRDefault="001110B9" w:rsidP="00B003BB">
      <w:pPr>
        <w:spacing w:after="0pt" w:line="18pt" w:lineRule="auto"/>
        <w:rPr>
          <w:rFonts w:ascii="Arial" w:eastAsia="Times New Roman" w:hAnsi="Arial" w:cs="Arial"/>
          <w:color w:val="000000"/>
          <w:kern w:val="0"/>
          <w:lang w:eastAsia="ro-RO"/>
          <w14:ligatures w14:val="none"/>
        </w:rPr>
      </w:pPr>
      <w:r w:rsidRPr="00E33F50">
        <w:rPr>
          <w:rFonts w:ascii="Arial" w:eastAsia="Times New Roman" w:hAnsi="Arial" w:cs="Arial"/>
          <w:color w:val="000000"/>
          <w:kern w:val="0"/>
          <w:lang w:eastAsia="ro-RO"/>
          <w14:ligatures w14:val="none"/>
        </w:rPr>
        <w:t>Overall, the emergence and development of Bronfenbrenner’s Ecological Systems Theory represented a significant advancement in understanding human development by recognising the interconnected influences of families, communities, organisations and society. Its holistic perspective continues to underpin person-centred health and social care. However, the complexity of the model also raises important questions regarding its practical implementation, which will be critically explored in the following section.</w:t>
      </w:r>
    </w:p>
    <w:p w14:paraId="26D49DDB" w14:textId="77777777" w:rsidR="008E3AC9" w:rsidRPr="00E33F50" w:rsidRDefault="008E3AC9" w:rsidP="001110B9">
      <w:pPr>
        <w:spacing w:after="0pt" w:line="12pt" w:lineRule="auto"/>
        <w:rPr>
          <w:rFonts w:ascii="Arial" w:eastAsia="Times New Roman" w:hAnsi="Arial" w:cs="Arial"/>
          <w:color w:val="000000"/>
          <w:kern w:val="0"/>
          <w:lang w:eastAsia="ro-RO"/>
          <w14:ligatures w14:val="none"/>
        </w:rPr>
      </w:pPr>
    </w:p>
    <w:p w14:paraId="575E1C36" w14:textId="77777777" w:rsidR="008E3AC9" w:rsidRPr="00E33F50" w:rsidRDefault="008E3AC9" w:rsidP="001110B9">
      <w:pPr>
        <w:spacing w:after="0pt" w:line="12pt" w:lineRule="auto"/>
        <w:rPr>
          <w:rFonts w:ascii="Arial" w:eastAsia="Times New Roman" w:hAnsi="Arial" w:cs="Arial"/>
          <w:color w:val="000000"/>
          <w:kern w:val="0"/>
          <w:lang w:eastAsia="ro-RO"/>
          <w14:ligatures w14:val="none"/>
        </w:rPr>
      </w:pPr>
    </w:p>
    <w:p w14:paraId="07D3035E" w14:textId="77777777" w:rsidR="008E3AC9" w:rsidRPr="00E33F50" w:rsidRDefault="008E3AC9" w:rsidP="001110B9">
      <w:pPr>
        <w:spacing w:after="0pt" w:line="12pt" w:lineRule="auto"/>
        <w:rPr>
          <w:rFonts w:ascii="Arial" w:eastAsia="Times New Roman" w:hAnsi="Arial" w:cs="Arial"/>
          <w:kern w:val="0"/>
          <w:sz w:val="24"/>
          <w:szCs w:val="24"/>
          <w:lang w:eastAsia="ro-RO"/>
          <w14:ligatures w14:val="none"/>
        </w:rPr>
      </w:pPr>
    </w:p>
    <w:p w14:paraId="69AEBA8D" w14:textId="77777777" w:rsidR="005E0657" w:rsidRPr="00E33F50" w:rsidRDefault="005E0657" w:rsidP="00C5564B">
      <w:pPr>
        <w:spacing w:after="0pt" w:line="12pt" w:lineRule="auto"/>
        <w:rPr>
          <w:rFonts w:ascii="Arial" w:eastAsia="Times New Roman" w:hAnsi="Arial" w:cs="Arial"/>
          <w:kern w:val="0"/>
          <w:sz w:val="24"/>
          <w:szCs w:val="24"/>
          <w:lang w:eastAsia="ro-RO"/>
          <w14:ligatures w14:val="none"/>
        </w:rPr>
      </w:pPr>
    </w:p>
    <w:p w14:paraId="6083E153" w14:textId="77777777" w:rsidR="001E6982" w:rsidRPr="00E33F50" w:rsidRDefault="001E6982" w:rsidP="001E6982">
      <w:pPr>
        <w:pStyle w:val="Heading1"/>
        <w:rPr>
          <w:rFonts w:eastAsia="Times New Roman"/>
          <w:sz w:val="24"/>
          <w:szCs w:val="24"/>
          <w:lang w:eastAsia="ro-RO"/>
        </w:rPr>
      </w:pPr>
      <w:bookmarkStart w:id="3" w:name="_Toc236916848"/>
      <w:r w:rsidRPr="00E33F50">
        <w:rPr>
          <w:rFonts w:eastAsia="Times New Roman"/>
          <w:lang w:eastAsia="ro-RO"/>
        </w:rPr>
        <w:t>Critical Evaluation of Bronfenbrenner’s Ecological Systems Theory</w:t>
      </w:r>
      <w:bookmarkEnd w:id="3"/>
    </w:p>
    <w:p w14:paraId="3E68080A"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38094E23"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Bronfenbrenner’s Ecological Systems Theory has become one of the most influential frameworks underpinning person-centred health and social care because it recognises that health and wellbeing are shaped by interactions between individuals and their environments (Bronfenbrenner and Morris, 2006). One of its main strengths is its holistic approach, encouraging professionals to consider family relationships, education, culture and socioeconomic circumstances rather than focusing solely on medical conditions. This supports person-centred care by recognising that every individual has unique experiences and needs, enabling care to be tailored rather than standardised.</w:t>
      </w:r>
    </w:p>
    <w:p w14:paraId="58075AC6"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2D323167" w14:textId="459403F1"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The theory also </w:t>
      </w:r>
      <w:r w:rsidR="00E442EE" w:rsidRPr="00E33F50">
        <w:rPr>
          <w:rFonts w:ascii="Arial" w:eastAsia="Times New Roman" w:hAnsi="Arial" w:cs="Arial"/>
          <w:color w:val="000000"/>
          <w:kern w:val="0"/>
          <w:lang w:eastAsia="ro-RO"/>
          <w14:ligatures w14:val="none"/>
        </w:rPr>
        <w:t xml:space="preserve">is </w:t>
      </w:r>
      <w:proofErr w:type="gramStart"/>
      <w:r w:rsidRPr="00E33F50">
        <w:rPr>
          <w:rFonts w:ascii="Arial" w:eastAsia="Times New Roman" w:hAnsi="Arial" w:cs="Arial"/>
          <w:color w:val="000000"/>
          <w:kern w:val="0"/>
          <w:lang w:eastAsia="ro-RO"/>
          <w14:ligatures w14:val="none"/>
        </w:rPr>
        <w:t>promot</w:t>
      </w:r>
      <w:r w:rsidR="00E442EE" w:rsidRPr="00E33F50">
        <w:rPr>
          <w:rFonts w:ascii="Arial" w:eastAsia="Times New Roman" w:hAnsi="Arial" w:cs="Arial"/>
          <w:color w:val="000000"/>
          <w:kern w:val="0"/>
          <w:lang w:eastAsia="ro-RO"/>
          <w14:ligatures w14:val="none"/>
        </w:rPr>
        <w:t xml:space="preserve">ing </w:t>
      </w:r>
      <w:r w:rsidRPr="00E33F50">
        <w:rPr>
          <w:rFonts w:ascii="Arial" w:eastAsia="Times New Roman" w:hAnsi="Arial" w:cs="Arial"/>
          <w:color w:val="000000"/>
          <w:kern w:val="0"/>
          <w:lang w:eastAsia="ro-RO"/>
          <w14:ligatures w14:val="none"/>
        </w:rPr>
        <w:t xml:space="preserve"> multidisciplinary</w:t>
      </w:r>
      <w:proofErr w:type="gramEnd"/>
      <w:r w:rsidRPr="00E33F50">
        <w:rPr>
          <w:rFonts w:ascii="Arial" w:eastAsia="Times New Roman" w:hAnsi="Arial" w:cs="Arial"/>
          <w:color w:val="000000"/>
          <w:kern w:val="0"/>
          <w:lang w:eastAsia="ro-RO"/>
          <w14:ligatures w14:val="none"/>
        </w:rPr>
        <w:t xml:space="preserve"> working by emphasising that different systems are interconnected. Effective communication between healthcare professionals, social workers, families and community organisations can improve continuity of care and lead to </w:t>
      </w:r>
      <w:r w:rsidRPr="00E33F50">
        <w:rPr>
          <w:rFonts w:ascii="Arial" w:eastAsia="Times New Roman" w:hAnsi="Arial" w:cs="Arial"/>
          <w:color w:val="000000"/>
          <w:kern w:val="0"/>
          <w:lang w:eastAsia="ro-RO"/>
          <w14:ligatures w14:val="none"/>
        </w:rPr>
        <w:lastRenderedPageBreak/>
        <w:t>better outcomes. This is particularly relevant for individuals with complex needs, where coordinated interventions are often more effective than isolated professional input. Therefore, Bronfenbrenner’s theory supports integrated care and reflects current health and social care priorities.</w:t>
      </w:r>
    </w:p>
    <w:p w14:paraId="799DFD3A"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3D089ED8"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Another strength is its recognition of the social determinants of health. Factors such as poverty, housing, education and employment significantly influence health outcomes, highlighting that inequalities cannot be addressed through healthcare alone (Marmot et al., 2020). This perspective encourages preventative interventions and wider policy changes rather than focusing only on treating illness after it occurs.</w:t>
      </w:r>
    </w:p>
    <w:p w14:paraId="0EC29937"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5A7C972A"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However, the theory also has limitations. One criticism is that it is highly complex, making it difficult for practitioners to identify which environmental factors should be prioritised when several issues affect an individual simultaneously. Although the model explains that different systems interact, it offers limited practical guidance on how professionals should determine the most appropriate intervention.</w:t>
      </w:r>
    </w:p>
    <w:p w14:paraId="78C00B55"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7A7FBD5A"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Furthermore, Bronfenbrenner’s original theory focused more heavily on environmental influences than biological factors. While the later Bioecological Model acknowledged biological characteristics through the PPCT framework, some critics argue that genetic and neurological influences remain underrepresented. Consequently, the theory may not fully explain conditions where biological factors play a significant role, suggesting that it should be used alongside other models, such as Engel’s Biopsychosocial Model, to provide a more balanced understanding of health.</w:t>
      </w:r>
    </w:p>
    <w:p w14:paraId="1190211B"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6152C294" w14:textId="4A533596"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Additionally, the theory predates modern digital society. </w:t>
      </w:r>
      <w:r w:rsidR="00A00B7E" w:rsidRPr="00E33F50">
        <w:rPr>
          <w:rFonts w:ascii="Arial" w:eastAsia="Times New Roman" w:hAnsi="Arial" w:cs="Arial"/>
          <w:color w:val="000000"/>
          <w:kern w:val="0"/>
          <w:lang w:eastAsia="ro-RO"/>
          <w14:ligatures w14:val="none"/>
        </w:rPr>
        <w:t xml:space="preserve">Online </w:t>
      </w:r>
      <w:proofErr w:type="gramStart"/>
      <w:r w:rsidRPr="00E33F50">
        <w:rPr>
          <w:rFonts w:ascii="Arial" w:eastAsia="Times New Roman" w:hAnsi="Arial" w:cs="Arial"/>
          <w:color w:val="000000"/>
          <w:kern w:val="0"/>
          <w:lang w:eastAsia="ro-RO"/>
          <w14:ligatures w14:val="none"/>
        </w:rPr>
        <w:t xml:space="preserve">communities </w:t>
      </w:r>
      <w:r w:rsidR="00A00B7E" w:rsidRPr="00E33F50">
        <w:rPr>
          <w:rFonts w:ascii="Arial" w:eastAsia="Times New Roman" w:hAnsi="Arial" w:cs="Arial"/>
          <w:color w:val="000000"/>
          <w:kern w:val="0"/>
          <w:lang w:eastAsia="ro-RO"/>
          <w14:ligatures w14:val="none"/>
        </w:rPr>
        <w:t>,</w:t>
      </w:r>
      <w:proofErr w:type="gramEnd"/>
      <w:r w:rsidR="00A00B7E" w:rsidRPr="00E33F50">
        <w:rPr>
          <w:rFonts w:ascii="Arial" w:eastAsia="Times New Roman" w:hAnsi="Arial" w:cs="Arial"/>
          <w:color w:val="000000"/>
          <w:kern w:val="0"/>
          <w:lang w:eastAsia="ro-RO"/>
          <w14:ligatures w14:val="none"/>
        </w:rPr>
        <w:t xml:space="preserve"> social media </w:t>
      </w:r>
      <w:r w:rsidRPr="00E33F50">
        <w:rPr>
          <w:rFonts w:ascii="Arial" w:eastAsia="Times New Roman" w:hAnsi="Arial" w:cs="Arial"/>
          <w:color w:val="000000"/>
          <w:kern w:val="0"/>
          <w:lang w:eastAsia="ro-RO"/>
          <w14:ligatures w14:val="none"/>
        </w:rPr>
        <w:t>and telehealth</w:t>
      </w:r>
      <w:r w:rsidR="00A00B7E" w:rsidRPr="00E33F50">
        <w:rPr>
          <w:rFonts w:ascii="Arial" w:eastAsia="Times New Roman" w:hAnsi="Arial" w:cs="Arial"/>
          <w:color w:val="000000"/>
          <w:kern w:val="0"/>
          <w:lang w:eastAsia="ro-RO"/>
          <w14:ligatures w14:val="none"/>
        </w:rPr>
        <w:t xml:space="preserve"> are</w:t>
      </w:r>
      <w:r w:rsidRPr="00E33F50">
        <w:rPr>
          <w:rFonts w:ascii="Arial" w:eastAsia="Times New Roman" w:hAnsi="Arial" w:cs="Arial"/>
          <w:color w:val="000000"/>
          <w:kern w:val="0"/>
          <w:lang w:eastAsia="ro-RO"/>
          <w14:ligatures w14:val="none"/>
        </w:rPr>
        <w:t xml:space="preserve"> now influenc</w:t>
      </w:r>
      <w:r w:rsidR="00A00B7E" w:rsidRPr="00E33F50">
        <w:rPr>
          <w:rFonts w:ascii="Arial" w:eastAsia="Times New Roman" w:hAnsi="Arial" w:cs="Arial"/>
          <w:color w:val="000000"/>
          <w:kern w:val="0"/>
          <w:lang w:eastAsia="ro-RO"/>
          <w14:ligatures w14:val="none"/>
        </w:rPr>
        <w:t xml:space="preserve">ing </w:t>
      </w:r>
      <w:r w:rsidRPr="00E33F50">
        <w:rPr>
          <w:rFonts w:ascii="Arial" w:eastAsia="Times New Roman" w:hAnsi="Arial" w:cs="Arial"/>
          <w:color w:val="000000"/>
          <w:kern w:val="0"/>
          <w:lang w:eastAsia="ro-RO"/>
          <w14:ligatures w14:val="none"/>
        </w:rPr>
        <w:t>health behaviours and wellbeing, yet these factors were not explicitly considered within Bronfenbrenner’s original framework. This highlights the need to adapt the theory to reflect contemporary social environments.</w:t>
      </w:r>
    </w:p>
    <w:p w14:paraId="3EFF8354"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6B5E0601"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Overall, despite these limitations, Bronfenbrenner’s Ecological Systems Theory remains highly relevant because it encourages professionals to move beyond a purely medical model of care. Its emphasis on collaboration, prevention and holistic assessment continues to support person-centred practice, although combining it with other theoretical approaches may provide a more comprehensive understanding of health and wellbeing.</w:t>
      </w:r>
    </w:p>
    <w:p w14:paraId="11194210"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1108104B" w14:textId="008B876B"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7D65D4B9"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469EC859" w14:textId="77777777" w:rsidR="001E6982" w:rsidRPr="00E33F50" w:rsidRDefault="001E6982" w:rsidP="001E6982">
      <w:pPr>
        <w:pStyle w:val="Heading1"/>
        <w:rPr>
          <w:rFonts w:eastAsia="Times New Roman"/>
          <w:sz w:val="24"/>
          <w:szCs w:val="24"/>
          <w:lang w:eastAsia="ro-RO"/>
        </w:rPr>
      </w:pPr>
      <w:bookmarkStart w:id="4" w:name="_Toc236916849"/>
      <w:r w:rsidRPr="00E33F50">
        <w:rPr>
          <w:rFonts w:eastAsia="Times New Roman"/>
          <w:lang w:eastAsia="ro-RO"/>
        </w:rPr>
        <w:lastRenderedPageBreak/>
        <w:t>Application to Health and Social Care Policy and Practice</w:t>
      </w:r>
      <w:bookmarkEnd w:id="4"/>
    </w:p>
    <w:p w14:paraId="5478E402"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3CD00D39" w14:textId="77777777" w:rsidR="001E6982" w:rsidRPr="00E33F50" w:rsidRDefault="001E6982" w:rsidP="00B003BB">
      <w:pPr>
        <w:spacing w:after="0pt" w:line="13.80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Bronfenbrenner’s Ecological Systems Theory has influenced the development of health and social care policy by reinforcing the importance of addressing the wider factors that affect health. This is reflected in the NHS Long Term Plan (2019), which promotes prevention, integrated care and collaboration between healthcare providers, local authorities and voluntary organisations. These priorities mirror Bronfenbrenner’s view that positive outcomes depend upon effective interaction between different systems rather than isolated healthcare interventions.</w:t>
      </w:r>
    </w:p>
    <w:p w14:paraId="14981E26" w14:textId="77777777" w:rsidR="001E6982" w:rsidRPr="00E33F50" w:rsidRDefault="001E6982" w:rsidP="001E6982">
      <w:pPr>
        <w:spacing w:after="0pt" w:line="12pt" w:lineRule="auto"/>
        <w:rPr>
          <w:rFonts w:ascii="Times New Roman" w:eastAsia="Times New Roman" w:hAnsi="Times New Roman" w:cs="Times New Roman"/>
          <w:kern w:val="0"/>
          <w:sz w:val="24"/>
          <w:szCs w:val="24"/>
          <w:lang w:eastAsia="ro-RO"/>
          <w14:ligatures w14:val="none"/>
        </w:rPr>
      </w:pPr>
    </w:p>
    <w:p w14:paraId="2AC95480"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Similarly, the Care Act 2014 supports ecological principles by requiring professionals to promote wellbeing through person-centred assessments that consider physical, emotional and social needs. Rather than focusing only on illness, the Act encourages practitioners to involve families and carers in decision-making, reflecting Bronfenbrenner’s emphasis on relationships within the microsystem and mesosystem. However, despite the legislation promoting person-centred care, financial pressures and increasing demand for services have limited consistent implementation across local authorities. This demonstrates that effective policy depends not only on legislation but also on adequate funding and workforce capacity.</w:t>
      </w:r>
    </w:p>
    <w:p w14:paraId="08BB6AED"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1901B0F6" w14:textId="545D4B0E"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The Health and Care Act 2022 further </w:t>
      </w:r>
      <w:proofErr w:type="gramStart"/>
      <w:r w:rsidRPr="00E33F50">
        <w:rPr>
          <w:rFonts w:ascii="Arial" w:eastAsia="Times New Roman" w:hAnsi="Arial" w:cs="Arial"/>
          <w:color w:val="000000"/>
          <w:kern w:val="0"/>
          <w:lang w:eastAsia="ro-RO"/>
          <w14:ligatures w14:val="none"/>
        </w:rPr>
        <w:t>reflects</w:t>
      </w:r>
      <w:proofErr w:type="gramEnd"/>
      <w:r w:rsidRPr="00E33F50">
        <w:rPr>
          <w:rFonts w:ascii="Arial" w:eastAsia="Times New Roman" w:hAnsi="Arial" w:cs="Arial"/>
          <w:color w:val="000000"/>
          <w:kern w:val="0"/>
          <w:lang w:eastAsia="ro-RO"/>
          <w14:ligatures w14:val="none"/>
        </w:rPr>
        <w:t xml:space="preserve"> ecological principles through the introduction of Integrated Care Systems (ICSs), which</w:t>
      </w:r>
      <w:r w:rsidR="00B73514" w:rsidRPr="00E33F50">
        <w:rPr>
          <w:rFonts w:ascii="Arial" w:eastAsia="Times New Roman" w:hAnsi="Arial" w:cs="Arial"/>
          <w:color w:val="000000"/>
          <w:kern w:val="0"/>
          <w:lang w:eastAsia="ro-RO"/>
          <w14:ligatures w14:val="none"/>
        </w:rPr>
        <w:t xml:space="preserve"> is</w:t>
      </w:r>
      <w:r w:rsidRPr="00E33F50">
        <w:rPr>
          <w:rFonts w:ascii="Arial" w:eastAsia="Times New Roman" w:hAnsi="Arial" w:cs="Arial"/>
          <w:color w:val="000000"/>
          <w:kern w:val="0"/>
          <w:lang w:eastAsia="ro-RO"/>
          <w14:ligatures w14:val="none"/>
        </w:rPr>
        <w:t xml:space="preserve"> aim</w:t>
      </w:r>
      <w:r w:rsidR="00B73514" w:rsidRPr="00E33F50">
        <w:rPr>
          <w:rFonts w:ascii="Arial" w:eastAsia="Times New Roman" w:hAnsi="Arial" w:cs="Arial"/>
          <w:color w:val="000000"/>
          <w:kern w:val="0"/>
          <w:lang w:eastAsia="ro-RO"/>
          <w14:ligatures w14:val="none"/>
        </w:rPr>
        <w:t>ing</w:t>
      </w:r>
      <w:r w:rsidRPr="00E33F50">
        <w:rPr>
          <w:rFonts w:ascii="Arial" w:eastAsia="Times New Roman" w:hAnsi="Arial" w:cs="Arial"/>
          <w:color w:val="000000"/>
          <w:kern w:val="0"/>
          <w:lang w:eastAsia="ro-RO"/>
          <w14:ligatures w14:val="none"/>
        </w:rPr>
        <w:t xml:space="preserve"> to improve partnership working between health and social care organisations. These systems recognise that individuals often require support from multiple services simultaneously. Nevertheless, communication barriers and differences between organisations can reduce the effectiveness of collaborative working, suggesting that organisational culture remains an important challenge despite policy reforms.</w:t>
      </w:r>
    </w:p>
    <w:p w14:paraId="70EE7CF2"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083C36DF" w14:textId="14DC363A"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Bronfenbrenner’s theory has also influenced everyday professional practice by encouraging holistic assessments that consider family </w:t>
      </w:r>
      <w:r w:rsidR="00E33F50" w:rsidRPr="00E33F50">
        <w:rPr>
          <w:rFonts w:ascii="Arial" w:eastAsia="Times New Roman" w:hAnsi="Arial" w:cs="Arial"/>
          <w:color w:val="000000"/>
          <w:kern w:val="0"/>
          <w:lang w:eastAsia="ro-RO"/>
          <w14:ligatures w14:val="none"/>
        </w:rPr>
        <w:t>support, financial</w:t>
      </w:r>
      <w:r w:rsidRPr="00E33F50">
        <w:rPr>
          <w:rFonts w:ascii="Arial" w:eastAsia="Times New Roman" w:hAnsi="Arial" w:cs="Arial"/>
          <w:color w:val="000000"/>
          <w:kern w:val="0"/>
          <w:lang w:eastAsia="ro-RO"/>
          <w14:ligatures w14:val="none"/>
        </w:rPr>
        <w:t xml:space="preserve"> circumstances</w:t>
      </w:r>
      <w:r w:rsidR="00B73514" w:rsidRPr="00E33F50">
        <w:rPr>
          <w:rFonts w:ascii="Arial" w:eastAsia="Times New Roman" w:hAnsi="Arial" w:cs="Arial"/>
          <w:color w:val="000000"/>
          <w:kern w:val="0"/>
          <w:lang w:eastAsia="ro-RO"/>
          <w14:ligatures w14:val="none"/>
        </w:rPr>
        <w:t xml:space="preserve">, </w:t>
      </w:r>
      <w:r w:rsidR="00E33F50" w:rsidRPr="00E33F50">
        <w:rPr>
          <w:rFonts w:ascii="Arial" w:eastAsia="Times New Roman" w:hAnsi="Arial" w:cs="Arial"/>
          <w:color w:val="000000"/>
          <w:kern w:val="0"/>
          <w:lang w:eastAsia="ro-RO"/>
          <w14:ligatures w14:val="none"/>
        </w:rPr>
        <w:t>cultural background</w:t>
      </w:r>
      <w:r w:rsidR="00B73514" w:rsidRPr="00E33F50">
        <w:rPr>
          <w:rFonts w:ascii="Arial" w:eastAsia="Times New Roman" w:hAnsi="Arial" w:cs="Arial"/>
          <w:color w:val="000000"/>
          <w:kern w:val="0"/>
          <w:lang w:eastAsia="ro-RO"/>
          <w14:ligatures w14:val="none"/>
        </w:rPr>
        <w:t xml:space="preserve"> </w:t>
      </w:r>
      <w:r w:rsidRPr="00E33F50">
        <w:rPr>
          <w:rFonts w:ascii="Arial" w:eastAsia="Times New Roman" w:hAnsi="Arial" w:cs="Arial"/>
          <w:color w:val="000000"/>
          <w:kern w:val="0"/>
          <w:lang w:eastAsia="ro-RO"/>
          <w14:ligatures w14:val="none"/>
        </w:rPr>
        <w:t>and community resources. For example, when supporting an individual with long-term mental health needs, professionals should consider not only medical treatment but also employment,</w:t>
      </w:r>
      <w:r w:rsidR="00B73514" w:rsidRPr="00E33F50">
        <w:rPr>
          <w:rFonts w:ascii="Arial" w:eastAsia="Times New Roman" w:hAnsi="Arial" w:cs="Arial"/>
          <w:color w:val="000000"/>
          <w:kern w:val="0"/>
          <w:lang w:eastAsia="ro-RO"/>
          <w14:ligatures w14:val="none"/>
        </w:rPr>
        <w:t xml:space="preserve"> housing,</w:t>
      </w:r>
      <w:r w:rsidRPr="00E33F50">
        <w:rPr>
          <w:rFonts w:ascii="Arial" w:eastAsia="Times New Roman" w:hAnsi="Arial" w:cs="Arial"/>
          <w:color w:val="000000"/>
          <w:kern w:val="0"/>
          <w:lang w:eastAsia="ro-RO"/>
          <w14:ligatures w14:val="none"/>
        </w:rPr>
        <w:t xml:space="preserve"> social relationships and access to community services. This person-centred approach is more likely to achieve sustainable outcomes because it addresses the underlying causes of poor health rather than simply managing symptoms.</w:t>
      </w:r>
    </w:p>
    <w:p w14:paraId="0911AC4E"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060BF505"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However, applying the theory in practice can be challenging. Comprehensive assessments require time, resources and effective multidisciplinary communication, which may be difficult in overstretched services. Consequently, practitioners may struggle to apply all aspects of the ecological model despite recognising its value. Therefore, while Bronfenbrenner’s theory </w:t>
      </w:r>
      <w:r w:rsidRPr="00E33F50">
        <w:rPr>
          <w:rFonts w:ascii="Arial" w:eastAsia="Times New Roman" w:hAnsi="Arial" w:cs="Arial"/>
          <w:color w:val="000000"/>
          <w:kern w:val="0"/>
          <w:lang w:eastAsia="ro-RO"/>
          <w14:ligatures w14:val="none"/>
        </w:rPr>
        <w:lastRenderedPageBreak/>
        <w:t>provides a strong framework for person-centred care, its effectiveness depends on sufficient organisational support, professional training and investment in integrated services.</w:t>
      </w:r>
    </w:p>
    <w:p w14:paraId="13C37BA3" w14:textId="77777777" w:rsidR="001E6982" w:rsidRPr="00E33F50" w:rsidRDefault="001E6982" w:rsidP="001E6982">
      <w:pPr>
        <w:spacing w:after="0pt" w:line="12pt" w:lineRule="auto"/>
        <w:rPr>
          <w:rFonts w:ascii="Arial" w:eastAsia="Times New Roman" w:hAnsi="Arial" w:cs="Arial"/>
          <w:kern w:val="0"/>
          <w:sz w:val="24"/>
          <w:szCs w:val="24"/>
          <w:lang w:eastAsia="ro-RO"/>
          <w14:ligatures w14:val="none"/>
        </w:rPr>
      </w:pPr>
    </w:p>
    <w:p w14:paraId="4D6AE63E" w14:textId="77777777" w:rsidR="001E6982" w:rsidRPr="00E33F50" w:rsidRDefault="001E6982"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Overall, Bronfenbrenner’s Ecological Systems Theory continues to shape contemporary health and social care by promoting holistic, collaborative and preventative approaches. Although practical barriers remain, its emphasis on understanding individuals within their wider social environment makes it a valuable framework for improving person-centred care and reducing health inequalities.</w:t>
      </w:r>
    </w:p>
    <w:p w14:paraId="69751A81" w14:textId="77777777" w:rsidR="00C5564B" w:rsidRPr="00E33F50" w:rsidRDefault="00C5564B" w:rsidP="00F51D53">
      <w:pPr>
        <w:spacing w:line="18pt" w:lineRule="auto"/>
        <w:rPr>
          <w:rFonts w:ascii="Arial" w:hAnsi="Arial" w:cs="Arial"/>
        </w:rPr>
      </w:pPr>
    </w:p>
    <w:p w14:paraId="10C75B06" w14:textId="77777777" w:rsidR="00394B1B" w:rsidRPr="00E33F50" w:rsidRDefault="00394B1B" w:rsidP="00394B1B">
      <w:pPr>
        <w:pStyle w:val="Heading1"/>
        <w:rPr>
          <w:rFonts w:eastAsia="Times New Roman"/>
          <w:sz w:val="24"/>
          <w:szCs w:val="24"/>
          <w:lang w:eastAsia="ro-RO"/>
        </w:rPr>
      </w:pPr>
      <w:bookmarkStart w:id="5" w:name="_Toc236916850"/>
      <w:r w:rsidRPr="00E33F50">
        <w:rPr>
          <w:rFonts w:eastAsia="Times New Roman"/>
          <w:lang w:eastAsia="ro-RO"/>
        </w:rPr>
        <w:t>Recommendations for Future Policy and Practice</w:t>
      </w:r>
      <w:bookmarkEnd w:id="5"/>
    </w:p>
    <w:p w14:paraId="4AFBB46B" w14:textId="77777777" w:rsidR="00394B1B" w:rsidRPr="00E33F50" w:rsidRDefault="00394B1B" w:rsidP="00394B1B">
      <w:pPr>
        <w:spacing w:after="0pt" w:line="12pt" w:lineRule="auto"/>
        <w:rPr>
          <w:rFonts w:ascii="Times New Roman" w:eastAsia="Times New Roman" w:hAnsi="Times New Roman" w:cs="Times New Roman"/>
          <w:kern w:val="0"/>
          <w:sz w:val="24"/>
          <w:szCs w:val="24"/>
          <w:lang w:eastAsia="ro-RO"/>
          <w14:ligatures w14:val="none"/>
        </w:rPr>
      </w:pPr>
    </w:p>
    <w:p w14:paraId="35455266" w14:textId="72D9A74C" w:rsidR="00394B1B" w:rsidRPr="00E33F50" w:rsidRDefault="00A31721"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 </w:t>
      </w:r>
      <w:proofErr w:type="gramStart"/>
      <w:r w:rsidRPr="00E33F50">
        <w:rPr>
          <w:rFonts w:ascii="Arial" w:eastAsia="Times New Roman" w:hAnsi="Arial" w:cs="Arial"/>
          <w:color w:val="000000"/>
          <w:kern w:val="0"/>
          <w:lang w:eastAsia="ro-RO"/>
          <w14:ligatures w14:val="none"/>
        </w:rPr>
        <w:t>In order t</w:t>
      </w:r>
      <w:r w:rsidR="00394B1B" w:rsidRPr="00E33F50">
        <w:rPr>
          <w:rFonts w:ascii="Arial" w:eastAsia="Times New Roman" w:hAnsi="Arial" w:cs="Arial"/>
          <w:color w:val="000000"/>
          <w:kern w:val="0"/>
          <w:lang w:eastAsia="ro-RO"/>
          <w14:ligatures w14:val="none"/>
        </w:rPr>
        <w:t>o</w:t>
      </w:r>
      <w:proofErr w:type="gramEnd"/>
      <w:r w:rsidR="00394B1B" w:rsidRPr="00E33F50">
        <w:rPr>
          <w:rFonts w:ascii="Arial" w:eastAsia="Times New Roman" w:hAnsi="Arial" w:cs="Arial"/>
          <w:color w:val="000000"/>
          <w:kern w:val="0"/>
          <w:lang w:eastAsia="ro-RO"/>
          <w14:ligatures w14:val="none"/>
        </w:rPr>
        <w:t xml:space="preserve"> strengthen the application of Bronfenbrenner’s Ecological Systems Theory, health and social care organisations should continue </w:t>
      </w:r>
      <w:r w:rsidRPr="00E33F50">
        <w:rPr>
          <w:rFonts w:ascii="Arial" w:eastAsia="Times New Roman" w:hAnsi="Arial" w:cs="Arial"/>
          <w:color w:val="000000"/>
          <w:kern w:val="0"/>
          <w:lang w:eastAsia="ro-RO"/>
          <w14:ligatures w14:val="none"/>
        </w:rPr>
        <w:t>to invest</w:t>
      </w:r>
      <w:r w:rsidR="00394B1B" w:rsidRPr="00E33F50">
        <w:rPr>
          <w:rFonts w:ascii="Arial" w:eastAsia="Times New Roman" w:hAnsi="Arial" w:cs="Arial"/>
          <w:color w:val="000000"/>
          <w:kern w:val="0"/>
          <w:lang w:eastAsia="ro-RO"/>
          <w14:ligatures w14:val="none"/>
        </w:rPr>
        <w:t xml:space="preserve"> in integrated and person-centred services that improve collaboration between healthcare providers, community organisations</w:t>
      </w:r>
      <w:r w:rsidR="00035333" w:rsidRPr="00E33F50">
        <w:rPr>
          <w:rFonts w:ascii="Arial" w:eastAsia="Times New Roman" w:hAnsi="Arial" w:cs="Arial"/>
          <w:color w:val="000000"/>
          <w:kern w:val="0"/>
          <w:lang w:eastAsia="ro-RO"/>
          <w14:ligatures w14:val="none"/>
        </w:rPr>
        <w:t xml:space="preserve"> and social care </w:t>
      </w:r>
      <w:proofErr w:type="spellStart"/>
      <w:r w:rsidR="00035333" w:rsidRPr="00E33F50">
        <w:rPr>
          <w:rFonts w:ascii="Arial" w:eastAsia="Times New Roman" w:hAnsi="Arial" w:cs="Arial"/>
          <w:color w:val="000000"/>
          <w:kern w:val="0"/>
          <w:lang w:eastAsia="ro-RO"/>
          <w14:ligatures w14:val="none"/>
        </w:rPr>
        <w:t>proffesionals</w:t>
      </w:r>
      <w:proofErr w:type="spellEnd"/>
      <w:r w:rsidR="00035333" w:rsidRPr="00E33F50">
        <w:rPr>
          <w:rFonts w:ascii="Arial" w:eastAsia="Times New Roman" w:hAnsi="Arial" w:cs="Arial"/>
          <w:color w:val="000000"/>
          <w:kern w:val="0"/>
          <w:lang w:eastAsia="ro-RO"/>
          <w14:ligatures w14:val="none"/>
        </w:rPr>
        <w:t>.</w:t>
      </w:r>
      <w:r w:rsidR="00394B1B" w:rsidRPr="00E33F50">
        <w:rPr>
          <w:rFonts w:ascii="Arial" w:eastAsia="Times New Roman" w:hAnsi="Arial" w:cs="Arial"/>
          <w:color w:val="000000"/>
          <w:kern w:val="0"/>
          <w:lang w:eastAsia="ro-RO"/>
          <w14:ligatures w14:val="none"/>
        </w:rPr>
        <w:t xml:space="preserve"> Stronger communication systems and shared training could reduce fragmented care and improve continuity of support for individuals with complex needs.</w:t>
      </w:r>
    </w:p>
    <w:p w14:paraId="3F76F19D" w14:textId="77777777" w:rsidR="00394B1B" w:rsidRPr="00E33F50" w:rsidRDefault="00394B1B" w:rsidP="00394B1B">
      <w:pPr>
        <w:spacing w:after="0pt" w:line="12pt" w:lineRule="auto"/>
        <w:rPr>
          <w:rFonts w:ascii="Times New Roman" w:eastAsia="Times New Roman" w:hAnsi="Times New Roman" w:cs="Times New Roman"/>
          <w:kern w:val="0"/>
          <w:sz w:val="24"/>
          <w:szCs w:val="24"/>
          <w:lang w:eastAsia="ro-RO"/>
          <w14:ligatures w14:val="none"/>
        </w:rPr>
      </w:pPr>
    </w:p>
    <w:p w14:paraId="511FF6B7" w14:textId="77777777" w:rsidR="00394B1B" w:rsidRPr="00E33F50" w:rsidRDefault="00394B1B"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Furthermore, policymakers should address wider social determinants of health, including poverty, housing and education, rather than focusing solely on healthcare interventions. Preventative strategies that target these environmental factors are more likely to reduce health inequalities and improve long-term wellbeing. Finally, Bronfenbrenner’s theory should be adapted to acknowledge the growing influence of digital technology and online environments, ensuring it remains relevant within modern health and social care practice.</w:t>
      </w:r>
    </w:p>
    <w:p w14:paraId="5248ACC9" w14:textId="77777777" w:rsidR="00394B1B" w:rsidRPr="00E33F50" w:rsidRDefault="00394B1B" w:rsidP="00394B1B">
      <w:pPr>
        <w:spacing w:after="0pt" w:line="12pt" w:lineRule="auto"/>
        <w:rPr>
          <w:rFonts w:ascii="Times New Roman" w:eastAsia="Times New Roman" w:hAnsi="Times New Roman" w:cs="Times New Roman"/>
          <w:kern w:val="0"/>
          <w:sz w:val="24"/>
          <w:szCs w:val="24"/>
          <w:lang w:eastAsia="ro-RO"/>
          <w14:ligatures w14:val="none"/>
        </w:rPr>
      </w:pPr>
    </w:p>
    <w:p w14:paraId="491980D9" w14:textId="772A5358" w:rsidR="00394B1B" w:rsidRPr="00E33F50" w:rsidRDefault="00394B1B" w:rsidP="00394B1B">
      <w:pPr>
        <w:spacing w:after="0pt" w:line="12pt" w:lineRule="auto"/>
        <w:rPr>
          <w:rFonts w:ascii="Times New Roman" w:eastAsia="Times New Roman" w:hAnsi="Times New Roman" w:cs="Times New Roman"/>
          <w:kern w:val="0"/>
          <w:sz w:val="24"/>
          <w:szCs w:val="24"/>
          <w:lang w:eastAsia="ro-RO"/>
          <w14:ligatures w14:val="none"/>
        </w:rPr>
      </w:pPr>
    </w:p>
    <w:p w14:paraId="7270D8E6" w14:textId="77777777" w:rsidR="00394B1B" w:rsidRPr="00E33F50" w:rsidRDefault="00394B1B" w:rsidP="00394B1B">
      <w:pPr>
        <w:spacing w:after="0pt" w:line="12pt" w:lineRule="auto"/>
        <w:rPr>
          <w:rFonts w:ascii="Times New Roman" w:eastAsia="Times New Roman" w:hAnsi="Times New Roman" w:cs="Times New Roman"/>
          <w:kern w:val="0"/>
          <w:sz w:val="24"/>
          <w:szCs w:val="24"/>
          <w:lang w:eastAsia="ro-RO"/>
          <w14:ligatures w14:val="none"/>
        </w:rPr>
      </w:pPr>
    </w:p>
    <w:p w14:paraId="28C789BB" w14:textId="77777777" w:rsidR="00B003BB" w:rsidRDefault="00B003BB" w:rsidP="00035333">
      <w:pPr>
        <w:pStyle w:val="Heading1"/>
        <w:rPr>
          <w:rFonts w:eastAsia="Times New Roman"/>
          <w:lang w:eastAsia="ro-RO"/>
        </w:rPr>
      </w:pPr>
    </w:p>
    <w:p w14:paraId="15CA9328" w14:textId="77777777" w:rsidR="00B003BB" w:rsidRDefault="00B003BB" w:rsidP="00035333">
      <w:pPr>
        <w:pStyle w:val="Heading1"/>
        <w:rPr>
          <w:rFonts w:eastAsia="Times New Roman"/>
          <w:lang w:eastAsia="ro-RO"/>
        </w:rPr>
      </w:pPr>
    </w:p>
    <w:p w14:paraId="1070610A" w14:textId="77777777" w:rsidR="00B003BB" w:rsidRDefault="00B003BB" w:rsidP="00035333">
      <w:pPr>
        <w:pStyle w:val="Heading1"/>
        <w:rPr>
          <w:rFonts w:eastAsia="Times New Roman"/>
          <w:lang w:eastAsia="ro-RO"/>
        </w:rPr>
      </w:pPr>
    </w:p>
    <w:p w14:paraId="481DC56F" w14:textId="77777777" w:rsidR="00B003BB" w:rsidRDefault="00B003BB" w:rsidP="00035333">
      <w:pPr>
        <w:pStyle w:val="Heading1"/>
        <w:rPr>
          <w:rFonts w:eastAsia="Times New Roman"/>
          <w:lang w:eastAsia="ro-RO"/>
        </w:rPr>
      </w:pPr>
    </w:p>
    <w:p w14:paraId="67B1B092" w14:textId="77777777" w:rsidR="00B003BB" w:rsidRDefault="00B003BB" w:rsidP="00035333">
      <w:pPr>
        <w:pStyle w:val="Heading1"/>
        <w:rPr>
          <w:rFonts w:eastAsia="Times New Roman"/>
          <w:lang w:eastAsia="ro-RO"/>
        </w:rPr>
      </w:pPr>
    </w:p>
    <w:p w14:paraId="0887C3A7" w14:textId="77777777" w:rsidR="00B003BB" w:rsidRDefault="00B003BB" w:rsidP="00035333">
      <w:pPr>
        <w:pStyle w:val="Heading1"/>
        <w:rPr>
          <w:rFonts w:eastAsia="Times New Roman"/>
          <w:lang w:eastAsia="ro-RO"/>
        </w:rPr>
      </w:pPr>
    </w:p>
    <w:p w14:paraId="7F112628" w14:textId="77777777" w:rsidR="00B003BB" w:rsidRDefault="00B003BB" w:rsidP="00035333">
      <w:pPr>
        <w:pStyle w:val="Heading1"/>
        <w:rPr>
          <w:rFonts w:eastAsia="Times New Roman"/>
          <w:lang w:eastAsia="ro-RO"/>
        </w:rPr>
      </w:pPr>
    </w:p>
    <w:p w14:paraId="57FE846A" w14:textId="79EA90C0" w:rsidR="00394B1B" w:rsidRPr="00B003BB" w:rsidRDefault="00394B1B" w:rsidP="00B003BB">
      <w:pPr>
        <w:pStyle w:val="Heading1"/>
        <w:rPr>
          <w:rFonts w:eastAsia="Times New Roman"/>
          <w:sz w:val="24"/>
          <w:szCs w:val="24"/>
          <w:lang w:eastAsia="ro-RO"/>
        </w:rPr>
      </w:pPr>
      <w:bookmarkStart w:id="6" w:name="_Toc236916851"/>
      <w:r w:rsidRPr="00E33F50">
        <w:rPr>
          <w:rFonts w:eastAsia="Times New Roman"/>
          <w:lang w:eastAsia="ro-RO"/>
        </w:rPr>
        <w:t>Conclusion</w:t>
      </w:r>
      <w:bookmarkEnd w:id="6"/>
    </w:p>
    <w:p w14:paraId="5A2AB54A" w14:textId="58B93D8A" w:rsidR="00394B1B" w:rsidRPr="00E33F50" w:rsidRDefault="00394B1B" w:rsidP="00B003BB">
      <w:pPr>
        <w:spacing w:after="0pt" w:line="18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In conclusion, Bronfenbrenner’s Ecological Systems </w:t>
      </w:r>
      <w:proofErr w:type="gramStart"/>
      <w:r w:rsidRPr="00E33F50">
        <w:rPr>
          <w:rFonts w:ascii="Arial" w:eastAsia="Times New Roman" w:hAnsi="Arial" w:cs="Arial"/>
          <w:color w:val="000000"/>
          <w:kern w:val="0"/>
          <w:lang w:eastAsia="ro-RO"/>
          <w14:ligatures w14:val="none"/>
        </w:rPr>
        <w:t xml:space="preserve">Theory </w:t>
      </w:r>
      <w:r w:rsidR="00035333" w:rsidRPr="00E33F50">
        <w:rPr>
          <w:rFonts w:ascii="Arial" w:eastAsia="Times New Roman" w:hAnsi="Arial" w:cs="Arial"/>
          <w:color w:val="000000"/>
          <w:kern w:val="0"/>
          <w:lang w:eastAsia="ro-RO"/>
          <w14:ligatures w14:val="none"/>
        </w:rPr>
        <w:t xml:space="preserve"> is</w:t>
      </w:r>
      <w:proofErr w:type="gramEnd"/>
      <w:r w:rsidR="00035333" w:rsidRPr="00E33F50">
        <w:rPr>
          <w:rFonts w:ascii="Arial" w:eastAsia="Times New Roman" w:hAnsi="Arial" w:cs="Arial"/>
          <w:color w:val="000000"/>
          <w:kern w:val="0"/>
          <w:lang w:eastAsia="ro-RO"/>
          <w14:ligatures w14:val="none"/>
        </w:rPr>
        <w:t xml:space="preserve"> </w:t>
      </w:r>
      <w:r w:rsidRPr="00E33F50">
        <w:rPr>
          <w:rFonts w:ascii="Arial" w:eastAsia="Times New Roman" w:hAnsi="Arial" w:cs="Arial"/>
          <w:color w:val="000000"/>
          <w:kern w:val="0"/>
          <w:lang w:eastAsia="ro-RO"/>
          <w14:ligatures w14:val="none"/>
        </w:rPr>
        <w:t>provid</w:t>
      </w:r>
      <w:r w:rsidR="00035333" w:rsidRPr="00E33F50">
        <w:rPr>
          <w:rFonts w:ascii="Arial" w:eastAsia="Times New Roman" w:hAnsi="Arial" w:cs="Arial"/>
          <w:color w:val="000000"/>
          <w:kern w:val="0"/>
          <w:lang w:eastAsia="ro-RO"/>
          <w14:ligatures w14:val="none"/>
        </w:rPr>
        <w:t>ing</w:t>
      </w:r>
      <w:r w:rsidRPr="00E33F50">
        <w:rPr>
          <w:rFonts w:ascii="Arial" w:eastAsia="Times New Roman" w:hAnsi="Arial" w:cs="Arial"/>
          <w:color w:val="000000"/>
          <w:kern w:val="0"/>
          <w:lang w:eastAsia="ro-RO"/>
          <w14:ligatures w14:val="none"/>
        </w:rPr>
        <w:t xml:space="preserve"> a valuable framework for understanding how environmental, social and cultural factors influence health and wellbeing. Its holistic approach supports person-centred care by encouraging professionals to consider individuals within the context of their families, communities and wider society. </w:t>
      </w:r>
      <w:r w:rsidR="00021BAC" w:rsidRPr="00E33F50">
        <w:rPr>
          <w:rFonts w:ascii="Arial" w:eastAsia="Times New Roman" w:hAnsi="Arial" w:cs="Arial"/>
          <w:color w:val="000000"/>
          <w:kern w:val="0"/>
          <w:lang w:eastAsia="ro-RO"/>
          <w14:ligatures w14:val="none"/>
        </w:rPr>
        <w:t>Whereas</w:t>
      </w:r>
      <w:r w:rsidRPr="00E33F50">
        <w:rPr>
          <w:rFonts w:ascii="Arial" w:eastAsia="Times New Roman" w:hAnsi="Arial" w:cs="Arial"/>
          <w:color w:val="000000"/>
          <w:kern w:val="0"/>
          <w:lang w:eastAsia="ro-RO"/>
          <w14:ligatures w14:val="none"/>
        </w:rPr>
        <w:t xml:space="preserve"> the theory has limitations, including its complexity and limited focus on biological influences, it continues to inform health and social care policy and practice. When combined with other approaches and supported by effective multidisciplinary working, Bronfenbrenner’s theory remains highly relevant for promoting</w:t>
      </w:r>
      <w:r w:rsidR="00DF750F" w:rsidRPr="00E33F50">
        <w:rPr>
          <w:rFonts w:ascii="Arial" w:eastAsia="Times New Roman" w:hAnsi="Arial" w:cs="Arial"/>
          <w:color w:val="000000"/>
          <w:kern w:val="0"/>
          <w:lang w:eastAsia="ro-RO"/>
          <w14:ligatures w14:val="none"/>
        </w:rPr>
        <w:t xml:space="preserve"> </w:t>
      </w:r>
      <w:r w:rsidR="00DF750F" w:rsidRPr="00E33F50">
        <w:rPr>
          <w:rFonts w:ascii="Arial" w:eastAsia="Times New Roman" w:hAnsi="Arial" w:cs="Arial"/>
          <w:color w:val="000000"/>
          <w:kern w:val="0"/>
          <w:lang w:eastAsia="ro-RO"/>
          <w14:ligatures w14:val="none"/>
        </w:rPr>
        <w:t>integrated</w:t>
      </w:r>
      <w:r w:rsidR="00DF750F" w:rsidRPr="00E33F50">
        <w:rPr>
          <w:rFonts w:ascii="Arial" w:eastAsia="Times New Roman" w:hAnsi="Arial" w:cs="Arial"/>
          <w:color w:val="000000"/>
          <w:kern w:val="0"/>
          <w:lang w:eastAsia="ro-RO"/>
          <w14:ligatures w14:val="none"/>
        </w:rPr>
        <w:t>,</w:t>
      </w:r>
      <w:r w:rsidRPr="00E33F50">
        <w:rPr>
          <w:rFonts w:ascii="Arial" w:eastAsia="Times New Roman" w:hAnsi="Arial" w:cs="Arial"/>
          <w:color w:val="000000"/>
          <w:kern w:val="0"/>
          <w:lang w:eastAsia="ro-RO"/>
          <w14:ligatures w14:val="none"/>
        </w:rPr>
        <w:t xml:space="preserve"> equitable and person-centred care.</w:t>
      </w:r>
    </w:p>
    <w:p w14:paraId="0CAEDE7B" w14:textId="77777777" w:rsidR="00394B1B" w:rsidRPr="00E33F50" w:rsidRDefault="00394B1B" w:rsidP="00F51D53">
      <w:pPr>
        <w:spacing w:line="18pt" w:lineRule="auto"/>
        <w:rPr>
          <w:rFonts w:ascii="Arial" w:hAnsi="Arial" w:cs="Arial"/>
        </w:rPr>
      </w:pPr>
    </w:p>
    <w:p w14:paraId="5FEF661A" w14:textId="77777777" w:rsidR="00DF750F" w:rsidRPr="00E33F50" w:rsidRDefault="00DF750F" w:rsidP="00F51D53">
      <w:pPr>
        <w:spacing w:line="18pt" w:lineRule="auto"/>
        <w:rPr>
          <w:rFonts w:ascii="Arial" w:hAnsi="Arial" w:cs="Arial"/>
        </w:rPr>
      </w:pPr>
    </w:p>
    <w:p w14:paraId="17C95B53" w14:textId="77777777" w:rsidR="00DF750F" w:rsidRPr="00E33F50" w:rsidRDefault="00DF750F" w:rsidP="00F51D53">
      <w:pPr>
        <w:spacing w:line="18pt" w:lineRule="auto"/>
        <w:rPr>
          <w:rFonts w:ascii="Arial" w:hAnsi="Arial" w:cs="Arial"/>
        </w:rPr>
      </w:pPr>
    </w:p>
    <w:p w14:paraId="0C5FA8CB" w14:textId="77777777" w:rsidR="00B003BB" w:rsidRDefault="00B003BB" w:rsidP="00B003BB">
      <w:pPr>
        <w:pStyle w:val="Heading2"/>
        <w:tabs>
          <w:tab w:val="start" w:pos="100.50pt"/>
        </w:tabs>
      </w:pPr>
    </w:p>
    <w:p w14:paraId="378B60B0" w14:textId="7047C50E" w:rsidR="00DF750F" w:rsidRPr="00E33F50" w:rsidRDefault="00DF750F" w:rsidP="00B003BB">
      <w:pPr>
        <w:pStyle w:val="Heading2"/>
        <w:tabs>
          <w:tab w:val="start" w:pos="100.50pt"/>
        </w:tabs>
      </w:pPr>
      <w:bookmarkStart w:id="7" w:name="_Toc236916852"/>
      <w:r w:rsidRPr="00E33F50">
        <w:t>References</w:t>
      </w:r>
      <w:bookmarkEnd w:id="7"/>
    </w:p>
    <w:p w14:paraId="7495566B" w14:textId="77777777" w:rsidR="00182E22" w:rsidRPr="00E33F50" w:rsidRDefault="00182E22" w:rsidP="00182E22"/>
    <w:p w14:paraId="422CA996"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Bronfenbrenner, U. (1979) The Ecology of Human Development: Experiments by Nature and Design. Cambridge, MA: Harvard University Press.</w:t>
      </w:r>
    </w:p>
    <w:p w14:paraId="4672B762"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39F206EA"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Bronfenbrenner, U. and Morris, P.A. (2006) ‘The bioecological model of human development’, in Damon, W. and Lerner, R.M. (eds.) Handbook of Child Psychology. 6th </w:t>
      </w:r>
      <w:proofErr w:type="spellStart"/>
      <w:r w:rsidRPr="00E33F50">
        <w:rPr>
          <w:rFonts w:ascii="Arial" w:eastAsia="Times New Roman" w:hAnsi="Arial" w:cs="Arial"/>
          <w:color w:val="000000"/>
          <w:kern w:val="0"/>
          <w:lang w:eastAsia="ro-RO"/>
          <w14:ligatures w14:val="none"/>
        </w:rPr>
        <w:t>edn</w:t>
      </w:r>
      <w:proofErr w:type="spellEnd"/>
      <w:r w:rsidRPr="00E33F50">
        <w:rPr>
          <w:rFonts w:ascii="Arial" w:eastAsia="Times New Roman" w:hAnsi="Arial" w:cs="Arial"/>
          <w:color w:val="000000"/>
          <w:kern w:val="0"/>
          <w:lang w:eastAsia="ro-RO"/>
          <w14:ligatures w14:val="none"/>
        </w:rPr>
        <w:t xml:space="preserve">. Hoboken, NJ: John Wiley &amp; Sons. Available at: </w:t>
      </w:r>
      <w:hyperlink r:id="rId8" w:tgtFrame="_blank" w:history="1">
        <w:r w:rsidRPr="00E33F50">
          <w:rPr>
            <w:rFonts w:ascii="Arial" w:eastAsia="Times New Roman" w:hAnsi="Arial" w:cs="Arial"/>
            <w:color w:val="000000"/>
            <w:kern w:val="0"/>
            <w:lang w:eastAsia="ro-RO"/>
            <w14:ligatures w14:val="none"/>
          </w:rPr>
          <w:t>https://onlinelibrary.wiley.com/doi/book/10.1002/9780470147658</w:t>
        </w:r>
      </w:hyperlink>
    </w:p>
    <w:p w14:paraId="15001075"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3E841CFD"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Care Act 2014. Available at: </w:t>
      </w:r>
      <w:hyperlink r:id="rId9" w:tgtFrame="_blank" w:history="1">
        <w:r w:rsidRPr="00E33F50">
          <w:rPr>
            <w:rFonts w:ascii="Arial" w:eastAsia="Times New Roman" w:hAnsi="Arial" w:cs="Arial"/>
            <w:color w:val="000000"/>
            <w:kern w:val="0"/>
            <w:lang w:eastAsia="ro-RO"/>
            <w14:ligatures w14:val="none"/>
          </w:rPr>
          <w:t>https://www.legislation.gov.uk/ukpga/2014/23/contents</w:t>
        </w:r>
      </w:hyperlink>
      <w:r w:rsidRPr="00E33F50">
        <w:rPr>
          <w:rFonts w:ascii="Arial" w:eastAsia="Times New Roman" w:hAnsi="Arial" w:cs="Arial"/>
          <w:color w:val="000000"/>
          <w:kern w:val="0"/>
          <w:lang w:eastAsia="ro-RO"/>
          <w14:ligatures w14:val="none"/>
        </w:rPr>
        <w:t xml:space="preserve"> (Accessed: 6 August 2026).</w:t>
      </w:r>
    </w:p>
    <w:p w14:paraId="6D58F07F"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080F2922"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Department of Health and Social Care (2022) Health and Care Act 2022. Available at: </w:t>
      </w:r>
      <w:hyperlink r:id="rId10" w:tgtFrame="_blank" w:history="1">
        <w:r w:rsidRPr="00E33F50">
          <w:rPr>
            <w:rFonts w:ascii="Arial" w:eastAsia="Times New Roman" w:hAnsi="Arial" w:cs="Arial"/>
            <w:color w:val="000000"/>
            <w:kern w:val="0"/>
            <w:lang w:eastAsia="ro-RO"/>
            <w14:ligatures w14:val="none"/>
          </w:rPr>
          <w:t>https://www.legislation.gov.uk/ukpga/2022/31/contents</w:t>
        </w:r>
      </w:hyperlink>
      <w:r w:rsidRPr="00E33F50">
        <w:rPr>
          <w:rFonts w:ascii="Arial" w:eastAsia="Times New Roman" w:hAnsi="Arial" w:cs="Arial"/>
          <w:color w:val="000000"/>
          <w:kern w:val="0"/>
          <w:lang w:eastAsia="ro-RO"/>
          <w14:ligatures w14:val="none"/>
        </w:rPr>
        <w:t xml:space="preserve"> (Accessed: 6 August 2026).</w:t>
      </w:r>
    </w:p>
    <w:p w14:paraId="48A9AD88"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30730C61"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Engel, G.L. (1977) ‘The need for a new medical model: A challenge for biomedicine’, Science, 196(4286), pp. 129–136. Available at: </w:t>
      </w:r>
      <w:hyperlink r:id="rId11" w:tgtFrame="_blank" w:history="1">
        <w:r w:rsidRPr="00E33F50">
          <w:rPr>
            <w:rFonts w:ascii="Arial" w:eastAsia="Times New Roman" w:hAnsi="Arial" w:cs="Arial"/>
            <w:color w:val="000000"/>
            <w:kern w:val="0"/>
            <w:lang w:eastAsia="ro-RO"/>
            <w14:ligatures w14:val="none"/>
          </w:rPr>
          <w:t>https://www.science.org/doi/10.1126/science.847460</w:t>
        </w:r>
      </w:hyperlink>
    </w:p>
    <w:p w14:paraId="48AEB423"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714186D1"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Equality Act 2010. Available at: </w:t>
      </w:r>
      <w:hyperlink r:id="rId12" w:tgtFrame="_blank" w:history="1">
        <w:r w:rsidRPr="00E33F50">
          <w:rPr>
            <w:rFonts w:ascii="Arial" w:eastAsia="Times New Roman" w:hAnsi="Arial" w:cs="Arial"/>
            <w:color w:val="000000"/>
            <w:kern w:val="0"/>
            <w:lang w:eastAsia="ro-RO"/>
            <w14:ligatures w14:val="none"/>
          </w:rPr>
          <w:t>https://www.legislation.gov.uk/ukpga/2010/15/contents</w:t>
        </w:r>
      </w:hyperlink>
      <w:r w:rsidRPr="00E33F50">
        <w:rPr>
          <w:rFonts w:ascii="Arial" w:eastAsia="Times New Roman" w:hAnsi="Arial" w:cs="Arial"/>
          <w:color w:val="000000"/>
          <w:kern w:val="0"/>
          <w:lang w:eastAsia="ro-RO"/>
          <w14:ligatures w14:val="none"/>
        </w:rPr>
        <w:t xml:space="preserve"> (Accessed: 6 August 2026).</w:t>
      </w:r>
    </w:p>
    <w:p w14:paraId="79DDF389"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52D4D976"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Marmot, M., Allen, J., Boyce, T., Goldblatt, P. and Morrison, J. (2020) Health Equity in England: The Marmot Review 10 Years On. London: Institute of Health Equity. Available at: </w:t>
      </w:r>
      <w:hyperlink r:id="rId13" w:tgtFrame="_blank" w:history="1">
        <w:r w:rsidRPr="00E33F50">
          <w:rPr>
            <w:rFonts w:ascii="Arial" w:eastAsia="Times New Roman" w:hAnsi="Arial" w:cs="Arial"/>
            <w:color w:val="000000"/>
            <w:kern w:val="0"/>
            <w:lang w:eastAsia="ro-RO"/>
            <w14:ligatures w14:val="none"/>
          </w:rPr>
          <w:t>https://www.health.org.uk/publications/reports/the-marmot-review-10-years-on</w:t>
        </w:r>
      </w:hyperlink>
    </w:p>
    <w:p w14:paraId="4AA76619"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1304ABF2"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National Institute for Health and Care Excellence (NICE) (2023) Patient experience in adult NHS services: improving the experience of care for people using adult NHS services (CG138). Available at: </w:t>
      </w:r>
      <w:hyperlink r:id="rId14" w:tgtFrame="_blank" w:history="1">
        <w:r w:rsidRPr="00E33F50">
          <w:rPr>
            <w:rFonts w:ascii="Arial" w:eastAsia="Times New Roman" w:hAnsi="Arial" w:cs="Arial"/>
            <w:color w:val="000000"/>
            <w:kern w:val="0"/>
            <w:lang w:eastAsia="ro-RO"/>
            <w14:ligatures w14:val="none"/>
          </w:rPr>
          <w:t>https://www.nice.org.uk/guidance/cg138</w:t>
        </w:r>
      </w:hyperlink>
    </w:p>
    <w:p w14:paraId="354514BE"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36398ED9"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NHS England (2019) The NHS Long Term Plan. Available at: </w:t>
      </w:r>
      <w:hyperlink r:id="rId15" w:tgtFrame="_blank" w:history="1">
        <w:r w:rsidRPr="00E33F50">
          <w:rPr>
            <w:rFonts w:ascii="Arial" w:eastAsia="Times New Roman" w:hAnsi="Arial" w:cs="Arial"/>
            <w:color w:val="000000"/>
            <w:kern w:val="0"/>
            <w:lang w:eastAsia="ro-RO"/>
            <w14:ligatures w14:val="none"/>
          </w:rPr>
          <w:t>https://www.longtermplan.nhs.uk/</w:t>
        </w:r>
      </w:hyperlink>
    </w:p>
    <w:p w14:paraId="5929DBCB"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35E1E718"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NHS England (2024) What are Integrated Care Systems (ICSs)? Available at: </w:t>
      </w:r>
      <w:hyperlink r:id="rId16" w:tgtFrame="_blank" w:history="1">
        <w:r w:rsidRPr="00E33F50">
          <w:rPr>
            <w:rFonts w:ascii="Arial" w:eastAsia="Times New Roman" w:hAnsi="Arial" w:cs="Arial"/>
            <w:color w:val="000000"/>
            <w:kern w:val="0"/>
            <w:lang w:eastAsia="ro-RO"/>
            <w14:ligatures w14:val="none"/>
          </w:rPr>
          <w:t>https://www.england.nhs.uk/integratedcare/</w:t>
        </w:r>
      </w:hyperlink>
    </w:p>
    <w:p w14:paraId="366B5039"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4DF15FA4"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Public Health England (2021) Health inequalities: place-based approaches to reduce inequalities. Available at: </w:t>
      </w:r>
      <w:hyperlink r:id="rId17" w:tgtFrame="_blank" w:history="1">
        <w:r w:rsidRPr="00E33F50">
          <w:rPr>
            <w:rFonts w:ascii="Arial" w:eastAsia="Times New Roman" w:hAnsi="Arial" w:cs="Arial"/>
            <w:color w:val="000000"/>
            <w:kern w:val="0"/>
            <w:lang w:eastAsia="ro-RO"/>
            <w14:ligatures w14:val="none"/>
          </w:rPr>
          <w:t>https://www.gov.uk/government/publications/health-inequalities-place-based-approaches-to-reduce-inequalities</w:t>
        </w:r>
      </w:hyperlink>
    </w:p>
    <w:p w14:paraId="3FEEF49D"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4D2B034D" w14:textId="0C012582"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Rosa, E.M. and Tudge, J. (2013) ‘Urie Bronfenbrenner’s theory of human development: Its evolution from ecology to bioecology’, Journal of Family Theory &amp; Review, 5(4), pp. 243–258. </w:t>
      </w:r>
    </w:p>
    <w:p w14:paraId="062A79C4"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268E110C"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The King’s Fund (2022) Integrated care systems explained. Available at: </w:t>
      </w:r>
      <w:hyperlink r:id="rId18" w:tgtFrame="_blank" w:history="1">
        <w:r w:rsidRPr="00E33F50">
          <w:rPr>
            <w:rFonts w:ascii="Arial" w:eastAsia="Times New Roman" w:hAnsi="Arial" w:cs="Arial"/>
            <w:color w:val="000000"/>
            <w:kern w:val="0"/>
            <w:lang w:eastAsia="ro-RO"/>
            <w14:ligatures w14:val="none"/>
          </w:rPr>
          <w:t>https://www.kingsfund.org.uk/</w:t>
        </w:r>
      </w:hyperlink>
    </w:p>
    <w:p w14:paraId="3330BFB8"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7037BED2" w14:textId="174CBA1E"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r w:rsidRPr="00E33F50">
        <w:rPr>
          <w:rFonts w:ascii="Arial" w:eastAsia="Times New Roman" w:hAnsi="Arial" w:cs="Arial"/>
          <w:color w:val="000000"/>
          <w:kern w:val="0"/>
          <w:lang w:eastAsia="ro-RO"/>
          <w14:ligatures w14:val="none"/>
        </w:rPr>
        <w:t xml:space="preserve">Tudge, J.R.H., </w:t>
      </w:r>
      <w:proofErr w:type="spellStart"/>
      <w:r w:rsidRPr="00E33F50">
        <w:rPr>
          <w:rFonts w:ascii="Arial" w:eastAsia="Times New Roman" w:hAnsi="Arial" w:cs="Arial"/>
          <w:color w:val="000000"/>
          <w:kern w:val="0"/>
          <w:lang w:eastAsia="ro-RO"/>
          <w14:ligatures w14:val="none"/>
        </w:rPr>
        <w:t>Mokrova</w:t>
      </w:r>
      <w:proofErr w:type="spellEnd"/>
      <w:r w:rsidRPr="00E33F50">
        <w:rPr>
          <w:rFonts w:ascii="Arial" w:eastAsia="Times New Roman" w:hAnsi="Arial" w:cs="Arial"/>
          <w:color w:val="000000"/>
          <w:kern w:val="0"/>
          <w:lang w:eastAsia="ro-RO"/>
          <w14:ligatures w14:val="none"/>
        </w:rPr>
        <w:t xml:space="preserve">, I., Hatfield, B.E. and Karnik, R.B. (2009) ‘Uses and misuses of Bronfenbrenner’s bioecological theory of human development’, Journal of Family Theory &amp; Review, 1(4), pp. 198–210. </w:t>
      </w:r>
    </w:p>
    <w:p w14:paraId="25A07B59" w14:textId="77777777" w:rsidR="00182E22" w:rsidRPr="00E33F50" w:rsidRDefault="00182E22" w:rsidP="00182E22">
      <w:pPr>
        <w:spacing w:after="0pt" w:line="12pt" w:lineRule="auto"/>
        <w:rPr>
          <w:rFonts w:ascii="Arial" w:eastAsia="Times New Roman" w:hAnsi="Arial" w:cs="Arial"/>
          <w:kern w:val="0"/>
          <w:sz w:val="24"/>
          <w:szCs w:val="24"/>
          <w:lang w:eastAsia="ro-RO"/>
          <w14:ligatures w14:val="none"/>
        </w:rPr>
      </w:pPr>
    </w:p>
    <w:p w14:paraId="18A8BEF4" w14:textId="77777777" w:rsidR="00182E22" w:rsidRPr="00E33F50" w:rsidRDefault="00182E22" w:rsidP="00182E22">
      <w:pPr>
        <w:spacing w:after="0pt" w:line="12pt" w:lineRule="auto"/>
        <w:rPr>
          <w:rFonts w:ascii="Times New Roman" w:eastAsia="Times New Roman" w:hAnsi="Times New Roman" w:cs="Times New Roman"/>
          <w:kern w:val="0"/>
          <w:sz w:val="24"/>
          <w:szCs w:val="24"/>
          <w:lang w:eastAsia="ro-RO"/>
          <w14:ligatures w14:val="none"/>
        </w:rPr>
      </w:pPr>
      <w:r w:rsidRPr="00E33F50">
        <w:rPr>
          <w:rFonts w:ascii="Google Sans Text" w:eastAsia="Times New Roman" w:hAnsi="Google Sans Text" w:cs="Times New Roman"/>
          <w:color w:val="000000"/>
          <w:kern w:val="0"/>
          <w:lang w:eastAsia="ro-RO"/>
          <w14:ligatures w14:val="none"/>
        </w:rPr>
        <w:t xml:space="preserve">World Health Organization (2021) Social determinants of health. Available at: </w:t>
      </w:r>
      <w:hyperlink r:id="rId19" w:tgtFrame="_blank" w:history="1">
        <w:r w:rsidRPr="00E33F50">
          <w:rPr>
            <w:rFonts w:ascii="Google Sans Text" w:eastAsia="Times New Roman" w:hAnsi="Google Sans Text" w:cs="Times New Roman"/>
            <w:color w:val="000000"/>
            <w:kern w:val="0"/>
            <w:lang w:eastAsia="ro-RO"/>
            <w14:ligatures w14:val="none"/>
          </w:rPr>
          <w:t>https://www.who.int/health-topics/social-determinants-of-health</w:t>
        </w:r>
      </w:hyperlink>
    </w:p>
    <w:p w14:paraId="36EA1EA6" w14:textId="77777777" w:rsidR="00182E22" w:rsidRPr="00182E22" w:rsidRDefault="00182E22" w:rsidP="00182E22"/>
    <w:sectPr w:rsidR="00182E22" w:rsidRPr="00182E22" w:rsidSect="009770C0">
      <w:footerReference w:type="default" r:id="rId20"/>
      <w:pgSz w:w="595.30pt" w:h="841.90pt"/>
      <w:pgMar w:top="70.85pt" w:right="70.85pt" w:bottom="70.85pt" w:left="70.85pt" w:header="35.40pt" w:footer="35.40pt" w:gutter="0pt"/>
      <w:pgNumType w:start="0"/>
      <w:cols w:space="35.40pt"/>
      <w:titlePg/>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0616535C" w14:textId="77777777" w:rsidR="0044123F" w:rsidRDefault="0044123F" w:rsidP="00E33F50">
      <w:pPr>
        <w:spacing w:after="0pt" w:line="12pt" w:lineRule="auto"/>
      </w:pPr>
      <w:r>
        <w:separator/>
      </w:r>
    </w:p>
  </w:endnote>
  <w:endnote w:type="continuationSeparator" w:id="0">
    <w:p w14:paraId="13661053" w14:textId="77777777" w:rsidR="0044123F" w:rsidRDefault="0044123F" w:rsidP="00E33F50">
      <w:pPr>
        <w:spacing w:after="0pt" w:line="12pt" w:lineRule="auto"/>
      </w:pPr>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characterSet="iso-8859-1"/>
    <w:family w:val="swiss"/>
    <w:pitch w:val="variable"/>
    <w:sig w:usb0="20000287" w:usb1="00000003" w:usb2="00000000" w:usb3="00000000" w:csb0="0000019F" w:csb1="00000000"/>
  </w:font>
  <w:font w:name="Times New Roman">
    <w:panose1 w:val="02020603050405020304"/>
    <w:charset w:characterSet="iso-8859-1"/>
    <w:family w:val="roman"/>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 w:name="Arial">
    <w:panose1 w:val="020B0604020202020204"/>
    <w:charset w:characterSet="iso-8859-1"/>
    <w:family w:val="swiss"/>
    <w:pitch w:val="variable"/>
    <w:sig w:usb0="E0002EFF" w:usb1="C000785B" w:usb2="00000009" w:usb3="00000000" w:csb0="000001FF" w:csb1="00000000"/>
  </w:font>
  <w:font w:name="Google Sans Text">
    <w:altName w:val="Cambria"/>
    <w:panose1 w:val="00000000000000000000"/>
    <w:charset w:characterSet="iso-8859-1"/>
    <w:family w:val="roman"/>
    <w:notTrueType/>
    <w:pitch w:val="default"/>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id w:val="-702862509"/>
      <w:docPartObj>
        <w:docPartGallery w:val="Page Numbers (Bottom of Page)"/>
        <w:docPartUnique/>
      </w:docPartObj>
    </w:sdtPr>
    <w:sdtEndPr>
      <w:rPr>
        <w:noProof/>
      </w:rPr>
    </w:sdtEndPr>
    <w:sdtContent>
      <w:p w14:paraId="720A68C1" w14:textId="01B72B8A" w:rsidR="00B003BB" w:rsidRDefault="00B003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B12F34" w14:textId="77777777" w:rsidR="00E33F50" w:rsidRDefault="00E33F50">
    <w:pPr>
      <w:pStyle w:val="Foote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1E300B00" w14:textId="77777777" w:rsidR="0044123F" w:rsidRDefault="0044123F" w:rsidP="00E33F50">
      <w:pPr>
        <w:spacing w:after="0pt" w:line="12pt" w:lineRule="auto"/>
      </w:pPr>
      <w:r>
        <w:separator/>
      </w:r>
    </w:p>
  </w:footnote>
  <w:footnote w:type="continuationSeparator" w:id="0">
    <w:p w14:paraId="33A9D289" w14:textId="77777777" w:rsidR="0044123F" w:rsidRDefault="0044123F" w:rsidP="00E33F50">
      <w:pPr>
        <w:spacing w:after="0pt" w:line="12pt" w:lineRule="auto"/>
      </w:pPr>
      <w:r>
        <w:continuationSeparator/>
      </w:r>
    </w:p>
  </w:footnote>
</w:footnotes>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35.40pt"/>
  <w:hyphenationZone w:val="21.25pt"/>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C57"/>
    <w:rsid w:val="00021BAC"/>
    <w:rsid w:val="00035333"/>
    <w:rsid w:val="000864F1"/>
    <w:rsid w:val="000B7534"/>
    <w:rsid w:val="000D2FFB"/>
    <w:rsid w:val="000E5BF0"/>
    <w:rsid w:val="001110B9"/>
    <w:rsid w:val="00182E22"/>
    <w:rsid w:val="001E6982"/>
    <w:rsid w:val="00214175"/>
    <w:rsid w:val="00282C57"/>
    <w:rsid w:val="00394B1B"/>
    <w:rsid w:val="003F1593"/>
    <w:rsid w:val="0044123F"/>
    <w:rsid w:val="005E0657"/>
    <w:rsid w:val="005E2525"/>
    <w:rsid w:val="00841B29"/>
    <w:rsid w:val="00864735"/>
    <w:rsid w:val="008762D9"/>
    <w:rsid w:val="008E3AC9"/>
    <w:rsid w:val="009770C0"/>
    <w:rsid w:val="00A00B7E"/>
    <w:rsid w:val="00A31721"/>
    <w:rsid w:val="00B003BB"/>
    <w:rsid w:val="00B14076"/>
    <w:rsid w:val="00B73514"/>
    <w:rsid w:val="00C5564B"/>
    <w:rsid w:val="00D53989"/>
    <w:rsid w:val="00DA31C2"/>
    <w:rsid w:val="00DE5435"/>
    <w:rsid w:val="00DF750F"/>
    <w:rsid w:val="00E21A2B"/>
    <w:rsid w:val="00E33F50"/>
    <w:rsid w:val="00E442EE"/>
    <w:rsid w:val="00E722AE"/>
    <w:rsid w:val="00E766B0"/>
    <w:rsid w:val="00E81158"/>
    <w:rsid w:val="00EF1B7D"/>
    <w:rsid w:val="00F51D5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BFE6DF1"/>
  <w15:chartTrackingRefBased/>
  <w15:docId w15:val="{33158DDC-C030-460F-8C74-5D1AFFACDABA}"/>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2C57"/>
    <w:pPr>
      <w:keepNext/>
      <w:keepLines/>
      <w:spacing w:before="18pt" w:after="4p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2C57"/>
    <w:pPr>
      <w:keepNext/>
      <w:keepLines/>
      <w:spacing w:before="8pt" w:after="4p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C57"/>
    <w:pPr>
      <w:keepNext/>
      <w:keepLines/>
      <w:spacing w:before="8pt" w:after="4pt"/>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C57"/>
    <w:pPr>
      <w:keepNext/>
      <w:keepLines/>
      <w:spacing w:before="4pt" w:after="2pt"/>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C57"/>
    <w:pPr>
      <w:keepNext/>
      <w:keepLines/>
      <w:spacing w:before="4pt" w:after="2pt"/>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C57"/>
    <w:pPr>
      <w:keepNext/>
      <w:keepLines/>
      <w:spacing w:before="2pt" w:after="0pt"/>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C57"/>
    <w:pPr>
      <w:keepNext/>
      <w:keepLines/>
      <w:spacing w:before="2pt" w:after="0pt"/>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C57"/>
    <w:pPr>
      <w:keepNext/>
      <w:keepLines/>
      <w:spacing w:after="0pt"/>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C57"/>
    <w:pPr>
      <w:keepNext/>
      <w:keepLines/>
      <w:spacing w:after="0pt"/>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C57"/>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282C57"/>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82C5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82C5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82C5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82C5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82C5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82C5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82C5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82C57"/>
    <w:pPr>
      <w:spacing w:after="4pt" w:line="12pt"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C5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82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C5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82C57"/>
    <w:pPr>
      <w:spacing w:before="8pt"/>
      <w:jc w:val="center"/>
    </w:pPr>
    <w:rPr>
      <w:i/>
      <w:iCs/>
      <w:color w:val="404040" w:themeColor="text1" w:themeTint="BF"/>
    </w:rPr>
  </w:style>
  <w:style w:type="character" w:customStyle="1" w:styleId="QuoteChar">
    <w:name w:val="Quote Char"/>
    <w:basedOn w:val="DefaultParagraphFont"/>
    <w:link w:val="Quote"/>
    <w:uiPriority w:val="29"/>
    <w:rsid w:val="00282C57"/>
    <w:rPr>
      <w:i/>
      <w:iCs/>
      <w:color w:val="404040" w:themeColor="text1" w:themeTint="BF"/>
      <w:lang w:val="en-GB"/>
    </w:rPr>
  </w:style>
  <w:style w:type="paragraph" w:styleId="ListParagraph">
    <w:name w:val="List Paragraph"/>
    <w:basedOn w:val="Normal"/>
    <w:uiPriority w:val="34"/>
    <w:qFormat/>
    <w:rsid w:val="00282C57"/>
    <w:pPr>
      <w:ind w:start="36pt"/>
      <w:contextualSpacing/>
    </w:pPr>
  </w:style>
  <w:style w:type="character" w:styleId="IntenseEmphasis">
    <w:name w:val="Intense Emphasis"/>
    <w:basedOn w:val="DefaultParagraphFont"/>
    <w:uiPriority w:val="21"/>
    <w:qFormat/>
    <w:rsid w:val="00282C57"/>
    <w:rPr>
      <w:i/>
      <w:iCs/>
      <w:color w:val="0F4761" w:themeColor="accent1" w:themeShade="BF"/>
    </w:rPr>
  </w:style>
  <w:style w:type="paragraph" w:styleId="IntenseQuote">
    <w:name w:val="Intense Quote"/>
    <w:basedOn w:val="Normal"/>
    <w:next w:val="Normal"/>
    <w:link w:val="IntenseQuoteChar"/>
    <w:uiPriority w:val="30"/>
    <w:qFormat/>
    <w:rsid w:val="00282C57"/>
    <w:pPr>
      <w:pBdr>
        <w:top w:val="single" w:sz="4" w:space="10" w:color="0F4761" w:themeColor="accent1" w:themeShade="BF"/>
        <w:bottom w:val="single" w:sz="4" w:space="10" w:color="0F4761" w:themeColor="accent1" w:themeShade="BF"/>
      </w:pBdr>
      <w:spacing w:before="18pt" w:after="18pt"/>
      <w:ind w:start="43.20pt" w:end="43.20pt"/>
      <w:jc w:val="center"/>
    </w:pPr>
    <w:rPr>
      <w:i/>
      <w:iCs/>
      <w:color w:val="0F4761" w:themeColor="accent1" w:themeShade="BF"/>
    </w:rPr>
  </w:style>
  <w:style w:type="character" w:customStyle="1" w:styleId="IntenseQuoteChar">
    <w:name w:val="Intense Quote Char"/>
    <w:basedOn w:val="DefaultParagraphFont"/>
    <w:link w:val="IntenseQuote"/>
    <w:uiPriority w:val="30"/>
    <w:rsid w:val="00282C57"/>
    <w:rPr>
      <w:i/>
      <w:iCs/>
      <w:color w:val="0F4761" w:themeColor="accent1" w:themeShade="BF"/>
      <w:lang w:val="en-GB"/>
    </w:rPr>
  </w:style>
  <w:style w:type="character" w:styleId="IntenseReference">
    <w:name w:val="Intense Reference"/>
    <w:basedOn w:val="DefaultParagraphFont"/>
    <w:uiPriority w:val="32"/>
    <w:qFormat/>
    <w:rsid w:val="00282C57"/>
    <w:rPr>
      <w:b/>
      <w:bCs/>
      <w:smallCaps/>
      <w:color w:val="0F4761" w:themeColor="accent1" w:themeShade="BF"/>
      <w:spacing w:val="5"/>
    </w:rPr>
  </w:style>
  <w:style w:type="paragraph" w:styleId="NoSpacing">
    <w:name w:val="No Spacing"/>
    <w:link w:val="NoSpacingChar"/>
    <w:uiPriority w:val="1"/>
    <w:qFormat/>
    <w:rsid w:val="009770C0"/>
    <w:pPr>
      <w:spacing w:after="0pt" w:line="12pt"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770C0"/>
    <w:rPr>
      <w:rFonts w:eastAsiaTheme="minorEastAsia"/>
      <w:kern w:val="0"/>
      <w:lang w:val="en-US"/>
      <w14:ligatures w14:val="none"/>
    </w:rPr>
  </w:style>
  <w:style w:type="paragraph" w:styleId="NormalWeb">
    <w:name w:val="Normal (Web)"/>
    <w:basedOn w:val="Normal"/>
    <w:uiPriority w:val="99"/>
    <w:semiHidden/>
    <w:unhideWhenUsed/>
    <w:rsid w:val="00F51D53"/>
    <w:pPr>
      <w:spacing w:before="5pt" w:beforeAutospacing="1" w:after="5pt" w:afterAutospacing="1" w:line="12pt" w:lineRule="auto"/>
    </w:pPr>
    <w:rPr>
      <w:rFonts w:ascii="Times New Roman" w:eastAsia="Times New Roman" w:hAnsi="Times New Roman" w:cs="Times New Roman"/>
      <w:kern w:val="0"/>
      <w:sz w:val="24"/>
      <w:szCs w:val="24"/>
      <w:lang w:val="ro-RO" w:eastAsia="ro-RO"/>
      <w14:ligatures w14:val="none"/>
    </w:rPr>
  </w:style>
  <w:style w:type="paragraph" w:styleId="Header">
    <w:name w:val="header"/>
    <w:basedOn w:val="Normal"/>
    <w:link w:val="HeaderChar"/>
    <w:uiPriority w:val="99"/>
    <w:unhideWhenUsed/>
    <w:rsid w:val="00E33F50"/>
    <w:pPr>
      <w:tabs>
        <w:tab w:val="center" w:pos="226.80pt"/>
        <w:tab w:val="end" w:pos="453.60pt"/>
      </w:tabs>
      <w:spacing w:after="0pt" w:line="12pt" w:lineRule="auto"/>
    </w:pPr>
  </w:style>
  <w:style w:type="character" w:customStyle="1" w:styleId="HeaderChar">
    <w:name w:val="Header Char"/>
    <w:basedOn w:val="DefaultParagraphFont"/>
    <w:link w:val="Header"/>
    <w:uiPriority w:val="99"/>
    <w:rsid w:val="00E33F50"/>
    <w:rPr>
      <w:lang w:val="en-GB"/>
    </w:rPr>
  </w:style>
  <w:style w:type="paragraph" w:styleId="Footer">
    <w:name w:val="footer"/>
    <w:basedOn w:val="Normal"/>
    <w:link w:val="FooterChar"/>
    <w:uiPriority w:val="99"/>
    <w:unhideWhenUsed/>
    <w:rsid w:val="00E33F50"/>
    <w:pPr>
      <w:tabs>
        <w:tab w:val="center" w:pos="226.80pt"/>
        <w:tab w:val="end" w:pos="453.60pt"/>
      </w:tabs>
      <w:spacing w:after="0pt" w:line="12pt" w:lineRule="auto"/>
    </w:pPr>
  </w:style>
  <w:style w:type="character" w:customStyle="1" w:styleId="FooterChar">
    <w:name w:val="Footer Char"/>
    <w:basedOn w:val="DefaultParagraphFont"/>
    <w:link w:val="Footer"/>
    <w:uiPriority w:val="99"/>
    <w:rsid w:val="00E33F50"/>
    <w:rPr>
      <w:lang w:val="en-GB"/>
    </w:rPr>
  </w:style>
  <w:style w:type="paragraph" w:styleId="TOCHeading">
    <w:name w:val="TOC Heading"/>
    <w:basedOn w:val="Heading1"/>
    <w:next w:val="Normal"/>
    <w:uiPriority w:val="39"/>
    <w:unhideWhenUsed/>
    <w:qFormat/>
    <w:rsid w:val="00B003BB"/>
    <w:pPr>
      <w:spacing w:before="12pt" w:after="0pt"/>
      <w:outlineLvl w:val="9"/>
    </w:pPr>
    <w:rPr>
      <w:kern w:val="0"/>
      <w:sz w:val="32"/>
      <w:szCs w:val="32"/>
      <w:lang w:val="en-US"/>
      <w14:ligatures w14:val="none"/>
    </w:rPr>
  </w:style>
  <w:style w:type="paragraph" w:styleId="TOC1">
    <w:name w:val="toc 1"/>
    <w:basedOn w:val="Normal"/>
    <w:next w:val="Normal"/>
    <w:autoRedefine/>
    <w:uiPriority w:val="39"/>
    <w:unhideWhenUsed/>
    <w:rsid w:val="00B003BB"/>
    <w:pPr>
      <w:spacing w:after="5pt"/>
    </w:pPr>
  </w:style>
  <w:style w:type="paragraph" w:styleId="TOC2">
    <w:name w:val="toc 2"/>
    <w:basedOn w:val="Normal"/>
    <w:next w:val="Normal"/>
    <w:autoRedefine/>
    <w:uiPriority w:val="39"/>
    <w:unhideWhenUsed/>
    <w:rsid w:val="00B003BB"/>
    <w:pPr>
      <w:spacing w:after="5pt"/>
      <w:ind w:start="11pt"/>
    </w:pPr>
  </w:style>
  <w:style w:type="character" w:styleId="Hyperlink">
    <w:name w:val="Hyperlink"/>
    <w:basedOn w:val="DefaultParagraphFont"/>
    <w:uiPriority w:val="99"/>
    <w:unhideWhenUsed/>
    <w:rsid w:val="00B003BB"/>
    <w:rPr>
      <w:color w:val="467886" w:themeColor="hyperlink"/>
      <w:u w:val="singl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purl.oclc.org/ooxml/officeDocument/relationships/hyperlink" Target="https://onlinelibrary.wiley.com/doi/book/10.1002/9780470147658" TargetMode="External"/><Relationship Id="rId13" Type="http://purl.oclc.org/ooxml/officeDocument/relationships/hyperlink" Target="https://www.health.org.uk/publications/reports/the-marmot-review-10-years-on" TargetMode="External"/><Relationship Id="rId18" Type="http://purl.oclc.org/ooxml/officeDocument/relationships/hyperlink" Target="https://www.kingsfund.org.uk/" TargetMode="External"/><Relationship Id="rId3" Type="http://purl.oclc.org/ooxml/officeDocument/relationships/settings" Target="settings.xml"/><Relationship Id="rId21" Type="http://purl.oclc.org/ooxml/officeDocument/relationships/fontTable" Target="fontTable.xml"/><Relationship Id="rId7" Type="http://purl.oclc.org/ooxml/officeDocument/relationships/image" Target="media/image1.png"/><Relationship Id="rId12" Type="http://purl.oclc.org/ooxml/officeDocument/relationships/hyperlink" Target="https://www.legislation.gov.uk/ukpga/2010/15/contents" TargetMode="External"/><Relationship Id="rId17" Type="http://purl.oclc.org/ooxml/officeDocument/relationships/hyperlink" Target="https://www.gov.uk/government/publications/health-inequalities-place-based-approaches-to-reduce-inequalities" TargetMode="External"/><Relationship Id="rId2" Type="http://purl.oclc.org/ooxml/officeDocument/relationships/styles" Target="styles.xml"/><Relationship Id="rId16" Type="http://purl.oclc.org/ooxml/officeDocument/relationships/hyperlink" Target="https://www.england.nhs.uk/integratedcare/" TargetMode="External"/><Relationship Id="rId20" Type="http://purl.oclc.org/ooxml/officeDocument/relationships/footer" Target="footer1.xml"/><Relationship Id="rId1" Type="http://purl.oclc.org/ooxml/officeDocument/relationships/customXml" Target="../customXml/item1.xml"/><Relationship Id="rId6" Type="http://purl.oclc.org/ooxml/officeDocument/relationships/endnotes" Target="endnotes.xml"/><Relationship Id="rId11" Type="http://purl.oclc.org/ooxml/officeDocument/relationships/hyperlink" Target="https://www.science.org/doi/10.1126/science.847460" TargetMode="External"/><Relationship Id="rId5" Type="http://purl.oclc.org/ooxml/officeDocument/relationships/footnotes" Target="footnotes.xml"/><Relationship Id="rId15" Type="http://purl.oclc.org/ooxml/officeDocument/relationships/hyperlink" Target="https://www.longtermplan.nhs.uk/" TargetMode="External"/><Relationship Id="rId10" Type="http://purl.oclc.org/ooxml/officeDocument/relationships/hyperlink" Target="https://www.legislation.gov.uk/ukpga/2022/31/contents" TargetMode="External"/><Relationship Id="rId19" Type="http://purl.oclc.org/ooxml/officeDocument/relationships/hyperlink" Target="https://www.who.int/health-topics/social-determinants-of-health" TargetMode="External"/><Relationship Id="rId4" Type="http://purl.oclc.org/ooxml/officeDocument/relationships/webSettings" Target="webSettings.xml"/><Relationship Id="rId9" Type="http://purl.oclc.org/ooxml/officeDocument/relationships/hyperlink" Target="https://www.legislation.gov.uk/ukpga/2014/23/contents" TargetMode="External"/><Relationship Id="rId14" Type="http://purl.oclc.org/ooxml/officeDocument/relationships/hyperlink" Target="https://www.nice.org.uk/guidance/cg138" TargetMode="External"/><Relationship Id="rId22" Type="http://purl.oclc.org/ooxml/officeDocument/relationships/theme" Target="theme/theme1.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ECC14FB2-40E1-4A35-A605-A8EF49DF4623}">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52</TotalTime>
  <Pages>11</Pages>
  <Words>3202</Words>
  <Characters>18578</Characters>
  <Application>Microsoft Office Word</Application>
  <DocSecurity>0</DocSecurity>
  <Lines>154</Lines>
  <Paragraphs>43</Paragraphs>
  <ScaleCrop>false</ScaleCrop>
  <Company/>
  <LinksUpToDate>false</LinksUpToDate>
  <CharactersWithSpaces>21737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principles of health and social care practice</dc:title>
  <dc:subject>Monica Ispas</dc:subject>
  <dc:creator>Ispas Monica</dc:creator>
  <cp:keywords/>
  <dc:description/>
  <cp:lastModifiedBy>Ispas Monica</cp:lastModifiedBy>
  <cp:revision>33</cp:revision>
  <dcterms:created xsi:type="dcterms:W3CDTF">2026-08-06T12:02:00Z</dcterms:created>
  <dcterms:modified xsi:type="dcterms:W3CDTF">2026-08-06T12:54:00Z</dcterms:modified>
</cp:coreProperties>
</file>