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59" w:lineRule="auto"/>
        <w:jc w:val="left"/>
        <w:rPr>
          <w:b w:val="1"/>
          <w:bCs w:val="1"/>
          <w:sz w:val="36"/>
          <w:szCs w:val="36"/>
        </w:rPr>
      </w:pPr>
      <w:r w:rsidDel="00000000" w:rsidR="00000000" w:rsidRPr="00000000">
        <w:rPr>
          <w:rtl w:val="0"/>
        </w:rPr>
      </w:r>
    </w:p>
    <w:p w:rsidR="00000000" w:rsidDel="00000000" w:rsidP="00000000" w:rsidRDefault="00000000" w:rsidRPr="00000000" w14:paraId="00000002">
      <w:pPr>
        <w:spacing w:line="259" w:lineRule="auto"/>
        <w:jc w:val="center"/>
        <w:rPr>
          <w:b w:val="1"/>
          <w:bCs w:val="1"/>
          <w:sz w:val="36"/>
          <w:szCs w:val="36"/>
        </w:rPr>
      </w:pPr>
      <w:r w:rsidDel="00000000" w:rsidR="00000000" w:rsidRPr="00000000">
        <w:rPr>
          <w:b w:val="1"/>
          <w:bCs w:val="1"/>
          <w:sz w:val="36"/>
          <w:szCs w:val="36"/>
        </w:rPr>
        <w:drawing>
          <wp:inline distB="0" distT="0" distL="0" distR="0">
            <wp:extent cx="1966130" cy="662997"/>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966130" cy="662997"/>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259" w:lineRule="auto"/>
        <w:jc w:val="center"/>
        <w:rPr>
          <w:b w:val="1"/>
          <w:bCs w:val="1"/>
        </w:rPr>
      </w:pPr>
      <w:r w:rsidDel="00000000" w:rsidR="00000000" w:rsidRPr="00000000">
        <w:rPr>
          <w:b w:val="1"/>
          <w:bCs w:val="1"/>
          <w:rtl w:val="0"/>
        </w:rPr>
        <w:t xml:space="preserve">UNIVERSITY OF WALES TRINITY SAINT DAVID</w:t>
      </w:r>
    </w:p>
    <w:p w:rsidR="00000000" w:rsidDel="00000000" w:rsidP="00000000" w:rsidRDefault="00000000" w:rsidRPr="00000000" w14:paraId="00000004">
      <w:pPr>
        <w:spacing w:line="259" w:lineRule="auto"/>
        <w:jc w:val="center"/>
        <w:rPr>
          <w:b w:val="1"/>
          <w:bCs w:val="1"/>
        </w:rPr>
      </w:pPr>
      <w:r w:rsidDel="00000000" w:rsidR="00000000" w:rsidRPr="00000000">
        <w:rPr>
          <w:b w:val="1"/>
          <w:bCs w:val="1"/>
          <w:rtl w:val="0"/>
        </w:rPr>
        <w:t xml:space="preserve">Y Drindod Dewi Sant Prifysgol Cymru</w:t>
      </w:r>
    </w:p>
    <w:p w:rsidR="00000000" w:rsidDel="00000000" w:rsidP="00000000" w:rsidRDefault="00000000" w:rsidRPr="00000000" w14:paraId="00000005">
      <w:pPr>
        <w:spacing w:line="259" w:lineRule="auto"/>
        <w:jc w:val="center"/>
        <w:rPr>
          <w:b w:val="1"/>
          <w:bCs w:val="1"/>
        </w:rPr>
      </w:pPr>
      <w:r w:rsidDel="00000000" w:rsidR="00000000" w:rsidRPr="00000000">
        <w:rPr>
          <w:b w:val="1"/>
          <w:bCs w:val="1"/>
          <w:rtl w:val="0"/>
        </w:rPr>
        <w:t xml:space="preserve">Lecturer: Taonga Kaonga Sobere-Snithers</w:t>
      </w:r>
    </w:p>
    <w:p w:rsidR="00000000" w:rsidDel="00000000" w:rsidP="00000000" w:rsidRDefault="00000000" w:rsidRPr="00000000" w14:paraId="00000006">
      <w:pPr>
        <w:spacing w:line="259" w:lineRule="auto"/>
        <w:jc w:val="left"/>
        <w:rPr>
          <w:b w:val="1"/>
          <w:bCs w:val="1"/>
        </w:rPr>
      </w:pPr>
      <w:r w:rsidDel="00000000" w:rsidR="00000000" w:rsidRPr="00000000">
        <w:rPr>
          <w:rtl w:val="0"/>
        </w:rPr>
      </w:r>
    </w:p>
    <w:p w:rsidR="00000000" w:rsidDel="00000000" w:rsidP="00000000" w:rsidRDefault="00000000" w:rsidRPr="00000000" w14:paraId="00000007">
      <w:pPr>
        <w:spacing w:line="259" w:lineRule="auto"/>
        <w:jc w:val="center"/>
        <w:rPr>
          <w:b w:val="1"/>
          <w:bCs w:val="1"/>
        </w:rPr>
      </w:pPr>
      <w:r w:rsidDel="00000000" w:rsidR="00000000" w:rsidRPr="00000000">
        <w:rPr>
          <w:b w:val="1"/>
          <w:bCs w:val="1"/>
          <w:rtl w:val="0"/>
        </w:rPr>
        <w:t xml:space="preserve">Student ID: 2538968</w:t>
      </w:r>
    </w:p>
    <w:p w:rsidR="00000000" w:rsidDel="00000000" w:rsidP="00000000" w:rsidRDefault="00000000" w:rsidRPr="00000000" w14:paraId="00000008">
      <w:pPr>
        <w:spacing w:line="259" w:lineRule="auto"/>
        <w:jc w:val="center"/>
        <w:rPr>
          <w:b w:val="1"/>
          <w:bCs w:val="1"/>
        </w:rPr>
      </w:pPr>
      <w:r w:rsidDel="00000000" w:rsidR="00000000" w:rsidRPr="00000000">
        <w:rPr>
          <w:rtl w:val="0"/>
        </w:rPr>
      </w:r>
    </w:p>
    <w:p w:rsidR="00000000" w:rsidDel="00000000" w:rsidP="00000000" w:rsidRDefault="00000000" w:rsidRPr="00000000" w14:paraId="00000009">
      <w:pPr>
        <w:spacing w:line="259" w:lineRule="auto"/>
        <w:jc w:val="center"/>
        <w:rPr>
          <w:b w:val="1"/>
          <w:bCs w:val="1"/>
        </w:rPr>
      </w:pPr>
      <w:r w:rsidDel="00000000" w:rsidR="00000000" w:rsidRPr="00000000">
        <w:rPr>
          <w:b w:val="1"/>
          <w:bCs w:val="1"/>
          <w:rtl w:val="0"/>
        </w:rPr>
        <w:t xml:space="preserve">Student Name: Varun Chary Tarani</w:t>
      </w:r>
    </w:p>
    <w:p w:rsidR="00000000" w:rsidDel="00000000" w:rsidP="00000000" w:rsidRDefault="00000000" w:rsidRPr="00000000" w14:paraId="0000000A">
      <w:pPr>
        <w:spacing w:line="259" w:lineRule="auto"/>
        <w:jc w:val="center"/>
        <w:rPr>
          <w:b w:val="1"/>
          <w:bCs w:val="1"/>
        </w:rPr>
      </w:pPr>
      <w:r w:rsidDel="00000000" w:rsidR="00000000" w:rsidRPr="00000000">
        <w:rPr>
          <w:rtl w:val="0"/>
        </w:rPr>
      </w:r>
    </w:p>
    <w:p w:rsidR="00000000" w:rsidDel="00000000" w:rsidP="00000000" w:rsidRDefault="00000000" w:rsidRPr="00000000" w14:paraId="0000000B">
      <w:pPr>
        <w:spacing w:line="259" w:lineRule="auto"/>
        <w:jc w:val="center"/>
        <w:rPr>
          <w:b w:val="1"/>
          <w:bCs w:val="1"/>
        </w:rPr>
      </w:pPr>
      <w:r w:rsidDel="00000000" w:rsidR="00000000" w:rsidRPr="00000000">
        <w:rPr>
          <w:b w:val="1"/>
          <w:bCs w:val="1"/>
          <w:rtl w:val="0"/>
        </w:rPr>
        <w:t xml:space="preserve">Portfolio: Presentation, Report, Reflection</w:t>
      </w:r>
    </w:p>
    <w:p w:rsidR="00000000" w:rsidDel="00000000" w:rsidP="00000000" w:rsidRDefault="00000000" w:rsidRPr="00000000" w14:paraId="0000000C">
      <w:pPr>
        <w:spacing w:line="259" w:lineRule="auto"/>
        <w:jc w:val="center"/>
        <w:rPr>
          <w:b w:val="1"/>
          <w:bCs w:val="1"/>
        </w:rPr>
      </w:pPr>
      <w:r w:rsidDel="00000000" w:rsidR="00000000" w:rsidRPr="00000000">
        <w:rPr>
          <w:b w:val="1"/>
          <w:bCs w:val="1"/>
          <w:rtl w:val="0"/>
        </w:rPr>
        <w:t xml:space="preserve">Marketing Management</w:t>
      </w:r>
    </w:p>
    <w:p w:rsidR="00000000" w:rsidDel="00000000" w:rsidP="00000000" w:rsidRDefault="00000000" w:rsidRPr="00000000" w14:paraId="0000000D">
      <w:pPr>
        <w:spacing w:line="259" w:lineRule="auto"/>
        <w:jc w:val="center"/>
        <w:rPr>
          <w:b w:val="1"/>
          <w:bCs w:val="1"/>
        </w:rPr>
      </w:pPr>
      <w:r w:rsidDel="00000000" w:rsidR="00000000" w:rsidRPr="00000000">
        <w:rPr>
          <w:rtl w:val="0"/>
        </w:rPr>
      </w:r>
    </w:p>
    <w:p w:rsidR="00000000" w:rsidDel="00000000" w:rsidP="00000000" w:rsidRDefault="00000000" w:rsidRPr="00000000" w14:paraId="0000000E">
      <w:pPr>
        <w:spacing w:line="259" w:lineRule="auto"/>
        <w:jc w:val="center"/>
        <w:rPr>
          <w:b w:val="1"/>
          <w:bCs w:val="1"/>
        </w:rPr>
      </w:pPr>
      <w:r w:rsidDel="00000000" w:rsidR="00000000" w:rsidRPr="00000000">
        <w:rPr>
          <w:b w:val="1"/>
          <w:bCs w:val="1"/>
          <w:rtl w:val="0"/>
        </w:rPr>
        <w:t xml:space="preserve">Master of Business Administration</w:t>
      </w:r>
    </w:p>
    <w:p w:rsidR="00000000" w:rsidDel="00000000" w:rsidP="00000000" w:rsidRDefault="00000000" w:rsidRPr="00000000" w14:paraId="0000000F">
      <w:pPr>
        <w:jc w:val="cente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32"/>
          <w:szCs w:val="32"/>
          <w:u w:val="none"/>
          <w:shd w:fill="auto" w:val="clear"/>
          <w:vertAlign w:val="baseline"/>
          <w:rtl w:val="0"/>
        </w:rPr>
        <w:t xml:space="preserve">Table of Contents</w:t>
      </w:r>
    </w:p>
    <w:sdt>
      <w:sdtPr>
        <w:id w:val="-1737839900"/>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3zqww8snql0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Element 1: Sustainable Brand Extension Poster Presentation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d5c9prkehu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Element 2: STDP Analysis</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9egz74fao7r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Market Segmentation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p0n79ldvtg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Targeting Strategy</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j9w4ni6ndah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Differentiation</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rylrrsg6s6q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Positioning</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rypano13pq6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Element 3: Marketing Mix</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9i8e059ugk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Product</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qtjmapqubze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Price</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eur8r9szrou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Place</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xnskz0xb5dy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Promotion</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ejj74qo6z0z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People</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mpmj7jorl90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Process</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valg86p7vk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Physical Evidence</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vhm7o5n4535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Critical Evaluation</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8hfys7n17ic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Element 4: Reflection</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xjazsvsnxc0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Developing the Sustainable Brand Extension Strategy</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sxq6ch5cu4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Preparing and Delivering the Poster Presentation</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fkv7chbcqxs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Skills, Knowledge, and Insights Gained</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vnuck7aj4dn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Contribution to Personal and Professional Development</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u4fsarwgaqb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Areas for Future Enhancement</w:t>
              <w:tab/>
              <w:t xml:space="preserve">10</w:t>
            </w:r>
          </w:hyperlink>
          <w:r w:rsidDel="00000000" w:rsidR="00000000" w:rsidRPr="00000000">
            <w:rPr>
              <w:rtl w:val="0"/>
            </w:rPr>
          </w:r>
        </w:p>
        <w:p w:rsidR="00000000" w:rsidDel="00000000" w:rsidP="00000000" w:rsidRDefault="00000000" w:rsidRPr="00000000" w14:paraId="0000002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7">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3zqww8snql0y" w:id="0"/>
      <w:bookmarkEnd w:id="0"/>
      <w:r w:rsidDel="00000000" w:rsidR="00000000" w:rsidRPr="00000000">
        <w:rPr>
          <w:rtl w:val="0"/>
        </w:rPr>
        <w:t xml:space="preserve">Element 1: Sustainable Brand Extension Poster Presentation</w:t>
      </w:r>
    </w:p>
    <w:p w:rsidR="00000000" w:rsidDel="00000000" w:rsidP="00000000" w:rsidRDefault="00000000" w:rsidRPr="00000000" w14:paraId="00000029">
      <w:pPr>
        <w:rPr/>
      </w:pPr>
      <w:r w:rsidDel="00000000" w:rsidR="00000000" w:rsidRPr="00000000">
        <w:rPr/>
        <w:drawing>
          <wp:inline distB="0" distT="0" distL="0" distR="0">
            <wp:extent cx="5731510" cy="810641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510" cy="810641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pStyle w:val="Heading1"/>
        <w:rPr/>
      </w:pPr>
      <w:bookmarkStart w:colFirst="0" w:colLast="0" w:name="_hd5c9prkehul" w:id="1"/>
      <w:bookmarkEnd w:id="1"/>
      <w:r w:rsidDel="00000000" w:rsidR="00000000" w:rsidRPr="00000000">
        <w:rPr>
          <w:rtl w:val="0"/>
        </w:rPr>
        <w:t xml:space="preserve">Element 2: STDP Analysis</w:t>
      </w:r>
    </w:p>
    <w:p w:rsidR="00000000" w:rsidDel="00000000" w:rsidP="00000000" w:rsidRDefault="00000000" w:rsidRPr="00000000" w14:paraId="0000002B">
      <w:pPr>
        <w:rPr/>
      </w:pPr>
      <w:r w:rsidDel="00000000" w:rsidR="00000000" w:rsidRPr="00000000">
        <w:rPr>
          <w:rtl w:val="0"/>
        </w:rPr>
        <w:t xml:space="preserve">IKEA Re:Cycle is a strategic brand extension that transitions IKEA away in the conventional product-selling model to an offering that focuses on the service form of a circular Product-as-a-Service. To make this extension successful, it is necessary to have a clear Segmentation, Targeting, Differentiation and Positioning (STDP) strategy. Lacking meaningful differentiation, this analysis indicates topically relevant market segments, the selection of the most effective target audience, the establishment of a powerful market position of IKEA Re:Cycle.</w:t>
      </w:r>
    </w:p>
    <w:p w:rsidR="00000000" w:rsidDel="00000000" w:rsidP="00000000" w:rsidRDefault="00000000" w:rsidRPr="00000000" w14:paraId="0000002C">
      <w:pPr>
        <w:pStyle w:val="Heading2"/>
        <w:rPr/>
      </w:pPr>
      <w:bookmarkStart w:colFirst="0" w:colLast="0" w:name="_9egz74fao7r1" w:id="2"/>
      <w:bookmarkEnd w:id="2"/>
      <w:r w:rsidDel="00000000" w:rsidR="00000000" w:rsidRPr="00000000">
        <w:rPr>
          <w:rtl w:val="0"/>
        </w:rPr>
        <w:t xml:space="preserve">Market Segmentation </w:t>
      </w:r>
    </w:p>
    <w:p w:rsidR="00000000" w:rsidDel="00000000" w:rsidP="00000000" w:rsidRDefault="00000000" w:rsidRPr="00000000" w14:paraId="0000002D">
      <w:pPr>
        <w:rPr/>
      </w:pPr>
      <w:r w:rsidDel="00000000" w:rsidR="00000000" w:rsidRPr="00000000">
        <w:rPr>
          <w:rtl w:val="0"/>
        </w:rPr>
        <w:t xml:space="preserve">Market segmentation entails classifying the heterogeneous market into various groups which share similarity. In the case of IKEA Re:Cycle, the segmentation is done on four bases.</w:t>
      </w:r>
    </w:p>
    <w:p w:rsidR="00000000" w:rsidDel="00000000" w:rsidP="00000000" w:rsidRDefault="00000000" w:rsidRPr="00000000" w14:paraId="0000002E">
      <w:pPr>
        <w:rPr/>
      </w:pPr>
      <w:r w:rsidDel="00000000" w:rsidR="00000000" w:rsidRPr="00000000">
        <w:rPr>
          <w:b w:val="1"/>
          <w:bCs w:val="1"/>
          <w:rtl w:val="0"/>
        </w:rPr>
        <w:t xml:space="preserve">Geographic Segmentation</w:t>
      </w:r>
      <w:r w:rsidDel="00000000" w:rsidR="00000000" w:rsidRPr="00000000">
        <w:rPr>
          <w:rtl w:val="0"/>
        </w:rPr>
        <w:t xml:space="preserve"> </w:t>
      </w:r>
    </w:p>
    <w:p w:rsidR="00000000" w:rsidDel="00000000" w:rsidP="00000000" w:rsidRDefault="00000000" w:rsidRPr="00000000" w14:paraId="0000002F">
      <w:pPr>
        <w:rPr/>
      </w:pPr>
      <w:r w:rsidDel="00000000" w:rsidR="00000000" w:rsidRPr="00000000">
        <w:rPr>
          <w:rtl w:val="0"/>
        </w:rPr>
        <w:t xml:space="preserve">The main target is metropolitan and suburban locations within the United Kingdom and Northern Europe, and in major cities like London, Manchester, Birmingham, Stockholm and Amsterdam. These areas are densely populated and costly to buy housing, and have significant infrastructural infrastructure to facilitate delivery and reverse logistics, which are essential in a circular model based on subscription (Tukker, 2015).</w:t>
      </w:r>
    </w:p>
    <w:p w:rsidR="00000000" w:rsidDel="00000000" w:rsidP="00000000" w:rsidRDefault="00000000" w:rsidRPr="00000000" w14:paraId="00000030">
      <w:pPr>
        <w:rPr/>
      </w:pPr>
      <w:r w:rsidDel="00000000" w:rsidR="00000000" w:rsidRPr="00000000">
        <w:rPr>
          <w:b w:val="1"/>
          <w:bCs w:val="1"/>
          <w:rtl w:val="0"/>
        </w:rPr>
        <w:t xml:space="preserve">Demographic Segmentation</w:t>
      </w:r>
      <w:r w:rsidDel="00000000" w:rsidR="00000000" w:rsidRPr="00000000">
        <w:rPr>
          <w:rtl w:val="0"/>
        </w:rPr>
        <w:t xml:space="preserve"> </w:t>
      </w:r>
    </w:p>
    <w:p w:rsidR="00000000" w:rsidDel="00000000" w:rsidP="00000000" w:rsidRDefault="00000000" w:rsidRPr="00000000" w14:paraId="00000031">
      <w:pPr>
        <w:rPr/>
      </w:pPr>
      <w:r w:rsidDel="00000000" w:rsidR="00000000" w:rsidRPr="00000000">
        <w:rPr>
          <w:rtl w:val="0"/>
        </w:rPr>
        <w:t xml:space="preserve">The service is mainly aimed at those aged 25 to 40 years, young professionals, students, young families. This audience is often of moderate or higher education, has than-average digital literacy, and earns enough to make subscription payments, but is most likely financially constrained with respect to buying large, upfront pieces of furniture.</w:t>
      </w:r>
    </w:p>
    <w:p w:rsidR="00000000" w:rsidDel="00000000" w:rsidP="00000000" w:rsidRDefault="00000000" w:rsidRPr="00000000" w14:paraId="00000032">
      <w:pPr>
        <w:rPr/>
      </w:pPr>
      <w:r w:rsidDel="00000000" w:rsidR="00000000" w:rsidRPr="00000000">
        <w:rPr>
          <w:b w:val="1"/>
          <w:bCs w:val="1"/>
          <w:rtl w:val="0"/>
        </w:rPr>
        <w:t xml:space="preserve">Psychographic Segmentation</w:t>
      </w:r>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rtl w:val="0"/>
        </w:rPr>
        <w:t xml:space="preserve">This has targets who have good environmental values, values that favor flexibility rather than ownership and have the need to be convenient. They become early adopters of sustainable lifestyles and do not trust shallow claims about green and desire to understand the impact and transparency (Campos and Gomes, 2026).</w:t>
      </w:r>
    </w:p>
    <w:p w:rsidR="00000000" w:rsidDel="00000000" w:rsidP="00000000" w:rsidRDefault="00000000" w:rsidRPr="00000000" w14:paraId="00000034">
      <w:pPr>
        <w:rPr/>
      </w:pPr>
      <w:r w:rsidDel="00000000" w:rsidR="00000000" w:rsidRPr="00000000">
        <w:rPr>
          <w:b w:val="1"/>
          <w:bCs w:val="1"/>
          <w:rtl w:val="0"/>
        </w:rPr>
        <w:t xml:space="preserve">Behavioural Segmentation</w:t>
      </w:r>
      <w:r w:rsidDel="00000000" w:rsidR="00000000" w:rsidRPr="00000000">
        <w:rPr>
          <w:rtl w:val="0"/>
        </w:rPr>
        <w:t xml:space="preserve"> </w:t>
      </w:r>
    </w:p>
    <w:p w:rsidR="00000000" w:rsidDel="00000000" w:rsidP="00000000" w:rsidRDefault="00000000" w:rsidRPr="00000000" w14:paraId="00000035">
      <w:pPr>
        <w:rPr/>
      </w:pPr>
      <w:r w:rsidDel="00000000" w:rsidR="00000000" w:rsidRPr="00000000">
        <w:rPr>
          <w:rtl w:val="0"/>
        </w:rPr>
        <w:t xml:space="preserve">These users are very addicted to digital platforms, subscriptions and rental options in other fields (streaming and mobility), and are open to participating in a take-back and circular system when the experience is convenient. They are also more likely to change living place as compared to the older demographics (Ogiemwonyi, 2025).</w:t>
      </w:r>
    </w:p>
    <w:p w:rsidR="00000000" w:rsidDel="00000000" w:rsidP="00000000" w:rsidRDefault="00000000" w:rsidRPr="00000000" w14:paraId="00000036">
      <w:pPr>
        <w:rPr/>
      </w:pPr>
      <w:r w:rsidDel="00000000" w:rsidR="00000000" w:rsidRPr="00000000">
        <w:rPr>
          <w:b w:val="1"/>
          <w:bCs w:val="1"/>
          <w:rtl w:val="0"/>
        </w:rPr>
        <w:t xml:space="preserve">Table 1: Summary of Market Segmentation for IKEA Re:Cycle</w:t>
      </w:r>
      <w:r w:rsidDel="00000000" w:rsidR="00000000" w:rsidRPr="00000000">
        <w:rPr>
          <w:rtl w:val="0"/>
        </w:rPr>
      </w:r>
    </w:p>
    <w:tbl>
      <w:tblPr>
        <w:tblStyle w:val="Table1"/>
        <w:tblW w:w="9016.000000000002" w:type="dxa"/>
        <w:jc w:val="left"/>
        <w:tblBorders>
          <w:top w:color="8eaadb" w:space="0" w:sz="4" w:val="single"/>
          <w:left w:color="8eaadb" w:space="0" w:sz="4" w:val="single"/>
          <w:bottom w:color="8eaadb" w:space="0" w:sz="4" w:val="single"/>
          <w:right w:color="8eaadb" w:space="0" w:sz="4" w:val="single"/>
          <w:insideH w:color="8eaadb" w:space="0" w:sz="4" w:val="single"/>
          <w:insideV w:color="8eaadb" w:space="0" w:sz="4" w:val="single"/>
        </w:tblBorders>
        <w:tblLayout w:type="fixed"/>
        <w:tblLook w:val="04A0"/>
      </w:tblPr>
      <w:tblGrid>
        <w:gridCol w:w="1928"/>
        <w:gridCol w:w="3891"/>
        <w:gridCol w:w="3197"/>
        <w:tblGridChange w:id="0">
          <w:tblGrid>
            <w:gridCol w:w="1928"/>
            <w:gridCol w:w="3891"/>
            <w:gridCol w:w="3197"/>
          </w:tblGrid>
        </w:tblGridChange>
      </w:tblGrid>
      <w:tr>
        <w:trPr>
          <w:cantSplit w:val="0"/>
          <w:tblHeader w:val="0"/>
        </w:trPr>
        <w:tc>
          <w:tcPr/>
          <w:p w:rsidR="00000000" w:rsidDel="00000000" w:rsidP="00000000" w:rsidRDefault="00000000" w:rsidRPr="00000000" w14:paraId="00000037">
            <w:pPr>
              <w:spacing w:after="160" w:lineRule="auto"/>
              <w:rPr/>
            </w:pPr>
            <w:r w:rsidDel="00000000" w:rsidR="00000000" w:rsidRPr="00000000">
              <w:rPr>
                <w:rtl w:val="0"/>
              </w:rPr>
              <w:t xml:space="preserve">Segmentation Base</w:t>
            </w:r>
          </w:p>
        </w:tc>
        <w:tc>
          <w:tcPr/>
          <w:p w:rsidR="00000000" w:rsidDel="00000000" w:rsidP="00000000" w:rsidRDefault="00000000" w:rsidRPr="00000000" w14:paraId="00000038">
            <w:pPr>
              <w:spacing w:after="160" w:lineRule="auto"/>
              <w:rPr/>
            </w:pPr>
            <w:r w:rsidDel="00000000" w:rsidR="00000000" w:rsidRPr="00000000">
              <w:rPr>
                <w:rtl w:val="0"/>
              </w:rPr>
              <w:t xml:space="preserve">Key Characteristics</w:t>
            </w:r>
          </w:p>
        </w:tc>
        <w:tc>
          <w:tcPr/>
          <w:p w:rsidR="00000000" w:rsidDel="00000000" w:rsidP="00000000" w:rsidRDefault="00000000" w:rsidRPr="00000000" w14:paraId="00000039">
            <w:pPr>
              <w:spacing w:after="160" w:lineRule="auto"/>
              <w:rPr/>
            </w:pPr>
            <w:r w:rsidDel="00000000" w:rsidR="00000000" w:rsidRPr="00000000">
              <w:rPr>
                <w:rtl w:val="0"/>
              </w:rPr>
              <w:t xml:space="preserve">Relevance to IKEA Re:Cycle</w:t>
            </w:r>
          </w:p>
        </w:tc>
      </w:tr>
      <w:tr>
        <w:trPr>
          <w:cantSplit w:val="0"/>
          <w:tblHeader w:val="0"/>
        </w:trPr>
        <w:tc>
          <w:tcPr/>
          <w:p w:rsidR="00000000" w:rsidDel="00000000" w:rsidP="00000000" w:rsidRDefault="00000000" w:rsidRPr="00000000" w14:paraId="0000003A">
            <w:pPr>
              <w:spacing w:after="160" w:lineRule="auto"/>
              <w:rPr/>
            </w:pPr>
            <w:r w:rsidDel="00000000" w:rsidR="00000000" w:rsidRPr="00000000">
              <w:rPr>
                <w:rtl w:val="0"/>
              </w:rPr>
              <w:t xml:space="preserve">Geographic</w:t>
            </w:r>
          </w:p>
        </w:tc>
        <w:tc>
          <w:tcPr/>
          <w:p w:rsidR="00000000" w:rsidDel="00000000" w:rsidP="00000000" w:rsidRDefault="00000000" w:rsidRPr="00000000" w14:paraId="0000003B">
            <w:pPr>
              <w:spacing w:after="160" w:lineRule="auto"/>
              <w:rPr/>
            </w:pPr>
            <w:r w:rsidDel="00000000" w:rsidR="00000000" w:rsidRPr="00000000">
              <w:rPr>
                <w:rtl w:val="0"/>
              </w:rPr>
              <w:t xml:space="preserve">Urban and suburban areas in UK and Northern Europe</w:t>
            </w:r>
          </w:p>
        </w:tc>
        <w:tc>
          <w:tcPr/>
          <w:p w:rsidR="00000000" w:rsidDel="00000000" w:rsidP="00000000" w:rsidRDefault="00000000" w:rsidRPr="00000000" w14:paraId="0000003C">
            <w:pPr>
              <w:spacing w:after="160" w:lineRule="auto"/>
              <w:rPr/>
            </w:pPr>
            <w:r w:rsidDel="00000000" w:rsidR="00000000" w:rsidRPr="00000000">
              <w:rPr>
                <w:rtl w:val="0"/>
              </w:rPr>
              <w:t xml:space="preserve">Supports efficient logistics and high demand</w:t>
            </w:r>
          </w:p>
        </w:tc>
      </w:tr>
      <w:tr>
        <w:trPr>
          <w:cantSplit w:val="0"/>
          <w:tblHeader w:val="0"/>
        </w:trPr>
        <w:tc>
          <w:tcPr/>
          <w:p w:rsidR="00000000" w:rsidDel="00000000" w:rsidP="00000000" w:rsidRDefault="00000000" w:rsidRPr="00000000" w14:paraId="0000003D">
            <w:pPr>
              <w:spacing w:after="160" w:lineRule="auto"/>
              <w:rPr/>
            </w:pPr>
            <w:r w:rsidDel="00000000" w:rsidR="00000000" w:rsidRPr="00000000">
              <w:rPr>
                <w:rtl w:val="0"/>
              </w:rPr>
              <w:t xml:space="preserve">Demographic</w:t>
            </w:r>
          </w:p>
        </w:tc>
        <w:tc>
          <w:tcPr/>
          <w:p w:rsidR="00000000" w:rsidDel="00000000" w:rsidP="00000000" w:rsidRDefault="00000000" w:rsidRPr="00000000" w14:paraId="0000003E">
            <w:pPr>
              <w:spacing w:after="160" w:lineRule="auto"/>
              <w:rPr/>
            </w:pPr>
            <w:r w:rsidDel="00000000" w:rsidR="00000000" w:rsidRPr="00000000">
              <w:rPr>
                <w:rtl w:val="0"/>
              </w:rPr>
              <w:t xml:space="preserve">Age 25–40; young professionals, students, young families</w:t>
            </w:r>
          </w:p>
        </w:tc>
        <w:tc>
          <w:tcPr/>
          <w:p w:rsidR="00000000" w:rsidDel="00000000" w:rsidP="00000000" w:rsidRDefault="00000000" w:rsidRPr="00000000" w14:paraId="0000003F">
            <w:pPr>
              <w:spacing w:after="160" w:lineRule="auto"/>
              <w:rPr/>
            </w:pPr>
            <w:r w:rsidDel="00000000" w:rsidR="00000000" w:rsidRPr="00000000">
              <w:rPr>
                <w:rtl w:val="0"/>
              </w:rPr>
              <w:t xml:space="preserve">Financially constrained but digitally engaged</w:t>
            </w:r>
          </w:p>
        </w:tc>
      </w:tr>
      <w:tr>
        <w:trPr>
          <w:cantSplit w:val="0"/>
          <w:tblHeader w:val="0"/>
        </w:trPr>
        <w:tc>
          <w:tcPr/>
          <w:p w:rsidR="00000000" w:rsidDel="00000000" w:rsidP="00000000" w:rsidRDefault="00000000" w:rsidRPr="00000000" w14:paraId="00000040">
            <w:pPr>
              <w:spacing w:after="160" w:lineRule="auto"/>
              <w:rPr/>
            </w:pPr>
            <w:r w:rsidDel="00000000" w:rsidR="00000000" w:rsidRPr="00000000">
              <w:rPr>
                <w:rtl w:val="0"/>
              </w:rPr>
              <w:t xml:space="preserve">Psychographic</w:t>
            </w:r>
          </w:p>
        </w:tc>
        <w:tc>
          <w:tcPr/>
          <w:p w:rsidR="00000000" w:rsidDel="00000000" w:rsidP="00000000" w:rsidRDefault="00000000" w:rsidRPr="00000000" w14:paraId="00000041">
            <w:pPr>
              <w:spacing w:after="160" w:lineRule="auto"/>
              <w:rPr/>
            </w:pPr>
            <w:r w:rsidDel="00000000" w:rsidR="00000000" w:rsidRPr="00000000">
              <w:rPr>
                <w:rtl w:val="0"/>
              </w:rPr>
              <w:t xml:space="preserve">Environmentally conscious; value flexibility and transparency</w:t>
            </w:r>
          </w:p>
        </w:tc>
        <w:tc>
          <w:tcPr/>
          <w:p w:rsidR="00000000" w:rsidDel="00000000" w:rsidP="00000000" w:rsidRDefault="00000000" w:rsidRPr="00000000" w14:paraId="00000042">
            <w:pPr>
              <w:spacing w:after="160" w:lineRule="auto"/>
              <w:rPr/>
            </w:pPr>
            <w:r w:rsidDel="00000000" w:rsidR="00000000" w:rsidRPr="00000000">
              <w:rPr>
                <w:rtl w:val="0"/>
              </w:rPr>
              <w:t xml:space="preserve">Strong alignment with circular consumption values</w:t>
            </w:r>
          </w:p>
        </w:tc>
      </w:tr>
      <w:tr>
        <w:trPr>
          <w:cantSplit w:val="0"/>
          <w:tblHeader w:val="0"/>
        </w:trPr>
        <w:tc>
          <w:tcPr/>
          <w:p w:rsidR="00000000" w:rsidDel="00000000" w:rsidP="00000000" w:rsidRDefault="00000000" w:rsidRPr="00000000" w14:paraId="00000043">
            <w:pPr>
              <w:spacing w:after="160" w:lineRule="auto"/>
              <w:rPr/>
            </w:pPr>
            <w:r w:rsidDel="00000000" w:rsidR="00000000" w:rsidRPr="00000000">
              <w:rPr>
                <w:rtl w:val="0"/>
              </w:rPr>
              <w:t xml:space="preserve">Behavioural</w:t>
            </w:r>
          </w:p>
        </w:tc>
        <w:tc>
          <w:tcPr/>
          <w:p w:rsidR="00000000" w:rsidDel="00000000" w:rsidP="00000000" w:rsidRDefault="00000000" w:rsidRPr="00000000" w14:paraId="00000044">
            <w:pPr>
              <w:spacing w:after="160" w:lineRule="auto"/>
              <w:rPr/>
            </w:pPr>
            <w:r w:rsidDel="00000000" w:rsidR="00000000" w:rsidRPr="00000000">
              <w:rPr>
                <w:rtl w:val="0"/>
              </w:rPr>
              <w:t xml:space="preserve">Frequent movers; users of subscription services</w:t>
            </w:r>
          </w:p>
        </w:tc>
        <w:tc>
          <w:tcPr/>
          <w:p w:rsidR="00000000" w:rsidDel="00000000" w:rsidP="00000000" w:rsidRDefault="00000000" w:rsidRPr="00000000" w14:paraId="00000045">
            <w:pPr>
              <w:spacing w:after="160" w:lineRule="auto"/>
              <w:rPr/>
            </w:pPr>
            <w:r w:rsidDel="00000000" w:rsidR="00000000" w:rsidRPr="00000000">
              <w:rPr>
                <w:rtl w:val="0"/>
              </w:rPr>
              <w:t xml:space="preserve">High suitability for access-based furniture models</w:t>
            </w:r>
          </w:p>
        </w:tc>
      </w:tr>
    </w:tbl>
    <w:p w:rsidR="00000000" w:rsidDel="00000000" w:rsidP="00000000" w:rsidRDefault="00000000" w:rsidRPr="00000000" w14:paraId="00000046">
      <w:pPr>
        <w:pStyle w:val="Heading2"/>
        <w:rPr/>
      </w:pPr>
      <w:bookmarkStart w:colFirst="0" w:colLast="0" w:name="_kp0n79ldvtgj" w:id="3"/>
      <w:bookmarkEnd w:id="3"/>
      <w:r w:rsidDel="00000000" w:rsidR="00000000" w:rsidRPr="00000000">
        <w:rPr>
          <w:rtl w:val="0"/>
        </w:rPr>
        <w:t xml:space="preserve">Targeting Strategy </w:t>
      </w:r>
    </w:p>
    <w:p w:rsidR="00000000" w:rsidDel="00000000" w:rsidP="00000000" w:rsidRDefault="00000000" w:rsidRPr="00000000" w14:paraId="00000047">
      <w:pPr>
        <w:rPr/>
      </w:pPr>
      <w:r w:rsidDel="00000000" w:rsidR="00000000" w:rsidRPr="00000000">
        <w:rPr>
          <w:rtl w:val="0"/>
        </w:rPr>
        <w:t xml:space="preserve">After making the segmentation decision, IKEA Re:Cycle will utilize a narrow targeting approach, primarily targeting the young working professionals and renters aged 2535 in large cities of the UK and Northern Europe who care about environmental issues. The segment is a sizeable and rising market that identifies most with the circular value proposition. According to studies, Gen Z and Millennial customers are notably open to sustainability-oriented business practices and are more open to interactivity with circular products in case of sustainability and convenience is guaranteed (First Insight, 2025; Shevchenko et al., 2023). This marketing strategy enables IKEA to create a strong level of loyalty with a responsive audience as well as create a demonstration of concept prior to possible broader growth.</w:t>
      </w:r>
    </w:p>
    <w:p w:rsidR="00000000" w:rsidDel="00000000" w:rsidP="00000000" w:rsidRDefault="00000000" w:rsidRPr="00000000" w14:paraId="00000048">
      <w:pPr>
        <w:pStyle w:val="Heading2"/>
        <w:rPr/>
      </w:pPr>
      <w:bookmarkStart w:colFirst="0" w:colLast="0" w:name="_j9w4ni6ndahn" w:id="4"/>
      <w:bookmarkEnd w:id="4"/>
      <w:r w:rsidDel="00000000" w:rsidR="00000000" w:rsidRPr="00000000">
        <w:rPr>
          <w:rtl w:val="0"/>
        </w:rPr>
        <w:t xml:space="preserve">Differentiation </w:t>
      </w:r>
    </w:p>
    <w:p w:rsidR="00000000" w:rsidDel="00000000" w:rsidP="00000000" w:rsidRDefault="00000000" w:rsidRPr="00000000" w14:paraId="00000049">
      <w:pPr>
        <w:rPr/>
      </w:pPr>
      <w:r w:rsidDel="00000000" w:rsidR="00000000" w:rsidRPr="00000000">
        <w:rPr>
          <w:rtl w:val="0"/>
        </w:rPr>
        <w:t xml:space="preserve">The scale, trust, and built-in circular infrastructure makes IKEA Re:Cycle noticeably different compared to traditional furniture retailers and other upcoming rivalry based on circularity. IKEA has an extensive scale of brand recognition, a solid network of physical retail outlets to accommodate customers, and a developed supply chain, unlike smaller circuit-shaped startups. The service offers true circularity with its designed-to-break-down products, professional approach to refurbishment, and transparent impact reporting in comparison to conventional retailers. The rationale behind this distinction lies in the idea of circular business model innovation, which goes beyond making sustainability-related improvements in a more limited and incremental manner (Bocken and Konietzko, 2022).</w:t>
      </w:r>
    </w:p>
    <w:p w:rsidR="00000000" w:rsidDel="00000000" w:rsidP="00000000" w:rsidRDefault="00000000" w:rsidRPr="00000000" w14:paraId="0000004A">
      <w:pPr>
        <w:pStyle w:val="Heading2"/>
        <w:rPr/>
      </w:pPr>
      <w:bookmarkStart w:colFirst="0" w:colLast="0" w:name="_rylrrsg6s6qv" w:id="5"/>
      <w:bookmarkEnd w:id="5"/>
      <w:r w:rsidDel="00000000" w:rsidR="00000000" w:rsidRPr="00000000">
        <w:rPr>
          <w:rtl w:val="0"/>
        </w:rPr>
        <w:t xml:space="preserve">Positioning </w:t>
      </w:r>
    </w:p>
    <w:p w:rsidR="00000000" w:rsidDel="00000000" w:rsidP="00000000" w:rsidRDefault="00000000" w:rsidRPr="00000000" w14:paraId="0000004B">
      <w:pPr>
        <w:rPr/>
      </w:pPr>
      <w:r w:rsidDel="00000000" w:rsidR="00000000" w:rsidRPr="00000000">
        <w:rPr>
          <w:rtl w:val="0"/>
        </w:rPr>
        <w:t xml:space="preserve">IKEA Re:Cycle is posed as a convenient and convenient circular furniture manufacturer to the urban consumers who are more environmentally conscious and in need of a flexible and sustainable method of providing their home furniture. The service is an amalgamation of the reliable design of IKEA products with a subscription of circular approach through which the consumers can rent, deliver, remodel and repurpose the pieces. It provides practical value by being cheaper, convenient, and flexible and promotes responsible usage and the minimization of waste of furniture. Simultaneously, it is presented as something emotionally meaningful as it allows customers to make environmentally preferable decisions without compromising style and quality. With this strategy, IKEA Re:Cycle can stand out as a competitive idea instead of its competitors in the furniture shop sector, including the high-end circular furniture market, by making the idea of sustainable living both affordable and feasible.</w:t>
      </w:r>
    </w:p>
    <w:p w:rsidR="00000000" w:rsidDel="00000000" w:rsidP="00000000" w:rsidRDefault="00000000" w:rsidRPr="00000000" w14:paraId="0000004C">
      <w:pPr>
        <w:pStyle w:val="Heading1"/>
        <w:rPr/>
      </w:pPr>
      <w:bookmarkStart w:colFirst="0" w:colLast="0" w:name="_rypano13pq6x" w:id="6"/>
      <w:bookmarkEnd w:id="6"/>
      <w:r w:rsidDel="00000000" w:rsidR="00000000" w:rsidRPr="00000000">
        <w:rPr>
          <w:rtl w:val="0"/>
        </w:rPr>
        <w:t xml:space="preserve">Element 3: Marketing Mix</w:t>
      </w:r>
    </w:p>
    <w:p w:rsidR="00000000" w:rsidDel="00000000" w:rsidP="00000000" w:rsidRDefault="00000000" w:rsidRPr="00000000" w14:paraId="0000004D">
      <w:pPr>
        <w:rPr/>
      </w:pPr>
      <w:r w:rsidDel="00000000" w:rsidR="00000000" w:rsidRPr="00000000">
        <w:rPr>
          <w:rtl w:val="0"/>
        </w:rPr>
        <w:t xml:space="preserve">Marketing mix in IKEA Re:Cycle is designed with the extended 7Ps framework that is especially suitable to the service-based and circular business models. All of these elements aimed to complement the core of the brand extension value proposition of flexibility, proven sustainability, and convenience and to reinforce IKEA as a leader in the circular economy accessible. The analysis below is a critical analysis of how the 7Ps will be adopted to spur adoption and long-term brand growth.</w:t>
      </w:r>
    </w:p>
    <w:p w:rsidR="00000000" w:rsidDel="00000000" w:rsidP="00000000" w:rsidRDefault="00000000" w:rsidRPr="00000000" w14:paraId="0000004E">
      <w:pPr>
        <w:pStyle w:val="Heading2"/>
        <w:rPr/>
      </w:pPr>
      <w:bookmarkStart w:colFirst="0" w:colLast="0" w:name="_h9i8e059ugkj" w:id="7"/>
      <w:bookmarkEnd w:id="7"/>
      <w:r w:rsidDel="00000000" w:rsidR="00000000" w:rsidRPr="00000000">
        <w:rPr>
          <w:rtl w:val="0"/>
        </w:rPr>
        <w:t xml:space="preserve">Product </w:t>
      </w:r>
    </w:p>
    <w:p w:rsidR="00000000" w:rsidDel="00000000" w:rsidP="00000000" w:rsidRDefault="00000000" w:rsidRPr="00000000" w14:paraId="0000004F">
      <w:pPr>
        <w:rPr/>
      </w:pPr>
      <w:r w:rsidDel="00000000" w:rsidR="00000000" w:rsidRPr="00000000">
        <w:rPr>
          <w:rtl w:val="0"/>
        </w:rPr>
        <w:t xml:space="preserve">IKEA Re:Cycle sells an assortment of furniture and homeware that has been chosen or designed to be circular. Products have modular construction, great durability, and introductory dismantling to enable re-use of products in more than a single run. The furniture is not the core product itself, but a full package of the service which includes delivery, assembling professionally, providing maintenance, and the dismantling of the end of these subscriptions. This product approach does not just focus on conventional furniture products but built-in circular principles of design will help to add more value to the perceived, through service life and less harm to the environment. Nevertheless, ensuring quality consistency in refurbished products poses an operational issue that needs high quality assurance mechanisms.</w:t>
      </w:r>
    </w:p>
    <w:p w:rsidR="00000000" w:rsidDel="00000000" w:rsidP="00000000" w:rsidRDefault="00000000" w:rsidRPr="00000000" w14:paraId="00000050">
      <w:pPr>
        <w:pStyle w:val="Heading2"/>
        <w:rPr/>
      </w:pPr>
      <w:bookmarkStart w:colFirst="0" w:colLast="0" w:name="_qtjmapqubzef" w:id="8"/>
      <w:bookmarkEnd w:id="8"/>
      <w:r w:rsidDel="00000000" w:rsidR="00000000" w:rsidRPr="00000000">
        <w:rPr>
          <w:rtl w:val="0"/>
        </w:rPr>
        <w:t xml:space="preserve">Price </w:t>
      </w:r>
    </w:p>
    <w:p w:rsidR="00000000" w:rsidDel="00000000" w:rsidP="00000000" w:rsidRDefault="00000000" w:rsidRPr="00000000" w14:paraId="00000051">
      <w:pPr>
        <w:rPr/>
      </w:pPr>
      <w:r w:rsidDel="00000000" w:rsidR="00000000" w:rsidRPr="00000000">
        <w:rPr>
          <w:rtl w:val="0"/>
        </w:rPr>
        <w:t xml:space="preserve">This will be based on an annual or monthly subscription model at various prices that will depend on the type and size of the home package. Pricing will be slightly increased to the standard IKEA purchases to capture the added service, flexibility and sustainability benefits, but will be price competitive to the higher level alternatives of premium rental and second hand moving unit purchase. This value pricing mechanism is in line with the consumer pricing willingness of paying higher prices on proven sustainable choices as well as aiding the recurrent income generation. One of them is the inability to convey the long-term cost benefits of subscription vs outright purchase to specific groups that are sensitive to price among the target audience.</w:t>
      </w:r>
    </w:p>
    <w:p w:rsidR="00000000" w:rsidDel="00000000" w:rsidP="00000000" w:rsidRDefault="00000000" w:rsidRPr="00000000" w14:paraId="00000052">
      <w:pPr>
        <w:pStyle w:val="Heading2"/>
        <w:rPr/>
      </w:pPr>
      <w:bookmarkStart w:colFirst="0" w:colLast="0" w:name="_eur8r9szrou9" w:id="9"/>
      <w:bookmarkEnd w:id="9"/>
      <w:r w:rsidDel="00000000" w:rsidR="00000000" w:rsidRPr="00000000">
        <w:rPr>
          <w:rtl w:val="0"/>
        </w:rPr>
        <w:t xml:space="preserve">Place </w:t>
      </w:r>
    </w:p>
    <w:p w:rsidR="00000000" w:rsidDel="00000000" w:rsidP="00000000" w:rsidRDefault="00000000" w:rsidRPr="00000000" w14:paraId="00000053">
      <w:pPr>
        <w:rPr/>
      </w:pPr>
      <w:r w:rsidDel="00000000" w:rsidR="00000000" w:rsidRPr="00000000">
        <w:rPr>
          <w:rtl w:val="0"/>
        </w:rPr>
        <w:t xml:space="preserve">The distribution approach will be omnichannel that involves the current retail stores of IKEA and a more developed digital experience as well as centres of specific Re:Cycle experiences in big cities. Digital channel will be used as the leading touchpoint to manage the subscription, track impacts, and customisation whereas the physical store will give chances to the customer to see the quality of the products and get his/her individual advice. Existing supply chains will be augmented with reverse logistics infrastructure to provide a cyclic method of collecting, refurbishing, and giving out used products. This intermediate model capitalizes on the size of IKEA but deals with complexity of the circulation flows.</w:t>
      </w:r>
    </w:p>
    <w:p w:rsidR="00000000" w:rsidDel="00000000" w:rsidP="00000000" w:rsidRDefault="00000000" w:rsidRPr="00000000" w14:paraId="00000054">
      <w:pPr>
        <w:pStyle w:val="Heading2"/>
        <w:rPr/>
      </w:pPr>
      <w:bookmarkStart w:colFirst="0" w:colLast="0" w:name="_xnskz0xb5dyu" w:id="10"/>
      <w:bookmarkEnd w:id="10"/>
      <w:r w:rsidDel="00000000" w:rsidR="00000000" w:rsidRPr="00000000">
        <w:rPr>
          <w:rtl w:val="0"/>
        </w:rPr>
        <w:t xml:space="preserve">Promotion </w:t>
      </w:r>
    </w:p>
    <w:p w:rsidR="00000000" w:rsidDel="00000000" w:rsidP="00000000" w:rsidRDefault="00000000" w:rsidRPr="00000000" w14:paraId="00000055">
      <w:pPr>
        <w:rPr/>
      </w:pPr>
      <w:r w:rsidDel="00000000" w:rsidR="00000000" w:rsidRPr="00000000">
        <w:rPr>
          <w:rtl w:val="0"/>
        </w:rPr>
        <w:t xml:space="preserve">Advertisements will be based on openness, learning and emotional interaction as opposed to conventional product attributes. Through storytelling, the real environmental impact data will be brought to the fore using the customer app with the help of campaigns that will be used to position IKEA Re:Cycle as a viable solution to climate-conscious living. Credibility will be created through influencer collaborations with sustainability-centered creators and partnerships with environmental organisations. To avoid perceived greenwashing risks, all their claims will be backed by verifiable data and alignment by third parties (Szabo and Webster, 2020). The most preferred will be digital channels, especially Instagram and Tik Tok so that the younger target audience can be effectively reached.</w:t>
      </w:r>
    </w:p>
    <w:p w:rsidR="00000000" w:rsidDel="00000000" w:rsidP="00000000" w:rsidRDefault="00000000" w:rsidRPr="00000000" w14:paraId="00000056">
      <w:pPr>
        <w:pStyle w:val="Heading2"/>
        <w:rPr/>
      </w:pPr>
      <w:bookmarkStart w:colFirst="0" w:colLast="0" w:name="_ejj74qo6z0z8" w:id="11"/>
      <w:bookmarkEnd w:id="11"/>
      <w:r w:rsidDel="00000000" w:rsidR="00000000" w:rsidRPr="00000000">
        <w:rPr>
          <w:rtl w:val="0"/>
        </w:rPr>
        <w:t xml:space="preserve">People </w:t>
      </w:r>
    </w:p>
    <w:p w:rsidR="00000000" w:rsidDel="00000000" w:rsidP="00000000" w:rsidRDefault="00000000" w:rsidRPr="00000000" w14:paraId="00000057">
      <w:pPr>
        <w:rPr/>
      </w:pPr>
      <w:r w:rsidDel="00000000" w:rsidR="00000000" w:rsidRPr="00000000">
        <w:rPr>
          <w:rtl w:val="0"/>
        </w:rPr>
        <w:t xml:space="preserve">Staffs will be very important in the attainment of the brand promise. They will also train their staff in terms of the principles of the circular economy, management of products lifetimes, and educating their customers about sustainable consumption. The in-store and online advisors will be considered circular living consultants as opposed to the traditional salespeople. This strategy in people enhances brand authenticity and differentiation by helping to create superior service experience. They need to invest in the development of employees because as per the circular model, the quality of services that customers trust depends on the quality of service.</w:t>
      </w:r>
    </w:p>
    <w:p w:rsidR="00000000" w:rsidDel="00000000" w:rsidP="00000000" w:rsidRDefault="00000000" w:rsidRPr="00000000" w14:paraId="00000058">
      <w:pPr>
        <w:pStyle w:val="Heading2"/>
        <w:rPr/>
      </w:pPr>
      <w:bookmarkStart w:colFirst="0" w:colLast="0" w:name="_mpmj7jorl90d" w:id="12"/>
      <w:bookmarkEnd w:id="12"/>
      <w:r w:rsidDel="00000000" w:rsidR="00000000" w:rsidRPr="00000000">
        <w:rPr>
          <w:rtl w:val="0"/>
        </w:rPr>
        <w:t xml:space="preserve">Process </w:t>
      </w:r>
    </w:p>
    <w:p w:rsidR="00000000" w:rsidDel="00000000" w:rsidP="00000000" w:rsidRDefault="00000000" w:rsidRPr="00000000" w14:paraId="00000059">
      <w:pPr>
        <w:rPr/>
      </w:pPr>
      <w:r w:rsidDel="00000000" w:rsidR="00000000" w:rsidRPr="00000000">
        <w:rPr>
          <w:rtl w:val="0"/>
        </w:rPr>
        <w:t xml:space="preserve">The way the operations are planned will be transformed to achieve circularity at all levels. The major processes are smooth onboarding of subscription, pre-scheduled maintenance and repair services, effective reverse logistics and clear refurbishment policies. Different clients will be able to monitor the status of different products and environmental savings developed in real-time with the help of digital tools. This process design should be efficient and at the same time provide more complexity and the high cost of handling product returns and refurbishment. Proper execution of these processes will be core in ensuring profitability and credibility of sustainability.</w:t>
      </w:r>
    </w:p>
    <w:p w:rsidR="00000000" w:rsidDel="00000000" w:rsidP="00000000" w:rsidRDefault="00000000" w:rsidRPr="00000000" w14:paraId="0000005A">
      <w:pPr>
        <w:pStyle w:val="Heading2"/>
        <w:rPr/>
      </w:pPr>
      <w:bookmarkStart w:colFirst="0" w:colLast="0" w:name="_tvalg86p7vki" w:id="13"/>
      <w:bookmarkEnd w:id="13"/>
      <w:r w:rsidDel="00000000" w:rsidR="00000000" w:rsidRPr="00000000">
        <w:rPr>
          <w:rtl w:val="0"/>
        </w:rPr>
        <w:t xml:space="preserve">Physical Evidence </w:t>
      </w:r>
    </w:p>
    <w:p w:rsidR="00000000" w:rsidDel="00000000" w:rsidP="00000000" w:rsidRDefault="00000000" w:rsidRPr="00000000" w14:paraId="0000005B">
      <w:pPr>
        <w:rPr/>
      </w:pPr>
      <w:r w:rsidDel="00000000" w:rsidR="00000000" w:rsidRPr="00000000">
        <w:rPr>
          <w:rtl w:val="0"/>
        </w:rPr>
        <w:t xml:space="preserve">Physical evidence involves the physical aspects that will assure the customers of quality and sustainability. This encompasses the state and display of refurbished products, expert delivery services, branded packaging produced out of recycled materials, and the easy-to-use digital application that showcases the environmental impact measurements. Physically, there will be special Re:Cycle areas in IKEA stores that will include circular design presentations and impact visualisation. These physical signs are especially significant in diminishing consumer doubts about circular propositions and solidifying the exclusive and reachable brand extension stance.</w:t>
      </w:r>
    </w:p>
    <w:p w:rsidR="00000000" w:rsidDel="00000000" w:rsidP="00000000" w:rsidRDefault="00000000" w:rsidRPr="00000000" w14:paraId="0000005C">
      <w:pPr>
        <w:pStyle w:val="Heading2"/>
        <w:rPr/>
      </w:pPr>
      <w:bookmarkStart w:colFirst="0" w:colLast="0" w:name="_vhm7o5n4535u" w:id="14"/>
      <w:bookmarkEnd w:id="14"/>
      <w:r w:rsidDel="00000000" w:rsidR="00000000" w:rsidRPr="00000000">
        <w:rPr>
          <w:rtl w:val="0"/>
        </w:rPr>
        <w:t xml:space="preserve">Critical Evaluation </w:t>
      </w:r>
    </w:p>
    <w:p w:rsidR="00000000" w:rsidDel="00000000" w:rsidP="00000000" w:rsidRDefault="00000000" w:rsidRPr="00000000" w14:paraId="0000005D">
      <w:pPr>
        <w:rPr/>
      </w:pPr>
      <w:r w:rsidDel="00000000" w:rsidR="00000000" w:rsidRPr="00000000">
        <w:rPr>
          <w:rtl w:val="0"/>
        </w:rPr>
        <w:t xml:space="preserve">The 7ps of the IKEA Re:Cycle are joined in a sound logical manner to enable the real-cycle business model as opposed to gradual green marketing. Integration of the service (People, Process, Physical Evidence) and the traditional marketing mix helps IKEA to fulfill its sustainability promises and generates new streams of income. Nevertheless, the model has its inherent challenges such as increased complexity in its operations, possible resistance to non-ownership models by the consumer and the risk of continuous suspicion of the corporate sustainability propositions. Constant implementation, open communication and improvement of cyclical processes will be the key to success. This marketing mix can significantly contribute to commercial development, as well as the important advance towards circular economy goals, when applied successfully (Meyer, Schaupensteiner and Riquel, 2024).</w:t>
      </w:r>
    </w:p>
    <w:p w:rsidR="00000000" w:rsidDel="00000000" w:rsidP="00000000" w:rsidRDefault="00000000" w:rsidRPr="00000000" w14:paraId="0000005E">
      <w:pPr>
        <w:pStyle w:val="Heading1"/>
        <w:rPr/>
      </w:pPr>
      <w:bookmarkStart w:colFirst="0" w:colLast="0" w:name="_8hfys7n17ict" w:id="15"/>
      <w:bookmarkEnd w:id="15"/>
      <w:r w:rsidDel="00000000" w:rsidR="00000000" w:rsidRPr="00000000">
        <w:rPr>
          <w:rtl w:val="0"/>
        </w:rPr>
        <w:t xml:space="preserve">Element 4: Reflection</w:t>
      </w:r>
    </w:p>
    <w:p w:rsidR="00000000" w:rsidDel="00000000" w:rsidP="00000000" w:rsidRDefault="00000000" w:rsidRPr="00000000" w14:paraId="0000005F">
      <w:pPr>
        <w:pStyle w:val="Heading2"/>
        <w:rPr/>
      </w:pPr>
      <w:bookmarkStart w:colFirst="0" w:colLast="0" w:name="_xjazsvsnxc08" w:id="16"/>
      <w:bookmarkEnd w:id="16"/>
      <w:r w:rsidDel="00000000" w:rsidR="00000000" w:rsidRPr="00000000">
        <w:rPr>
          <w:rtl w:val="0"/>
        </w:rPr>
        <w:t xml:space="preserve">Developing the Sustainable Brand Extension Strategy </w:t>
      </w:r>
    </w:p>
    <w:p w:rsidR="00000000" w:rsidDel="00000000" w:rsidP="00000000" w:rsidRDefault="00000000" w:rsidRPr="00000000" w14:paraId="00000060">
      <w:pPr>
        <w:rPr/>
      </w:pPr>
      <w:r w:rsidDel="00000000" w:rsidR="00000000" w:rsidRPr="00000000">
        <w:rPr>
          <w:rtl w:val="0"/>
        </w:rPr>
        <w:t xml:space="preserve">The activities of creating the marketing plan of IKEA Re:Cycle has become a significant learning process that has given me additional insights on brand building as a concept with sustainability. One of the biggest problems was to strike a balance between commercial interests and the necessity of true circularity. Apparently, the fact that the claims of sustainability were superficial would compromise consumer trust and the brand equity in the long term. This operation solidified the need to base strategic choices on solid theoretical bases at the same time be realistic about practical dynamics like reverse logistics and refurb quality.</w:t>
      </w:r>
    </w:p>
    <w:p w:rsidR="00000000" w:rsidDel="00000000" w:rsidP="00000000" w:rsidRDefault="00000000" w:rsidRPr="00000000" w14:paraId="00000061">
      <w:pPr>
        <w:pStyle w:val="Heading2"/>
        <w:rPr/>
      </w:pPr>
      <w:bookmarkStart w:colFirst="0" w:colLast="0" w:name="_sxq6ch5cu4e" w:id="17"/>
      <w:bookmarkEnd w:id="17"/>
      <w:r w:rsidDel="00000000" w:rsidR="00000000" w:rsidRPr="00000000">
        <w:rPr>
          <w:rtl w:val="0"/>
        </w:rPr>
        <w:t xml:space="preserve">Preparing and Delivering the Poster Presentation </w:t>
      </w:r>
    </w:p>
    <w:p w:rsidR="00000000" w:rsidDel="00000000" w:rsidP="00000000" w:rsidRDefault="00000000" w:rsidRPr="00000000" w14:paraId="00000062">
      <w:pPr>
        <w:rPr/>
      </w:pPr>
      <w:r w:rsidDel="00000000" w:rsidR="00000000" w:rsidRPr="00000000">
        <w:rPr>
          <w:rtl w:val="0"/>
        </w:rPr>
        <w:t xml:space="preserve">To prepare the poster presentation, it was necessary to implement complex strategic ideas into a presentable and concise format. This proved to be quite a challenge, because I needed to condense detailed analysis into important messages, which would strike chords with academic assessors, as well as to the potential investors. The experience enhanced my skills in making strategic communication under time demands. Though the presentation is not yet delivered, preparing the 35-minute presentation taught me the significance of telling a story and being very visual in delivery of the marketing strategies to various people.</w:t>
      </w:r>
    </w:p>
    <w:p w:rsidR="00000000" w:rsidDel="00000000" w:rsidP="00000000" w:rsidRDefault="00000000" w:rsidRPr="00000000" w14:paraId="00000063">
      <w:pPr>
        <w:pStyle w:val="Heading2"/>
        <w:rPr/>
      </w:pPr>
      <w:bookmarkStart w:colFirst="0" w:colLast="0" w:name="_fkv7chbcqxsh" w:id="18"/>
      <w:bookmarkEnd w:id="18"/>
      <w:r w:rsidDel="00000000" w:rsidR="00000000" w:rsidRPr="00000000">
        <w:rPr>
          <w:rtl w:val="0"/>
        </w:rPr>
        <w:t xml:space="preserve">Skills, Knowledge, and Insights Gained </w:t>
      </w:r>
    </w:p>
    <w:p w:rsidR="00000000" w:rsidDel="00000000" w:rsidP="00000000" w:rsidRDefault="00000000" w:rsidRPr="00000000" w14:paraId="00000064">
      <w:pPr>
        <w:rPr/>
      </w:pPr>
      <w:r w:rsidDel="00000000" w:rsidR="00000000" w:rsidRPr="00000000">
        <w:rPr>
          <w:rtl w:val="0"/>
        </w:rPr>
        <w:t xml:space="preserve">This task helped me a great deal in understanding how sustainable marketing and circular business models work. The application of the STDP model and using the extended marketing mix on a real brand extension helped me to transition between theory and practice. I had a better understanding of the ways segmentation and targeting should be aligned to new consumer values and especially on younger groups who are environmentally conscious. Also, the critical analysis of the marketing mix demonstrated how challenging it is to adopt the principles of a circular strategy at large-scale, in the context of consumer skepticism and integration of operations.</w:t>
      </w:r>
    </w:p>
    <w:p w:rsidR="00000000" w:rsidDel="00000000" w:rsidP="00000000" w:rsidRDefault="00000000" w:rsidRPr="00000000" w14:paraId="00000065">
      <w:pPr>
        <w:pStyle w:val="Heading2"/>
        <w:rPr/>
      </w:pPr>
      <w:bookmarkStart w:colFirst="0" w:colLast="0" w:name="_vnuck7aj4dnd" w:id="19"/>
      <w:bookmarkEnd w:id="19"/>
      <w:r w:rsidDel="00000000" w:rsidR="00000000" w:rsidRPr="00000000">
        <w:rPr>
          <w:rtl w:val="0"/>
        </w:rPr>
        <w:t xml:space="preserve">Contribution to Personal and Professional Development </w:t>
      </w:r>
    </w:p>
    <w:p w:rsidR="00000000" w:rsidDel="00000000" w:rsidP="00000000" w:rsidRDefault="00000000" w:rsidRPr="00000000" w14:paraId="00000066">
      <w:pPr>
        <w:rPr/>
      </w:pPr>
      <w:r w:rsidDel="00000000" w:rsidR="00000000" w:rsidRPr="00000000">
        <w:rPr>
          <w:rtl w:val="0"/>
        </w:rPr>
        <w:t xml:space="preserve">This project has played a significant role in advancing my career as future marketing professional. It enhanced my strategic thinking in regard to the development of a brand using sustainability as its driving force and not as an appendix. It was also a great experience that enhanced my ability to organise academic work, synthesise the information provided by different sources, and present the ideas logically. Directly applicable to jobs in brand management, sustainability strategy, and consultancy, these competencies are particularly appreciated as the capability to create responsible and, at the same time, commercially feasible options gains momentum.</w:t>
      </w:r>
    </w:p>
    <w:p w:rsidR="00000000" w:rsidDel="00000000" w:rsidP="00000000" w:rsidRDefault="00000000" w:rsidRPr="00000000" w14:paraId="00000067">
      <w:pPr>
        <w:pStyle w:val="Heading2"/>
        <w:rPr/>
      </w:pPr>
      <w:bookmarkStart w:colFirst="0" w:colLast="0" w:name="_u4fsarwgaqbe" w:id="20"/>
      <w:bookmarkEnd w:id="20"/>
      <w:r w:rsidDel="00000000" w:rsidR="00000000" w:rsidRPr="00000000">
        <w:rPr>
          <w:rtl w:val="0"/>
        </w:rPr>
        <w:t xml:space="preserve">Areas for Future Enhancement </w:t>
      </w:r>
    </w:p>
    <w:p w:rsidR="00000000" w:rsidDel="00000000" w:rsidP="00000000" w:rsidRDefault="00000000" w:rsidRPr="00000000" w14:paraId="00000068">
      <w:pPr>
        <w:rPr/>
      </w:pPr>
      <w:r w:rsidDel="00000000" w:rsidR="00000000" w:rsidRPr="00000000">
        <w:rPr>
          <w:rtl w:val="0"/>
        </w:rPr>
        <w:t xml:space="preserve">To improve further on my work in this and more related projects, I would want to use more primary research including; consumer surveys or interviews, to test my assumptions about the preferences of the target audiences. Moreover, more accurate assessment of market potential and Campaign effectiveness could be achieved through the development of more potent data analytics. I also would like to take a more active part in operational aspects in future work, including the implications of the supply chains by the use of the circuits on the strategies, to come up with both ambitious and realistic strategies to be put into place.</w:t>
      </w:r>
    </w:p>
    <w:p w:rsidR="00000000" w:rsidDel="00000000" w:rsidP="00000000" w:rsidRDefault="00000000" w:rsidRPr="00000000" w14:paraId="00000069">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A">
      <w:pPr>
        <w:rPr>
          <w:b w:val="1"/>
          <w:bCs w:val="1"/>
        </w:rPr>
      </w:pPr>
      <w:r w:rsidDel="00000000" w:rsidR="00000000" w:rsidRPr="00000000">
        <w:rPr>
          <w:b w:val="1"/>
          <w:bCs w:val="1"/>
          <w:rtl w:val="0"/>
        </w:rPr>
        <w:t xml:space="preserve">Reference list</w:t>
      </w:r>
    </w:p>
    <w:p w:rsidR="00000000" w:rsidDel="00000000" w:rsidP="00000000" w:rsidRDefault="00000000" w:rsidRPr="00000000" w14:paraId="0000006B">
      <w:pPr>
        <w:rPr/>
      </w:pPr>
      <w:r w:rsidDel="00000000" w:rsidR="00000000" w:rsidRPr="00000000">
        <w:rPr>
          <w:rtl w:val="0"/>
        </w:rPr>
        <w:t xml:space="preserve">Bocken, N. and Konietzko, J. (2022). Circular business model innovation in consumer-facing corporations. </w:t>
      </w:r>
      <w:r w:rsidDel="00000000" w:rsidR="00000000" w:rsidRPr="00000000">
        <w:rPr>
          <w:i w:val="1"/>
          <w:iCs w:val="1"/>
          <w:rtl w:val="0"/>
        </w:rPr>
        <w:t xml:space="preserve">Technological Forecasting and Social Change</w:t>
      </w:r>
      <w:r w:rsidDel="00000000" w:rsidR="00000000" w:rsidRPr="00000000">
        <w:rPr>
          <w:rtl w:val="0"/>
        </w:rPr>
        <w:t xml:space="preserve">, 185, p.122076.</w:t>
      </w:r>
    </w:p>
    <w:p w:rsidR="00000000" w:rsidDel="00000000" w:rsidP="00000000" w:rsidRDefault="00000000" w:rsidRPr="00000000" w14:paraId="0000006C">
      <w:pPr>
        <w:rPr/>
      </w:pPr>
      <w:r w:rsidDel="00000000" w:rsidR="00000000" w:rsidRPr="00000000">
        <w:rPr>
          <w:rtl w:val="0"/>
        </w:rPr>
        <w:t xml:space="preserve">Campos, M. and Gomes, S. (2026). Sustainable Consumption in Generation Z: The Role of Environmental Perception, Purchase Decision, and Gender Moderation. </w:t>
      </w:r>
      <w:r w:rsidDel="00000000" w:rsidR="00000000" w:rsidRPr="00000000">
        <w:rPr>
          <w:i w:val="1"/>
          <w:iCs w:val="1"/>
          <w:rtl w:val="0"/>
        </w:rPr>
        <w:t xml:space="preserve">Business Strategy and the Environment</w:t>
      </w:r>
      <w:r w:rsidDel="00000000" w:rsidR="00000000" w:rsidRPr="00000000">
        <w:rPr>
          <w:rtl w:val="0"/>
        </w:rPr>
        <w:t xml:space="preserve">. doi: </w:t>
      </w:r>
      <w:hyperlink r:id="rId8">
        <w:r w:rsidDel="00000000" w:rsidR="00000000" w:rsidRPr="00000000">
          <w:rPr>
            <w:color w:val="0563c1"/>
            <w:u w:val="single"/>
            <w:rtl w:val="0"/>
          </w:rPr>
          <w:t xml:space="preserve">https://doi.org/10.1002/bse.71076</w:t>
        </w:r>
      </w:hyperlink>
      <w:r w:rsidDel="00000000" w:rsidR="00000000" w:rsidRPr="00000000">
        <w:rPr>
          <w:rtl w:val="0"/>
        </w:rPr>
        <w:t xml:space="preserve">. </w:t>
      </w:r>
    </w:p>
    <w:p w:rsidR="00000000" w:rsidDel="00000000" w:rsidP="00000000" w:rsidRDefault="00000000" w:rsidRPr="00000000" w14:paraId="0000006D">
      <w:pPr>
        <w:rPr/>
      </w:pPr>
      <w:r w:rsidDel="00000000" w:rsidR="00000000" w:rsidRPr="00000000">
        <w:rPr>
          <w:rtl w:val="0"/>
        </w:rPr>
        <w:t xml:space="preserve">First Insight (2025). </w:t>
      </w:r>
      <w:r w:rsidDel="00000000" w:rsidR="00000000" w:rsidRPr="00000000">
        <w:rPr>
          <w:i w:val="1"/>
          <w:iCs w:val="1"/>
          <w:rtl w:val="0"/>
        </w:rPr>
        <w:t xml:space="preserve">The State of Consumer Spending: Gen Z Shoppers Demand Sustainable Retail</w:t>
      </w:r>
      <w:r w:rsidDel="00000000" w:rsidR="00000000" w:rsidRPr="00000000">
        <w:rPr>
          <w:rtl w:val="0"/>
        </w:rPr>
        <w:t xml:space="preserve">. [online] First Insight. Available at: </w:t>
      </w:r>
      <w:hyperlink r:id="rId9">
        <w:r w:rsidDel="00000000" w:rsidR="00000000" w:rsidRPr="00000000">
          <w:rPr>
            <w:color w:val="0563c1"/>
            <w:u w:val="single"/>
            <w:rtl w:val="0"/>
          </w:rPr>
          <w:t xml:space="preserve">https://www.firstinsight.com/white-papers-posts/gen-z-shoppers-demand-sustainability</w:t>
        </w:r>
      </w:hyperlink>
      <w:r w:rsidDel="00000000" w:rsidR="00000000" w:rsidRPr="00000000">
        <w:rPr>
          <w:rtl w:val="0"/>
        </w:rPr>
        <w:t xml:space="preserve">. </w:t>
      </w:r>
    </w:p>
    <w:p w:rsidR="00000000" w:rsidDel="00000000" w:rsidP="00000000" w:rsidRDefault="00000000" w:rsidRPr="00000000" w14:paraId="0000006E">
      <w:pPr>
        <w:rPr/>
      </w:pPr>
      <w:r w:rsidDel="00000000" w:rsidR="00000000" w:rsidRPr="00000000">
        <w:rPr>
          <w:rtl w:val="0"/>
        </w:rPr>
        <w:t xml:space="preserve">IKEA (2025a). </w:t>
      </w:r>
      <w:r w:rsidDel="00000000" w:rsidR="00000000" w:rsidRPr="00000000">
        <w:rPr>
          <w:i w:val="1"/>
          <w:iCs w:val="1"/>
          <w:rtl w:val="0"/>
        </w:rPr>
        <w:t xml:space="preserve">IKEA Sustainability Strategy 2025 2030</w:t>
      </w:r>
      <w:r w:rsidDel="00000000" w:rsidR="00000000" w:rsidRPr="00000000">
        <w:rPr>
          <w:rtl w:val="0"/>
        </w:rPr>
        <w:t xml:space="preserve">. [online] Available at: </w:t>
      </w:r>
      <w:hyperlink r:id="rId10">
        <w:r w:rsidDel="00000000" w:rsidR="00000000" w:rsidRPr="00000000">
          <w:rPr>
            <w:color w:val="0563c1"/>
            <w:u w:val="single"/>
            <w:rtl w:val="0"/>
          </w:rPr>
          <w:t xml:space="preserve">https://www.ikea.com/global/en/images/IKEA_Strategy_2025_2030_pdf_V2_New_d4052a55f9.pdf</w:t>
        </w:r>
      </w:hyperlink>
      <w:r w:rsidDel="00000000" w:rsidR="00000000" w:rsidRPr="00000000">
        <w:rPr>
          <w:rtl w:val="0"/>
        </w:rPr>
        <w:t xml:space="preserve">. </w:t>
      </w:r>
    </w:p>
    <w:p w:rsidR="00000000" w:rsidDel="00000000" w:rsidP="00000000" w:rsidRDefault="00000000" w:rsidRPr="00000000" w14:paraId="0000006F">
      <w:pPr>
        <w:rPr/>
      </w:pPr>
      <w:r w:rsidDel="00000000" w:rsidR="00000000" w:rsidRPr="00000000">
        <w:rPr>
          <w:rtl w:val="0"/>
        </w:rPr>
        <w:t xml:space="preserve">IKEA (2025b). </w:t>
      </w:r>
      <w:r w:rsidDel="00000000" w:rsidR="00000000" w:rsidRPr="00000000">
        <w:rPr>
          <w:i w:val="1"/>
          <w:iCs w:val="1"/>
          <w:rtl w:val="0"/>
        </w:rPr>
        <w:t xml:space="preserve">Our circular agenda – IKEA Global</w:t>
      </w:r>
      <w:r w:rsidDel="00000000" w:rsidR="00000000" w:rsidRPr="00000000">
        <w:rPr>
          <w:rtl w:val="0"/>
        </w:rPr>
        <w:t xml:space="preserve">. [online] Ikea.com. Available at: </w:t>
      </w:r>
      <w:hyperlink r:id="rId11">
        <w:r w:rsidDel="00000000" w:rsidR="00000000" w:rsidRPr="00000000">
          <w:rPr>
            <w:color w:val="0563c1"/>
            <w:u w:val="single"/>
            <w:rtl w:val="0"/>
          </w:rPr>
          <w:t xml:space="preserve">https://www.ikea.com/global/en/our-business/sustainability/our-circular-agenda/</w:t>
        </w:r>
      </w:hyperlink>
      <w:r w:rsidDel="00000000" w:rsidR="00000000" w:rsidRPr="00000000">
        <w:rPr>
          <w:rtl w:val="0"/>
        </w:rPr>
        <w:t xml:space="preserve">. </w:t>
      </w:r>
    </w:p>
    <w:p w:rsidR="00000000" w:rsidDel="00000000" w:rsidP="00000000" w:rsidRDefault="00000000" w:rsidRPr="00000000" w14:paraId="00000070">
      <w:pPr>
        <w:rPr/>
      </w:pPr>
      <w:r w:rsidDel="00000000" w:rsidR="00000000" w:rsidRPr="00000000">
        <w:rPr>
          <w:rtl w:val="0"/>
        </w:rPr>
        <w:t xml:space="preserve">Meyer, D., Schaupensteiner, N. and Riquel, J. (2024). Business Models and Ecosystems in the Circular Economy Using the Example of Battery Second Use Storage Systems. </w:t>
      </w:r>
      <w:r w:rsidDel="00000000" w:rsidR="00000000" w:rsidRPr="00000000">
        <w:rPr>
          <w:i w:val="1"/>
          <w:iCs w:val="1"/>
          <w:rtl w:val="0"/>
        </w:rPr>
        <w:t xml:space="preserve">Sustainability</w:t>
      </w:r>
      <w:r w:rsidDel="00000000" w:rsidR="00000000" w:rsidRPr="00000000">
        <w:rPr>
          <w:rtl w:val="0"/>
        </w:rPr>
        <w:t xml:space="preserve">, [online] 16(5), p.1906. doi: </w:t>
      </w:r>
      <w:hyperlink r:id="rId12">
        <w:r w:rsidDel="00000000" w:rsidR="00000000" w:rsidRPr="00000000">
          <w:rPr>
            <w:color w:val="0563c1"/>
            <w:u w:val="single"/>
            <w:rtl w:val="0"/>
          </w:rPr>
          <w:t xml:space="preserve">https://doi.org/10.3390/su16051906</w:t>
        </w:r>
      </w:hyperlink>
      <w:r w:rsidDel="00000000" w:rsidR="00000000" w:rsidRPr="00000000">
        <w:rPr>
          <w:rtl w:val="0"/>
        </w:rPr>
        <w:t xml:space="preserve">. </w:t>
      </w:r>
    </w:p>
    <w:p w:rsidR="00000000" w:rsidDel="00000000" w:rsidP="00000000" w:rsidRDefault="00000000" w:rsidRPr="00000000" w14:paraId="00000071">
      <w:pPr>
        <w:rPr/>
      </w:pPr>
      <w:r w:rsidDel="00000000" w:rsidR="00000000" w:rsidRPr="00000000">
        <w:rPr>
          <w:rtl w:val="0"/>
        </w:rPr>
        <w:t xml:space="preserve">Ogiemwonyi, O. (2025). A conceptual review of circular economy position from a marketing perspective. </w:t>
      </w:r>
      <w:r w:rsidDel="00000000" w:rsidR="00000000" w:rsidRPr="00000000">
        <w:rPr>
          <w:i w:val="1"/>
          <w:iCs w:val="1"/>
          <w:rtl w:val="0"/>
        </w:rPr>
        <w:t xml:space="preserve">Innovation and Green Development</w:t>
      </w:r>
      <w:r w:rsidDel="00000000" w:rsidR="00000000" w:rsidRPr="00000000">
        <w:rPr>
          <w:rtl w:val="0"/>
        </w:rPr>
        <w:t xml:space="preserve">, [online] 4(4), p.100258. doi: </w:t>
      </w:r>
      <w:hyperlink r:id="rId13">
        <w:r w:rsidDel="00000000" w:rsidR="00000000" w:rsidRPr="00000000">
          <w:rPr>
            <w:color w:val="0563c1"/>
            <w:u w:val="single"/>
            <w:rtl w:val="0"/>
          </w:rPr>
          <w:t xml:space="preserve">https://doi.org/10.1016/j.igd.2025.100258</w:t>
        </w:r>
      </w:hyperlink>
      <w:r w:rsidDel="00000000" w:rsidR="00000000" w:rsidRPr="00000000">
        <w:rPr>
          <w:rtl w:val="0"/>
        </w:rPr>
        <w:t xml:space="preserve">. </w:t>
      </w:r>
    </w:p>
    <w:p w:rsidR="00000000" w:rsidDel="00000000" w:rsidP="00000000" w:rsidRDefault="00000000" w:rsidRPr="00000000" w14:paraId="00000072">
      <w:pPr>
        <w:rPr/>
      </w:pPr>
      <w:r w:rsidDel="00000000" w:rsidR="00000000" w:rsidRPr="00000000">
        <w:rPr>
          <w:rtl w:val="0"/>
        </w:rPr>
        <w:t xml:space="preserve">Shevchenko, T., Saidani, M., Ranjbari, M., Kronenberg, J., Danko, Y. and Laitala, K. (2023). Consumer Behavior in the Circular economy: Developing a product-centric Framework. </w:t>
      </w:r>
      <w:r w:rsidDel="00000000" w:rsidR="00000000" w:rsidRPr="00000000">
        <w:rPr>
          <w:i w:val="1"/>
          <w:iCs w:val="1"/>
          <w:rtl w:val="0"/>
        </w:rPr>
        <w:t xml:space="preserve">Journal of Cleaner Production</w:t>
      </w:r>
      <w:r w:rsidDel="00000000" w:rsidR="00000000" w:rsidRPr="00000000">
        <w:rPr>
          <w:rtl w:val="0"/>
        </w:rPr>
        <w:t xml:space="preserve">, 384(384), p.135568. doi: </w:t>
      </w:r>
      <w:hyperlink r:id="rId14">
        <w:r w:rsidDel="00000000" w:rsidR="00000000" w:rsidRPr="00000000">
          <w:rPr>
            <w:color w:val="0563c1"/>
            <w:u w:val="single"/>
            <w:rtl w:val="0"/>
          </w:rPr>
          <w:t xml:space="preserve">https://doi.org/10.1016/j.jclepro.2022.135568</w:t>
        </w:r>
      </w:hyperlink>
      <w:r w:rsidDel="00000000" w:rsidR="00000000" w:rsidRPr="00000000">
        <w:rPr>
          <w:rtl w:val="0"/>
        </w:rPr>
        <w:t xml:space="preserve">. </w:t>
      </w:r>
    </w:p>
    <w:p w:rsidR="00000000" w:rsidDel="00000000" w:rsidP="00000000" w:rsidRDefault="00000000" w:rsidRPr="00000000" w14:paraId="00000073">
      <w:pPr>
        <w:rPr/>
      </w:pPr>
      <w:r w:rsidDel="00000000" w:rsidR="00000000" w:rsidRPr="00000000">
        <w:rPr>
          <w:rtl w:val="0"/>
        </w:rPr>
        <w:t xml:space="preserve">Szabo, S. and Webster, J. (2020). Perceived Greenwashing: the Effects of Green Marketing on Environmental and Product Perceptions. </w:t>
      </w:r>
      <w:r w:rsidDel="00000000" w:rsidR="00000000" w:rsidRPr="00000000">
        <w:rPr>
          <w:i w:val="1"/>
          <w:iCs w:val="1"/>
          <w:rtl w:val="0"/>
        </w:rPr>
        <w:t xml:space="preserve">Journal of Business Ethics</w:t>
      </w:r>
      <w:r w:rsidDel="00000000" w:rsidR="00000000" w:rsidRPr="00000000">
        <w:rPr>
          <w:rtl w:val="0"/>
        </w:rPr>
        <w:t xml:space="preserve">, [online] 171(4), pp.719–739. Available at: </w:t>
      </w:r>
      <w:hyperlink r:id="rId15">
        <w:r w:rsidDel="00000000" w:rsidR="00000000" w:rsidRPr="00000000">
          <w:rPr>
            <w:color w:val="0563c1"/>
            <w:u w:val="single"/>
            <w:rtl w:val="0"/>
          </w:rPr>
          <w:t xml:space="preserve">https://link.springer.com/article/10.1007/s10551-020-04461-0</w:t>
        </w:r>
      </w:hyperlink>
      <w:r w:rsidDel="00000000" w:rsidR="00000000" w:rsidRPr="00000000">
        <w:rPr>
          <w:rtl w:val="0"/>
        </w:rPr>
        <w:t xml:space="preserve">. </w:t>
      </w:r>
    </w:p>
    <w:p w:rsidR="00000000" w:rsidDel="00000000" w:rsidP="00000000" w:rsidRDefault="00000000" w:rsidRPr="00000000" w14:paraId="00000074">
      <w:pPr>
        <w:rPr/>
      </w:pPr>
      <w:r w:rsidDel="00000000" w:rsidR="00000000" w:rsidRPr="00000000">
        <w:rPr>
          <w:rtl w:val="0"/>
        </w:rPr>
        <w:t xml:space="preserve">Tukker, A. (2015). Product services for a resource-efficient and circular economy – a review. </w:t>
      </w:r>
      <w:r w:rsidDel="00000000" w:rsidR="00000000" w:rsidRPr="00000000">
        <w:rPr>
          <w:i w:val="1"/>
          <w:iCs w:val="1"/>
          <w:rtl w:val="0"/>
        </w:rPr>
        <w:t xml:space="preserve">Journal of Cleaner Production</w:t>
      </w:r>
      <w:r w:rsidDel="00000000" w:rsidR="00000000" w:rsidRPr="00000000">
        <w:rPr>
          <w:rtl w:val="0"/>
        </w:rPr>
        <w:t xml:space="preserve">, 97, pp.76–91. doi: </w:t>
      </w:r>
      <w:hyperlink r:id="rId16">
        <w:r w:rsidDel="00000000" w:rsidR="00000000" w:rsidRPr="00000000">
          <w:rPr>
            <w:color w:val="0563c1"/>
            <w:u w:val="single"/>
            <w:rtl w:val="0"/>
          </w:rPr>
          <w:t xml:space="preserve">https://doi.org/10.1016/j.jclepro.2013.11.049</w:t>
        </w:r>
      </w:hyperlink>
      <w:r w:rsidDel="00000000" w:rsidR="00000000" w:rsidRPr="00000000">
        <w:rPr>
          <w:rtl w:val="0"/>
        </w:rPr>
        <w:t xml:space="preserve">. </w:t>
      </w:r>
    </w:p>
    <w:sectPr>
      <w:footerReference r:id="rId17"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28"/>
      <w:szCs w:val="28"/>
    </w:rPr>
  </w:style>
  <w:style w:type="paragraph" w:styleId="Heading2">
    <w:name w:val="heading 2"/>
    <w:basedOn w:val="Normal"/>
    <w:next w:val="Normal"/>
    <w:pPr>
      <w:keepNext w:val="1"/>
      <w:keepLines w:val="1"/>
      <w:spacing w:after="80" w:before="160" w:lineRule="auto"/>
    </w:pPr>
    <w:rPr>
      <w:color w:val="2f5496"/>
      <w:u w:val="single"/>
    </w:rPr>
  </w:style>
  <w:style w:type="paragraph" w:styleId="Heading3">
    <w:name w:val="heading 3"/>
    <w:basedOn w:val="Normal"/>
    <w:next w:val="Normal"/>
    <w:pPr>
      <w:keepNext w:val="1"/>
      <w:keepLines w:val="1"/>
      <w:spacing w:after="80" w:before="160" w:lineRule="auto"/>
    </w:pPr>
    <w:rPr>
      <w:rFonts w:ascii="Calibri" w:cs="Calibri" w:eastAsia="Calibri" w:hAnsi="Calibri"/>
      <w:color w:val="2f5496"/>
      <w:sz w:val="28"/>
      <w:szCs w:val="28"/>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rFonts w:ascii="Calibri" w:cs="Calibri" w:eastAsia="Calibri" w:hAnsi="Calibri"/>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9e2f3" w:val="clear"/>
      </w:tcPr>
    </w:tblStylePr>
    <w:tblStylePr w:type="band1Vert">
      <w:tcPr>
        <w:shd w:fill="d9e2f3" w:val="clear"/>
      </w:tcPr>
    </w:tblStylePr>
    <w:tblStylePr w:type="firstCol">
      <w:rPr>
        <w:b w:val="1"/>
        <w:bCs w:val="1"/>
      </w:rPr>
    </w:tblStylePr>
    <w:tblStylePr w:type="firstRow">
      <w:rPr>
        <w:b w:val="1"/>
        <w:bCs w:val="1"/>
        <w:color w:val="ffffff"/>
      </w:rPr>
      <w:tcPr>
        <w:tcBorders>
          <w:top w:color="4472c4" w:space="0" w:sz="4" w:val="single"/>
          <w:left w:color="4472c4" w:space="0" w:sz="4" w:val="single"/>
          <w:bottom w:color="4472c4" w:space="0" w:sz="4" w:val="single"/>
          <w:right w:color="4472c4" w:space="0" w:sz="4" w:val="single"/>
          <w:insideH w:color="000000" w:space="0" w:sz="0" w:val="nil"/>
          <w:insideV w:color="000000" w:space="0" w:sz="0" w:val="nil"/>
        </w:tcBorders>
        <w:shd w:fill="4472c4" w:val="clear"/>
      </w:tcPr>
    </w:tblStylePr>
    <w:tblStylePr w:type="lastCol">
      <w:rPr>
        <w:b w:val="1"/>
        <w:bCs w:val="1"/>
      </w:rPr>
    </w:tblStylePr>
    <w:tblStylePr w:type="lastRow">
      <w:rPr>
        <w:b w:val="1"/>
        <w:bCs w:val="1"/>
      </w:rPr>
      <w:tcPr>
        <w:tcBorders>
          <w:top w:color="4472c4" w:space="0" w:sz="4" w:val="single"/>
        </w:tcBorders>
      </w:tcPr>
    </w:tblStylePr>
  </w:style>
</w:styles>
</file>

<file path=word/_rels/document.xml.rels><?xml version="1.0" encoding="UTF-8" standalone="yes"?><Relationships xmlns="http://schemas.openxmlformats.org/package/2006/relationships"><Relationship Id="rId11" Type="http://schemas.openxmlformats.org/officeDocument/2006/relationships/hyperlink" Target="https://www.ikea.com/global/en/our-business/sustainability/our-circular-agenda/" TargetMode="External"/><Relationship Id="rId10" Type="http://schemas.openxmlformats.org/officeDocument/2006/relationships/hyperlink" Target="https://www.ikea.com/global/en/images/IKEA_Strategy_2025_2030_pdf_V2_New_d4052a55f9.pdf" TargetMode="External"/><Relationship Id="rId13" Type="http://schemas.openxmlformats.org/officeDocument/2006/relationships/hyperlink" Target="https://doi.org/10.1016/j.igd.2025.100258" TargetMode="External"/><Relationship Id="rId12" Type="http://schemas.openxmlformats.org/officeDocument/2006/relationships/hyperlink" Target="https://doi.org/10.3390/su1605190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irstinsight.com/white-papers-posts/gen-z-shoppers-demand-sustainability" TargetMode="External"/><Relationship Id="rId15" Type="http://schemas.openxmlformats.org/officeDocument/2006/relationships/hyperlink" Target="https://link.springer.com/article/10.1007/s10551-020-04461-0" TargetMode="External"/><Relationship Id="rId14" Type="http://schemas.openxmlformats.org/officeDocument/2006/relationships/hyperlink" Target="https://doi.org/10.1016/j.jclepro.2022.135568" TargetMode="External"/><Relationship Id="rId17" Type="http://schemas.openxmlformats.org/officeDocument/2006/relationships/footer" Target="footer1.xml"/><Relationship Id="rId16" Type="http://schemas.openxmlformats.org/officeDocument/2006/relationships/hyperlink" Target="https://doi.org/10.1016/j.jclepro.2013.11.049"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doi.org/10.1002/bse.710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