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rFonts w:ascii="Cambria Bold" w:hAnsi="Cambria Bold"/>
          <w:sz w:val="44"/>
          <w:szCs w:val="44"/>
        </w:rPr>
      </w:pPr>
      <w:r>
        <w:rPr>
          <w:rFonts w:ascii="Cambria" w:hAnsi="Cambria"/>
        </w:rPr>
        <w:drawing xmlns:a="http://schemas.openxmlformats.org/drawingml/2006/main">
          <wp:anchor distT="57150" distB="57150" distL="57150" distR="57150" simplePos="0" relativeHeight="251659264" behindDoc="0" locked="0" layoutInCell="1" allowOverlap="1">
            <wp:simplePos x="0" y="0"/>
            <wp:positionH relativeFrom="column">
              <wp:posOffset>-819150</wp:posOffset>
            </wp:positionH>
            <wp:positionV relativeFrom="line">
              <wp:posOffset>-819150</wp:posOffset>
            </wp:positionV>
            <wp:extent cx="1809750" cy="723900"/>
            <wp:effectExtent l="0" t="0" r="0" b="0"/>
            <wp:wrapSquare wrapText="bothSides" distL="57150" distR="57150" distT="57150" distB="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4">
                      <a:extLst/>
                    </a:blip>
                    <a:stretch>
                      <a:fillRect/>
                    </a:stretch>
                  </pic:blipFill>
                  <pic:spPr>
                    <a:xfrm>
                      <a:off x="0" y="0"/>
                      <a:ext cx="1809750" cy="723900"/>
                    </a:xfrm>
                    <a:prstGeom prst="rect">
                      <a:avLst/>
                    </a:prstGeom>
                    <a:ln w="12700" cap="flat">
                      <a:noFill/>
                      <a:miter lim="400000"/>
                    </a:ln>
                    <a:effectLst/>
                  </pic:spPr>
                </pic:pic>
              </a:graphicData>
            </a:graphic>
          </wp:anchor>
        </w:drawing>
      </w:r>
    </w:p>
    <w:p>
      <w:pPr>
        <w:pStyle w:val="Body"/>
        <w:spacing w:line="360" w:lineRule="auto"/>
        <w:jc w:val="center"/>
        <w:rPr>
          <w:rFonts w:ascii="Cambria Bold" w:hAnsi="Cambria Bold"/>
          <w:sz w:val="44"/>
          <w:szCs w:val="44"/>
        </w:rPr>
      </w:pPr>
    </w:p>
    <w:p>
      <w:pPr>
        <w:pStyle w:val="Body"/>
        <w:spacing w:line="360" w:lineRule="auto"/>
        <w:jc w:val="center"/>
        <w:rPr>
          <w:rFonts w:ascii="Cambria Bold" w:cs="Cambria Bold" w:hAnsi="Cambria Bold" w:eastAsia="Cambria Bold"/>
          <w:sz w:val="44"/>
          <w:szCs w:val="44"/>
        </w:rPr>
      </w:pPr>
      <w:r>
        <w:rPr>
          <w:rFonts w:ascii="Cambria Bold" w:hAnsi="Cambria Bold"/>
          <w:sz w:val="44"/>
          <w:szCs w:val="44"/>
          <w:rtl w:val="0"/>
          <w:lang w:val="en-US"/>
        </w:rPr>
        <w:t>An Examination and Analysis of How the Early Help System Is Signposted to UK Families by Their Local Authority Website</w:t>
      </w:r>
    </w:p>
    <w:p>
      <w:pPr>
        <w:pStyle w:val="Body"/>
        <w:spacing w:before="100" w:after="100" w:line="360" w:lineRule="auto"/>
        <w:jc w:val="center"/>
        <w:rPr>
          <w:rFonts w:ascii="Cambria" w:cs="Cambria" w:hAnsi="Cambria" w:eastAsia="Cambria"/>
          <w:sz w:val="24"/>
          <w:szCs w:val="24"/>
        </w:rPr>
      </w:pPr>
      <w:r>
        <w:rPr>
          <w:rFonts w:ascii="Cambria Bold" w:hAnsi="Cambria Bold"/>
          <w:sz w:val="24"/>
          <w:szCs w:val="24"/>
          <w:rtl w:val="0"/>
        </w:rPr>
        <w:t>Module Name:</w:t>
      </w:r>
      <w:r>
        <w:rPr>
          <w:rFonts w:ascii="Cambria" w:hAnsi="Cambria"/>
          <w:sz w:val="24"/>
          <w:szCs w:val="24"/>
          <w:rtl w:val="0"/>
          <w:lang w:val="en-US"/>
        </w:rPr>
        <w:t xml:space="preserve"> Protecting and Supporting Families in Health and Care</w:t>
      </w:r>
      <w:r>
        <w:rPr>
          <w:rFonts w:ascii="Cambria" w:cs="Cambria" w:hAnsi="Cambria" w:eastAsia="Cambria"/>
          <w:sz w:val="24"/>
          <w:szCs w:val="24"/>
        </w:rPr>
        <w:br w:type="textWrapping"/>
      </w:r>
      <w:r>
        <w:rPr>
          <w:rFonts w:ascii="Cambria Bold" w:hAnsi="Cambria Bold"/>
          <w:sz w:val="24"/>
          <w:szCs w:val="24"/>
          <w:rtl w:val="0"/>
        </w:rPr>
        <w:t>Module Code:</w:t>
      </w:r>
      <w:r>
        <w:rPr>
          <w:rFonts w:ascii="Cambria" w:hAnsi="Cambria"/>
          <w:sz w:val="24"/>
          <w:szCs w:val="24"/>
          <w:rtl w:val="0"/>
        </w:rPr>
        <w:t xml:space="preserve"> BMHP5021</w:t>
      </w:r>
      <w:r>
        <w:rPr>
          <w:rFonts w:ascii="Cambria" w:cs="Cambria" w:hAnsi="Cambria" w:eastAsia="Cambria"/>
          <w:sz w:val="24"/>
          <w:szCs w:val="24"/>
        </w:rPr>
        <w:br w:type="textWrapping"/>
      </w:r>
      <w:r>
        <w:rPr>
          <w:rFonts w:ascii="Cambria Bold" w:hAnsi="Cambria Bold"/>
          <w:sz w:val="24"/>
          <w:szCs w:val="24"/>
          <w:rtl w:val="0"/>
        </w:rPr>
        <w:t>Student Name:</w:t>
      </w:r>
      <w:r>
        <w:rPr>
          <w:rFonts w:ascii="Cambria" w:hAnsi="Cambria"/>
          <w:sz w:val="24"/>
          <w:szCs w:val="24"/>
          <w:rtl w:val="0"/>
          <w:lang w:val="en-US"/>
        </w:rPr>
        <w:t xml:space="preserve"> Sami Pattvean </w:t>
      </w:r>
      <w:r>
        <w:rPr>
          <w:rFonts w:ascii="Cambria" w:cs="Cambria" w:hAnsi="Cambria" w:eastAsia="Cambria"/>
          <w:sz w:val="24"/>
          <w:szCs w:val="24"/>
        </w:rPr>
        <w:br w:type="textWrapping"/>
      </w:r>
      <w:r>
        <w:rPr>
          <w:rFonts w:ascii="Cambria Bold" w:hAnsi="Cambria Bold"/>
          <w:sz w:val="24"/>
          <w:szCs w:val="24"/>
          <w:rtl w:val="0"/>
          <w:lang w:val="en-US"/>
        </w:rPr>
        <w:t>Student ID:</w:t>
      </w:r>
      <w:r>
        <w:rPr>
          <w:rFonts w:ascii="Cambria" w:hAnsi="Cambria"/>
          <w:sz w:val="24"/>
          <w:szCs w:val="24"/>
          <w:rtl w:val="0"/>
        </w:rPr>
        <w:t xml:space="preserve"> 2414789</w:t>
      </w:r>
    </w:p>
    <w:p>
      <w:pPr>
        <w:pStyle w:val="Body"/>
        <w:spacing w:before="100" w:after="100" w:line="360" w:lineRule="auto"/>
        <w:jc w:val="center"/>
        <w:rPr>
          <w:rFonts w:ascii="Cambria" w:cs="Cambria" w:hAnsi="Cambria" w:eastAsia="Cambria"/>
          <w:sz w:val="24"/>
          <w:szCs w:val="24"/>
        </w:rPr>
      </w:pPr>
      <w:r>
        <w:rPr>
          <w:rFonts w:ascii="Cambria Bold" w:hAnsi="Cambria Bold"/>
          <w:sz w:val="24"/>
          <w:szCs w:val="24"/>
          <w:rtl w:val="0"/>
          <w:lang w:val="fr-FR"/>
        </w:rPr>
        <w:t>Lecturer:</w:t>
      </w:r>
      <w:r>
        <w:rPr>
          <w:rFonts w:ascii="Cambria" w:hAnsi="Cambria"/>
          <w:sz w:val="24"/>
          <w:szCs w:val="24"/>
          <w:rtl w:val="0"/>
          <w:lang w:val="es-ES_tradnl"/>
        </w:rPr>
        <w:t xml:space="preserve"> G1 Amanda Jones</w:t>
      </w:r>
      <w:r>
        <w:rPr>
          <w:rFonts w:ascii="Cambria" w:cs="Cambria" w:hAnsi="Cambria" w:eastAsia="Cambria"/>
          <w:sz w:val="24"/>
          <w:szCs w:val="24"/>
        </w:rPr>
        <w:br w:type="textWrapping"/>
      </w:r>
      <w:r>
        <w:rPr>
          <w:rFonts w:ascii="Cambria Bold" w:hAnsi="Cambria Bold"/>
          <w:sz w:val="24"/>
          <w:szCs w:val="24"/>
          <w:rtl w:val="0"/>
          <w:lang w:val="en-US"/>
        </w:rPr>
        <w:t>Module Leader:</w:t>
      </w:r>
      <w:r>
        <w:rPr>
          <w:rFonts w:ascii="Cambria" w:hAnsi="Cambria"/>
          <w:sz w:val="24"/>
          <w:szCs w:val="24"/>
          <w:rtl w:val="0"/>
        </w:rPr>
        <w:t xml:space="preserve"> G2 Shaila Hussain</w:t>
      </w:r>
    </w:p>
    <w:p>
      <w:pPr>
        <w:pStyle w:val="Body"/>
        <w:spacing w:line="360" w:lineRule="auto"/>
      </w:pPr>
      <w:r>
        <w:rPr>
          <w:rFonts w:ascii="Arial Unicode MS" w:cs="Arial Unicode MS" w:hAnsi="Arial Unicode MS" w:eastAsia="Arial Unicode MS"/>
          <w:b w:val="0"/>
          <w:bCs w:val="0"/>
          <w:i w:val="0"/>
          <w:iCs w:val="0"/>
        </w:rPr>
        <w:br w:type="page"/>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fr-FR"/>
        </w:rPr>
        <w:t>Introduction</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 xml:space="preserve">Early Help is assistance provided to children, young people, and families as problems arise. The goal is to lessen harm, improve family life, and prevent the escalation of problems. The </w:t>
      </w:r>
      <w:r>
        <w:rPr>
          <w:rFonts w:ascii="Cambria Italic" w:hAnsi="Cambria Italic"/>
          <w:sz w:val="24"/>
          <w:szCs w:val="24"/>
          <w:rtl w:val="0"/>
          <w:lang w:val="en-US"/>
        </w:rPr>
        <w:t>Supporting Families: Early Help System</w:t>
      </w:r>
      <w:r>
        <w:rPr>
          <w:rFonts w:ascii="Cambria" w:hAnsi="Cambria"/>
          <w:sz w:val="24"/>
          <w:szCs w:val="24"/>
          <w:rtl w:val="0"/>
          <w:lang w:val="en-US"/>
        </w:rPr>
        <w:t xml:space="preserve"> guide states that Early Help is expected to be a local system in which support is clear, joined up, and accessible to families (Department for Education and Department for Levelling Up, Housing and Communities, 2022). The </w:t>
      </w:r>
      <w:r>
        <w:rPr>
          <w:rFonts w:ascii="Cambria Italic" w:hAnsi="Cambria Italic"/>
          <w:sz w:val="24"/>
          <w:szCs w:val="24"/>
          <w:rtl w:val="0"/>
          <w:lang w:val="en-US"/>
        </w:rPr>
        <w:t>Working together to safeguard children</w:t>
      </w:r>
      <w:r>
        <w:rPr>
          <w:rFonts w:ascii="Cambria" w:hAnsi="Cambria"/>
          <w:sz w:val="24"/>
          <w:szCs w:val="24"/>
          <w:rtl w:val="0"/>
          <w:lang w:val="en-US"/>
        </w:rPr>
        <w:t xml:space="preserve"> guidance also demonstrates that early support is included in good safeguarding since agencies are recommended to collaborate before issues escalate (Department for Education, 2023).</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This report looks at the signposting of Early Help and other family support services on three local authority websites. The three selected councils are Leeds City Council, Norfolk County Council, and Southwark Council. These councils were chosen since they all present public information about Early Help, but in various forms. This report discusses the Early Help system, describes the importance of multi agency working, reviews the three websites, discusses their strengths and weaknesses, and determines which one seems to be the most effective for families (Norfolk County Council, 2026a).</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A clear website matters because many families search for help at a stressful time. They may already be worried about school, behaviour, health, or family pressure. If the information is confusing, hidden, or too professional in tone, families may delay asking for support. This can make early problems harder to manage and reduce the value of Early Help as a preventive service.</w:t>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en-US"/>
        </w:rPr>
        <w:t>Early Help System</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 xml:space="preserve">According to the </w:t>
      </w:r>
      <w:r>
        <w:rPr>
          <w:rFonts w:ascii="Cambria Italic" w:hAnsi="Cambria Italic"/>
          <w:sz w:val="24"/>
          <w:szCs w:val="24"/>
          <w:rtl w:val="0"/>
          <w:lang w:val="en-US"/>
        </w:rPr>
        <w:t>Early Help System Guide</w:t>
      </w:r>
      <w:r>
        <w:rPr>
          <w:rFonts w:ascii="Cambria" w:hAnsi="Cambria"/>
          <w:sz w:val="24"/>
          <w:szCs w:val="24"/>
          <w:rtl w:val="0"/>
          <w:lang w:val="en-US"/>
        </w:rPr>
        <w:t>, Early Help is a local strategy where need is identified early, there is a rapid response, and services are brought together around children and families. It is not a single service. It is an approach to ensuring families have access to the appropriate support when required (Department for Education and Department for Levelling Up, Housing and Communities, 2022). This implies that local areas ought to make support simple to comprehend and simple to access. When a site fails to clarify the support, then families may be left without information on where to find help and how they can be assisted.</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The concept of Early Help is prevention. Families might require assistance with parenting, school attendance, behaviour, emotional health, financial concerns, or family-wide stress. This is evident on the Norfolk Early Help page, which states that support can cover concerns like finances or mental health that impact children (Norfolk County Council, 2026a). This is indicative of a whole family approach, which is also reflected in the national Supporting Families work (Department for Education, 2025).</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There is also Government advice on Family Hubs which encourages joined up access to support. It states that services must be integrated together in order to enable families to find help more easily whenever they need it (Department of Health and Social Care and Department for Education, 2023). This is why a local authority site ought to not just define Early Help. It must also be a transparent front door by describing what support is available, who it is for, and how families can take the next step.</w:t>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en-US"/>
        </w:rPr>
        <w:t>Multi Agency and Inter Disciplinary Working</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 xml:space="preserve">Multi agency working refers to the collaboration of various services for the same child or family. This can include schools, health services, social care, family support workers, and voluntary services. According to the </w:t>
      </w:r>
      <w:r>
        <w:rPr>
          <w:rFonts w:ascii="Cambria Italic" w:hAnsi="Cambria Italic"/>
          <w:sz w:val="24"/>
          <w:szCs w:val="24"/>
          <w:rtl w:val="0"/>
          <w:lang w:val="en-US"/>
        </w:rPr>
        <w:t>Working together to safeguard children</w:t>
      </w:r>
      <w:r>
        <w:rPr>
          <w:rFonts w:ascii="Cambria" w:hAnsi="Cambria"/>
          <w:sz w:val="24"/>
          <w:szCs w:val="24"/>
          <w:rtl w:val="0"/>
          <w:lang w:val="en-US"/>
        </w:rPr>
        <w:t xml:space="preserve"> guidance, safeguarding is a collective responsibility, and it requires agencies to work together effectively (Department for Education, 2023). Inter disciplinary working is significant since family need is usually associated with multiple issues simultaneously.</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Sharing of information is significant as well. The 2024 advice on safeguarding states that the sharing of information is appropriate as it assists agencies in identifying needs and delivering the necessary support (Department for Education, 2024). This is also important in communication through websites. A powerful site must demonstrate that there is a connection between support, that families are not required to go it alone, and that services can collaborate around them.</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Multi agency working is also important because families do not experience problems in separate boxes. A child may have attendance concerns linked with emotional wellbeing, housing pressure, or financial stress at home. When services communicate well and work together, support can be more realistic, quicker, and better matched to the full situation of the family.</w:t>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en-US"/>
        </w:rPr>
        <w:t>Evaluation of the Three Local Authority Websites</w:t>
      </w:r>
    </w:p>
    <w:p>
      <w:pPr>
        <w:pStyle w:val="Body"/>
        <w:spacing w:line="360" w:lineRule="auto"/>
        <w:rPr>
          <w:rFonts w:ascii="Cambria Bold" w:cs="Cambria Bold" w:hAnsi="Cambria Bold" w:eastAsia="Cambria Bold"/>
          <w:sz w:val="24"/>
          <w:szCs w:val="24"/>
        </w:rPr>
      </w:pPr>
      <w:r>
        <w:rPr>
          <w:rFonts w:ascii="Cambria Bold" w:hAnsi="Cambria Bold"/>
          <w:sz w:val="24"/>
          <w:szCs w:val="24"/>
          <w:rtl w:val="0"/>
          <w:lang w:val="en-US"/>
        </w:rPr>
        <w:t>Comparison of the three websites</w:t>
      </w: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256"/>
        <w:gridCol w:w="1893"/>
        <w:gridCol w:w="1537"/>
        <w:gridCol w:w="1512"/>
        <w:gridCol w:w="1373"/>
        <w:gridCol w:w="1779"/>
      </w:tblGrid>
      <w:tr>
        <w:tblPrEx>
          <w:shd w:val="clear" w:color="auto" w:fill="ced7e7"/>
        </w:tblPrEx>
        <w:trPr>
          <w:trHeight w:val="113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center"/>
            </w:pPr>
            <w:r>
              <w:rPr>
                <w:rFonts w:ascii="Cambria Bold" w:hAnsi="Cambria Bold"/>
                <w:sz w:val="24"/>
                <w:szCs w:val="24"/>
                <w:shd w:val="nil" w:color="auto" w:fill="auto"/>
                <w:rtl w:val="0"/>
                <w:lang w:val="en-US"/>
              </w:rPr>
              <w:t>Council</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rFonts w:ascii="Cambria Bold" w:hAnsi="Cambria Bold"/>
                <w:sz w:val="24"/>
                <w:szCs w:val="24"/>
                <w:shd w:val="nil" w:color="auto" w:fill="auto"/>
                <w:rtl w:val="0"/>
                <w:lang w:val="en-US"/>
              </w:rPr>
              <w:t>Clear explanation of Early Help</w:t>
            </w:r>
          </w:p>
        </w:tc>
        <w:tc>
          <w:tcPr>
            <w:tcW w:type="dxa" w:w="15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rFonts w:ascii="Cambria Bold" w:hAnsi="Cambria Bold"/>
                <w:sz w:val="24"/>
                <w:szCs w:val="24"/>
                <w:shd w:val="nil" w:color="auto" w:fill="auto"/>
                <w:rtl w:val="0"/>
                <w:lang w:val="en-US"/>
              </w:rPr>
              <w:t>Easy for families to follow</w:t>
            </w:r>
          </w:p>
        </w:tc>
        <w:tc>
          <w:tcPr>
            <w:tcW w:type="dxa" w:w="15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rFonts w:ascii="Cambria Bold" w:hAnsi="Cambria Bold"/>
                <w:sz w:val="24"/>
                <w:szCs w:val="24"/>
                <w:shd w:val="nil" w:color="auto" w:fill="auto"/>
                <w:rtl w:val="0"/>
                <w:lang w:val="en-US"/>
              </w:rPr>
              <w:t>Contact or referral detail</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rFonts w:ascii="Cambria Bold" w:hAnsi="Cambria Bold"/>
                <w:sz w:val="24"/>
                <w:szCs w:val="24"/>
                <w:shd w:val="nil" w:color="auto" w:fill="auto"/>
                <w:rtl w:val="0"/>
                <w:lang w:val="en-US"/>
              </w:rPr>
              <w:t>Links to wider support</w:t>
            </w:r>
          </w:p>
        </w:tc>
        <w:tc>
          <w:tcPr>
            <w:tcW w:type="dxa" w:w="17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rFonts w:ascii="Cambria Bold" w:hAnsi="Cambria Bold"/>
                <w:sz w:val="24"/>
                <w:szCs w:val="24"/>
                <w:shd w:val="nil" w:color="auto" w:fill="auto"/>
                <w:rtl w:val="0"/>
                <w:lang w:val="en-US"/>
              </w:rPr>
              <w:t>Overall judgement</w:t>
            </w:r>
          </w:p>
        </w:tc>
      </w:tr>
      <w:tr>
        <w:tblPrEx>
          <w:shd w:val="clear" w:color="auto" w:fill="ced7e7"/>
        </w:tblPrEx>
        <w:trPr>
          <w:trHeight w:val="71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Leeds</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Clear</w:t>
            </w:r>
          </w:p>
        </w:tc>
        <w:tc>
          <w:tcPr>
            <w:tcW w:type="dxa" w:w="15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Moderate</w:t>
            </w:r>
          </w:p>
        </w:tc>
        <w:tc>
          <w:tcPr>
            <w:tcW w:type="dxa" w:w="15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Present but spread out</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Strong</w:t>
            </w:r>
          </w:p>
        </w:tc>
        <w:tc>
          <w:tcPr>
            <w:tcW w:type="dxa" w:w="17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Good but less direct</w:t>
            </w:r>
          </w:p>
        </w:tc>
      </w:tr>
      <w:tr>
        <w:tblPrEx>
          <w:shd w:val="clear" w:color="auto" w:fill="ced7e7"/>
        </w:tblPrEx>
        <w:trPr>
          <w:trHeight w:val="113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Norfolk</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Very clear</w:t>
            </w:r>
          </w:p>
        </w:tc>
        <w:tc>
          <w:tcPr>
            <w:tcW w:type="dxa" w:w="15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Strong</w:t>
            </w:r>
          </w:p>
        </w:tc>
        <w:tc>
          <w:tcPr>
            <w:tcW w:type="dxa" w:w="15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Clear family focused wording</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Strong</w:t>
            </w:r>
          </w:p>
        </w:tc>
        <w:tc>
          <w:tcPr>
            <w:tcW w:type="dxa" w:w="17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Most balanced</w:t>
            </w:r>
          </w:p>
        </w:tc>
      </w:tr>
      <w:tr>
        <w:tblPrEx>
          <w:shd w:val="clear" w:color="auto" w:fill="ced7e7"/>
        </w:tblPrEx>
        <w:trPr>
          <w:trHeight w:val="113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Southwark</w:t>
            </w:r>
          </w:p>
        </w:tc>
        <w:tc>
          <w:tcPr>
            <w:tcW w:type="dxa" w:w="18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Clear</w:t>
            </w:r>
          </w:p>
        </w:tc>
        <w:tc>
          <w:tcPr>
            <w:tcW w:type="dxa" w:w="15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Strong</w:t>
            </w:r>
          </w:p>
        </w:tc>
        <w:tc>
          <w:tcPr>
            <w:tcW w:type="dxa" w:w="151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Strong and practical</w:t>
            </w:r>
          </w:p>
        </w:tc>
        <w:tc>
          <w:tcPr>
            <w:tcW w:type="dxa" w:w="13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Strong</w:t>
            </w:r>
          </w:p>
        </w:tc>
        <w:tc>
          <w:tcPr>
            <w:tcW w:type="dxa" w:w="17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Very useful but more service led</w:t>
            </w:r>
          </w:p>
        </w:tc>
      </w:tr>
    </w:tbl>
    <w:p>
      <w:pPr>
        <w:pStyle w:val="Body"/>
        <w:widowControl w:val="0"/>
        <w:spacing w:line="240" w:lineRule="auto"/>
        <w:rPr>
          <w:rFonts w:ascii="Cambria Bold" w:cs="Cambria Bold" w:hAnsi="Cambria Bold" w:eastAsia="Cambria Bold"/>
          <w:sz w:val="24"/>
          <w:szCs w:val="24"/>
        </w:rPr>
      </w:pPr>
    </w:p>
    <w:p>
      <w:pPr>
        <w:pStyle w:val="Body"/>
        <w:spacing w:before="100" w:after="100" w:line="360" w:lineRule="auto"/>
        <w:outlineLvl w:val="2"/>
        <w:rPr>
          <w:rFonts w:ascii="Cambria Bold" w:cs="Cambria Bold" w:hAnsi="Cambria Bold" w:eastAsia="Cambria Bold"/>
          <w:sz w:val="27"/>
          <w:szCs w:val="27"/>
        </w:rPr>
      </w:pPr>
      <w:r>
        <w:rPr>
          <w:rFonts w:ascii="Cambria Bold" w:hAnsi="Cambria Bold"/>
          <w:sz w:val="27"/>
          <w:szCs w:val="27"/>
          <w:rtl w:val="0"/>
          <w:lang w:val="en-US"/>
        </w:rPr>
        <w:t>Leeds City Council</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Leeds describes Early Help in a good way. Its webpage indicates that Early Help is about providing children, young people, and families with the right support at the right time to enable them to prosper (Leeds City Council, 2026a). This is an advantage since the intention is evident. Leeds also joins Early Help with Family Hubs and the Early Help front door team, which depicts a joined up service structure. The Family Hubs page indicates that the hubs are a place of entry to early assistance for families with dependent children and some young people with SEND up to the age of 25 (Leeds City Council, 2026b).</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The primary flaw is that the family journey is made a bit more complex. A user might have to switch between the Early Help page and the Family Hubs page to see the whole offer. The data is handy, yet it is located on various pages. This can slow access to help for families who prefer to find answers in a single place. Therefore, Leeds has good content, but lower scores in direct signposting (Leeds City Council, 2026a).</w:t>
      </w:r>
    </w:p>
    <w:p>
      <w:pPr>
        <w:pStyle w:val="Body"/>
        <w:spacing w:before="100" w:after="100" w:line="360" w:lineRule="auto"/>
        <w:outlineLvl w:val="2"/>
        <w:rPr>
          <w:rFonts w:ascii="Cambria Bold" w:cs="Cambria Bold" w:hAnsi="Cambria Bold" w:eastAsia="Cambria Bold"/>
          <w:sz w:val="27"/>
          <w:szCs w:val="27"/>
        </w:rPr>
      </w:pPr>
      <w:r>
        <w:rPr>
          <w:rFonts w:ascii="Cambria Bold" w:hAnsi="Cambria Bold"/>
          <w:sz w:val="27"/>
          <w:szCs w:val="27"/>
          <w:rtl w:val="0"/>
          <w:lang w:val="en-US"/>
        </w:rPr>
        <w:t>Norfolk County Council</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Norfolk presents one of the most clear family facing explanations. Its page declares that it can assist any family that has a child or young person until the age of 18, or up to 25 in the case of young people with special educational needs and disabilities. It also mentions adult concerns like finances or mental health as potentially impacting children (Norfolk County Council, 2026a). This is a plus as it demonstrates whole family thinking in simple terms.</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Norfolk also makes a connection between Early Help and broader prevention and family support work. Its prevention and early help approach stipulates that children, young people, and families need to be supported as early as possible to enable them to thrive (Norfolk County Council, 2026b). The language on the pages of Norfolk is simple, straightforward, and logical. Without having to read much professional language, a family can find out who the service is for and why it is relevant. This renders Norfolk robust in terms of accessibility and comprehensibility (Norfolk County Council, 2026a).</w:t>
      </w:r>
    </w:p>
    <w:p>
      <w:pPr>
        <w:pStyle w:val="Body"/>
        <w:spacing w:before="100" w:after="100" w:line="360" w:lineRule="auto"/>
        <w:outlineLvl w:val="2"/>
        <w:rPr>
          <w:rFonts w:ascii="Cambria Bold" w:cs="Cambria Bold" w:hAnsi="Cambria Bold" w:eastAsia="Cambria Bold"/>
          <w:sz w:val="27"/>
          <w:szCs w:val="27"/>
        </w:rPr>
      </w:pPr>
      <w:r>
        <w:rPr>
          <w:rFonts w:ascii="Cambria Bold" w:hAnsi="Cambria Bold"/>
          <w:sz w:val="27"/>
          <w:szCs w:val="27"/>
          <w:rtl w:val="0"/>
          <w:lang w:val="en-US"/>
        </w:rPr>
        <w:t>Southwark Council</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Early Help is also displayed clearly in Southwark. Its page states that Early Help is support that some children and families require to remain healthy, safe, and capable of reaching their full potential. It also states that Early Help services are meant to prevent the deterioration of problems (Southwark Council, 2024a). This provides families with a simple fundamental account. Southwark also draws a distinction between universal early help and extra early help to enable readers to comprehend the fact that there is universal and more specific support (Southwark Council, 2024a).</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One of the greatest advantages of Southwark is that it provides practical service information. The Family Early Help page contains referral contacts and a duty contact route, which may assist families and professionals to take immediate action (Southwark Local Offer, 2024). Southwark is also known for close work with partners and a whole family approach to service information (Southwark Council, 2024c). The tone is its weak point, as it is more service led rather than family led. The data is powerful, but it may seem a bit more formal than the phrasing used by Norfolk.</w:t>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en-US"/>
        </w:rPr>
        <w:t>Comparative Analysis</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All three councils clarify that the idea behind Early Help is to ensure that existing problems are not exacerbated. All three demonstrate joined up support in the form of family hubs, targeted services, or linked support pages, too. This implies that all three sites are helpful (Norfolk County Council, 2026a). The key distinction is the clarity of the support signposting for families.</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Leeds is powerful in joined up structure, but the path is not as straightforward since users might require more than one page (Leeds City Council, 2026a). Southwark is more specific and realistic, in particular, when it comes to targeted support, although the language is a bit more service oriented (Southwark Local Offer, 2024). Norfolk is the most balanced. It is written in simple language, the audience is clear, and the service is welcoming and accessible (Norfolk County Council, 2026a).</w:t>
      </w:r>
    </w:p>
    <w:p>
      <w:pPr>
        <w:pStyle w:val="Body"/>
        <w:spacing w:line="360" w:lineRule="auto"/>
        <w:rPr>
          <w:rFonts w:ascii="Cambria Bold" w:cs="Cambria Bold" w:hAnsi="Cambria Bold" w:eastAsia="Cambria Bold"/>
          <w:sz w:val="24"/>
          <w:szCs w:val="24"/>
        </w:rPr>
      </w:pPr>
      <w:r>
        <w:rPr>
          <w:rFonts w:ascii="Cambria Bold" w:hAnsi="Cambria Bold"/>
          <w:sz w:val="24"/>
          <w:szCs w:val="24"/>
          <w:rtl w:val="0"/>
          <w:lang w:val="en-US"/>
        </w:rPr>
        <w:t>Table 2: Main strengths and weaknesses</w:t>
      </w:r>
    </w:p>
    <w:tbl>
      <w:tblPr>
        <w:tblW w:w="93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256"/>
        <w:gridCol w:w="4942"/>
        <w:gridCol w:w="3152"/>
      </w:tblGrid>
      <w:tr>
        <w:tblPrEx>
          <w:shd w:val="clear" w:color="auto" w:fill="ced7e7"/>
        </w:tblPrEx>
        <w:trPr>
          <w:trHeight w:val="29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line="360" w:lineRule="auto"/>
              <w:jc w:val="center"/>
            </w:pPr>
            <w:r>
              <w:rPr>
                <w:rFonts w:ascii="Cambria Bold" w:hAnsi="Cambria Bold"/>
                <w:sz w:val="24"/>
                <w:szCs w:val="24"/>
                <w:shd w:val="nil" w:color="auto" w:fill="auto"/>
                <w:rtl w:val="0"/>
                <w:lang w:val="en-US"/>
              </w:rPr>
              <w:t>Council</w:t>
            </w:r>
          </w:p>
        </w:tc>
        <w:tc>
          <w:tcPr>
            <w:tcW w:type="dxa" w:w="4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rFonts w:ascii="Cambria Bold" w:hAnsi="Cambria Bold"/>
                <w:sz w:val="24"/>
                <w:szCs w:val="24"/>
                <w:shd w:val="nil" w:color="auto" w:fill="auto"/>
                <w:rtl w:val="0"/>
                <w:lang w:val="en-US"/>
              </w:rPr>
              <w:t>Main strengths</w:t>
            </w:r>
          </w:p>
        </w:tc>
        <w:tc>
          <w:tcPr>
            <w:tcW w:type="dxa" w:w="3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jc w:val="center"/>
            </w:pPr>
            <w:r>
              <w:rPr>
                <w:rFonts w:ascii="Cambria Bold" w:hAnsi="Cambria Bold"/>
                <w:sz w:val="24"/>
                <w:szCs w:val="24"/>
                <w:shd w:val="nil" w:color="auto" w:fill="auto"/>
                <w:rtl w:val="0"/>
                <w:lang w:val="en-US"/>
              </w:rPr>
              <w:t>Main weaknesses</w:t>
            </w:r>
          </w:p>
        </w:tc>
      </w:tr>
      <w:tr>
        <w:tblPrEx>
          <w:shd w:val="clear" w:color="auto" w:fill="ced7e7"/>
        </w:tblPrEx>
        <w:trPr>
          <w:trHeight w:val="71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Leeds</w:t>
            </w:r>
          </w:p>
        </w:tc>
        <w:tc>
          <w:tcPr>
            <w:tcW w:type="dxa" w:w="4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Good links to Family Hubs, joined up structure</w:t>
            </w:r>
          </w:p>
        </w:tc>
        <w:tc>
          <w:tcPr>
            <w:tcW w:type="dxa" w:w="3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Information is scattered across pages</w:t>
            </w:r>
          </w:p>
        </w:tc>
      </w:tr>
      <w:tr>
        <w:tblPrEx>
          <w:shd w:val="clear" w:color="auto" w:fill="ced7e7"/>
        </w:tblPrEx>
        <w:trPr>
          <w:trHeight w:val="71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Norfolk</w:t>
            </w:r>
          </w:p>
        </w:tc>
        <w:tc>
          <w:tcPr>
            <w:tcW w:type="dxa" w:w="4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Plain language, focus on the whole family, easy to understand</w:t>
            </w:r>
          </w:p>
        </w:tc>
        <w:tc>
          <w:tcPr>
            <w:tcW w:type="dxa" w:w="3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Slightly less detailed than Southwark</w:t>
            </w:r>
          </w:p>
        </w:tc>
      </w:tr>
      <w:tr>
        <w:tblPrEx>
          <w:shd w:val="clear" w:color="auto" w:fill="ced7e7"/>
        </w:tblPrEx>
        <w:trPr>
          <w:trHeight w:val="710" w:hRule="atLeast"/>
        </w:trPr>
        <w:tc>
          <w:tcPr>
            <w:tcW w:type="dxa" w:w="1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Southwark</w:t>
            </w:r>
          </w:p>
        </w:tc>
        <w:tc>
          <w:tcPr>
            <w:tcW w:type="dxa" w:w="49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Clear service breakdown, practical referral details, strong targeted support information</w:t>
            </w:r>
          </w:p>
        </w:tc>
        <w:tc>
          <w:tcPr>
            <w:tcW w:type="dxa" w:w="31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360" w:lineRule="auto"/>
            </w:pPr>
            <w:r>
              <w:rPr>
                <w:rFonts w:ascii="Cambria" w:hAnsi="Cambria"/>
                <w:sz w:val="24"/>
                <w:szCs w:val="24"/>
                <w:shd w:val="nil" w:color="auto" w:fill="auto"/>
                <w:rtl w:val="0"/>
                <w:lang w:val="en-US"/>
              </w:rPr>
              <w:t>More formal, slightly less family friendly in tone</w:t>
            </w:r>
          </w:p>
        </w:tc>
      </w:tr>
    </w:tbl>
    <w:p>
      <w:pPr>
        <w:pStyle w:val="Body"/>
        <w:widowControl w:val="0"/>
        <w:spacing w:line="240" w:lineRule="auto"/>
        <w:rPr>
          <w:rFonts w:ascii="Cambria Bold" w:cs="Cambria Bold" w:hAnsi="Cambria Bold" w:eastAsia="Cambria Bold"/>
          <w:sz w:val="24"/>
          <w:szCs w:val="24"/>
        </w:rPr>
      </w:pP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The most effective of the three based on clarity, simplicity of use, and family oriented wording is Norfolk County Council. It may lack the most detailed breakdown of the services, but it offers the most comprehensible initial point of contact for families. Southwark is also strong because of its pragmatic referral paths. Leeds is still helpful, yet it could be made more powerful if the key information is more centralised (Norfolk County Council, 2026a).</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Moreover, good signposting does not concern merely providing information. It is also about building trust. When families are able to see more rapidly what assistance can be offered, who can use it, and what the next steps will be, they might feel more confident about asking for help. This is what makes the website a part of the Early Help system itself, and not just a location where information is stored.</w:t>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it-IT"/>
        </w:rPr>
        <w:t>Conclusion</w:t>
      </w:r>
    </w:p>
    <w:p>
      <w:pPr>
        <w:pStyle w:val="Body"/>
        <w:spacing w:before="100" w:after="100" w:line="360" w:lineRule="auto"/>
        <w:rPr>
          <w:rFonts w:ascii="Cambria" w:cs="Cambria" w:hAnsi="Cambria" w:eastAsia="Cambria"/>
          <w:sz w:val="24"/>
          <w:szCs w:val="24"/>
        </w:rPr>
      </w:pPr>
      <w:r>
        <w:rPr>
          <w:rFonts w:ascii="Cambria" w:hAnsi="Cambria"/>
          <w:sz w:val="24"/>
          <w:szCs w:val="24"/>
          <w:rtl w:val="0"/>
          <w:lang w:val="en-US"/>
        </w:rPr>
        <w:t>Early Help is a critical component of safeguarding since it assists families in the early stages and tries to prevent the escalation of needs to a more severe level. This is supported by national guidance that indicates that this support must be transparent and integrated, and accessible (Department for Education and Department for Levelling Up, Housing and Communities, 2022). The three websites that have been reviewed offer valuable information, but in various manners. Leeds is better connected to the broader assistance, Southwark is practical and comprehensive, and Norfolk is the most accessible to family users. Overall, the Early Help signposting available on Norfolk County Council appears to be the most effective and accessible as it uses straightforward language, is able to explain who can receive help, and offers help in a straightforward and family centered manner (Norfolk County Council, 2026a).</w:t>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en-US"/>
        </w:rPr>
        <w:t>Recommendations</w:t>
      </w:r>
    </w:p>
    <w:p>
      <w:pPr>
        <w:pStyle w:val="Body"/>
        <w:numPr>
          <w:ilvl w:val="0"/>
          <w:numId w:val="2"/>
        </w:numPr>
        <w:bidi w:val="0"/>
        <w:spacing w:before="100" w:after="100" w:line="360" w:lineRule="auto"/>
        <w:ind w:right="0"/>
        <w:jc w:val="left"/>
        <w:rPr>
          <w:rFonts w:ascii="Cambria" w:hAnsi="Cambria"/>
          <w:sz w:val="24"/>
          <w:szCs w:val="24"/>
          <w:rtl w:val="0"/>
          <w:lang w:val="en-US"/>
        </w:rPr>
      </w:pPr>
      <w:r>
        <w:rPr>
          <w:rFonts w:ascii="Cambria" w:hAnsi="Cambria"/>
          <w:sz w:val="24"/>
          <w:szCs w:val="24"/>
          <w:rtl w:val="0"/>
          <w:lang w:val="en-US"/>
        </w:rPr>
        <w:t xml:space="preserve">Create one primary Early Help page on every council site which outlines what Early Help is, who is the intended audience, how to request assistance, and what happens next. This would align with the national goal of ensuring support is more accessible (Department for Education and Department for Levelling Up, Housing and Communities, 2022). </w:t>
      </w:r>
    </w:p>
    <w:p>
      <w:pPr>
        <w:pStyle w:val="Body"/>
        <w:numPr>
          <w:ilvl w:val="0"/>
          <w:numId w:val="2"/>
        </w:numPr>
        <w:bidi w:val="0"/>
        <w:spacing w:before="100" w:after="100" w:line="360" w:lineRule="auto"/>
        <w:ind w:right="0"/>
        <w:jc w:val="left"/>
        <w:rPr>
          <w:rFonts w:ascii="Cambria" w:hAnsi="Cambria"/>
          <w:sz w:val="24"/>
          <w:szCs w:val="24"/>
          <w:rtl w:val="0"/>
          <w:lang w:val="en-US"/>
        </w:rPr>
      </w:pPr>
      <w:r>
        <w:rPr>
          <w:rFonts w:ascii="Cambria" w:hAnsi="Cambria"/>
          <w:sz w:val="24"/>
          <w:szCs w:val="24"/>
          <w:rtl w:val="0"/>
          <w:lang w:val="en-US"/>
        </w:rPr>
        <w:t xml:space="preserve">Use simple terms and minimize professional language to enable families to ascertain whether a page is pertinent to them. The best example of this approach is Norfolk (Norfolk County Council, 2026a). </w:t>
      </w:r>
    </w:p>
    <w:p>
      <w:pPr>
        <w:pStyle w:val="Body"/>
        <w:numPr>
          <w:ilvl w:val="0"/>
          <w:numId w:val="2"/>
        </w:numPr>
        <w:bidi w:val="0"/>
        <w:spacing w:before="100" w:after="100" w:line="360" w:lineRule="auto"/>
        <w:ind w:right="0"/>
        <w:jc w:val="left"/>
        <w:rPr>
          <w:rFonts w:ascii="Cambria" w:hAnsi="Cambria"/>
          <w:sz w:val="24"/>
          <w:szCs w:val="24"/>
          <w:rtl w:val="0"/>
          <w:lang w:val="en-US"/>
        </w:rPr>
      </w:pPr>
      <w:r>
        <w:rPr>
          <w:rFonts w:ascii="Cambria" w:hAnsi="Cambria"/>
          <w:sz w:val="24"/>
          <w:szCs w:val="24"/>
          <w:rtl w:val="0"/>
          <w:lang w:val="en-US"/>
        </w:rPr>
        <w:t xml:space="preserve">Keep contact details and referral routes on the main page rather than on deeper pages of the site. Southwark demonstrates the importance of practical well-defined pathways (Southwark Local Offer, 2024). </w:t>
      </w:r>
    </w:p>
    <w:p>
      <w:pPr>
        <w:pStyle w:val="Body"/>
        <w:numPr>
          <w:ilvl w:val="0"/>
          <w:numId w:val="2"/>
        </w:numPr>
        <w:bidi w:val="0"/>
        <w:spacing w:before="100" w:after="100" w:line="360" w:lineRule="auto"/>
        <w:ind w:right="0"/>
        <w:jc w:val="left"/>
        <w:rPr>
          <w:rFonts w:ascii="Cambria" w:hAnsi="Cambria"/>
          <w:sz w:val="24"/>
          <w:szCs w:val="24"/>
          <w:rtl w:val="0"/>
          <w:lang w:val="en-US"/>
        </w:rPr>
      </w:pPr>
      <w:r>
        <w:rPr>
          <w:rFonts w:ascii="Cambria" w:hAnsi="Cambria"/>
          <w:sz w:val="24"/>
          <w:szCs w:val="24"/>
          <w:rtl w:val="0"/>
          <w:lang w:val="en-US"/>
        </w:rPr>
        <w:t xml:space="preserve">Connect Early Help pages better with family hubs, parenting support, SEND support, and wellbeing support to enable families to navigate between services easily (Leeds City Council, 2026b). </w:t>
      </w:r>
    </w:p>
    <w:p>
      <w:pPr>
        <w:pStyle w:val="Body"/>
        <w:numPr>
          <w:ilvl w:val="0"/>
          <w:numId w:val="2"/>
        </w:numPr>
        <w:bidi w:val="0"/>
        <w:spacing w:before="100" w:after="100" w:line="360" w:lineRule="auto"/>
        <w:ind w:right="0"/>
        <w:jc w:val="left"/>
        <w:rPr>
          <w:rFonts w:ascii="Cambria" w:hAnsi="Cambria"/>
          <w:sz w:val="24"/>
          <w:szCs w:val="24"/>
          <w:rtl w:val="0"/>
          <w:lang w:val="en-US"/>
        </w:rPr>
      </w:pPr>
      <w:r>
        <w:rPr>
          <w:rFonts w:ascii="Cambria" w:hAnsi="Cambria"/>
          <w:sz w:val="24"/>
          <w:szCs w:val="24"/>
          <w:rtl w:val="0"/>
          <w:lang w:val="en-US"/>
        </w:rPr>
        <w:t xml:space="preserve">Regularly review web pages to ensure information is up-to-date, understandable, and aligned with safeguarding guidance and local service updates (Department for Education, 2023). </w:t>
      </w:r>
    </w:p>
    <w:p>
      <w:pPr>
        <w:pStyle w:val="Body"/>
      </w:pPr>
      <w:r>
        <w:rPr>
          <w:rFonts w:ascii="Arial Unicode MS" w:cs="Arial Unicode MS" w:hAnsi="Arial Unicode MS" w:eastAsia="Arial Unicode MS"/>
          <w:b w:val="0"/>
          <w:bCs w:val="0"/>
          <w:i w:val="0"/>
          <w:iCs w:val="0"/>
          <w:sz w:val="36"/>
          <w:szCs w:val="36"/>
        </w:rPr>
        <w:br w:type="page"/>
      </w:r>
    </w:p>
    <w:p>
      <w:pPr>
        <w:pStyle w:val="Body"/>
        <w:spacing w:before="100" w:after="100" w:line="360" w:lineRule="auto"/>
        <w:outlineLvl w:val="1"/>
        <w:rPr>
          <w:rFonts w:ascii="Cambria Bold" w:cs="Cambria Bold" w:hAnsi="Cambria Bold" w:eastAsia="Cambria Bold"/>
          <w:sz w:val="36"/>
          <w:szCs w:val="36"/>
        </w:rPr>
      </w:pPr>
      <w:r>
        <w:rPr>
          <w:rFonts w:ascii="Cambria Bold" w:hAnsi="Cambria Bold"/>
          <w:sz w:val="36"/>
          <w:szCs w:val="36"/>
          <w:rtl w:val="0"/>
          <w:lang w:val="fr-FR"/>
        </w:rPr>
        <w:t>References</w:t>
      </w:r>
    </w:p>
    <w:p>
      <w:pPr>
        <w:pStyle w:val="Body"/>
        <w:spacing w:before="100" w:after="100" w:line="360" w:lineRule="auto"/>
        <w:rPr>
          <w:rStyle w:val="None"/>
          <w:rFonts w:ascii="Cambria" w:cs="Cambria" w:hAnsi="Cambria" w:eastAsia="Cambria"/>
          <w:sz w:val="24"/>
          <w:szCs w:val="24"/>
        </w:rPr>
      </w:pPr>
      <w:r>
        <w:rPr>
          <w:rFonts w:ascii="Cambria" w:hAnsi="Cambria"/>
          <w:sz w:val="24"/>
          <w:szCs w:val="24"/>
          <w:rtl w:val="0"/>
          <w:lang w:val="en-US"/>
        </w:rPr>
        <w:t xml:space="preserve">Department for Education (2023) </w:t>
      </w:r>
      <w:r>
        <w:rPr>
          <w:rFonts w:ascii="Cambria Italic" w:hAnsi="Cambria Italic"/>
          <w:sz w:val="24"/>
          <w:szCs w:val="24"/>
          <w:rtl w:val="0"/>
          <w:lang w:val="en-US"/>
        </w:rPr>
        <w:t>Working together to safeguard children</w:t>
      </w:r>
      <w:r>
        <w:rPr>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"https://www.gov.uk/government/publications/working-together-to-safeguard-children--2"</w:instrText>
      </w:r>
      <w:r>
        <w:rPr>
          <w:rStyle w:val="Hyperlink.0"/>
        </w:rPr>
        <w:fldChar w:fldCharType="separate" w:fldLock="0"/>
      </w:r>
      <w:r>
        <w:rPr>
          <w:rStyle w:val="Hyperlink.0"/>
          <w:rtl w:val="0"/>
          <w:lang w:val="en-US"/>
        </w:rPr>
        <w:t>https://www.gov.uk/government/publications/working-together-to-safeguard-children--2</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Department for Education (2024) </w:t>
      </w:r>
      <w:r>
        <w:rPr>
          <w:rStyle w:val="None"/>
          <w:rFonts w:ascii="Cambria Italic" w:hAnsi="Cambria Italic"/>
          <w:sz w:val="24"/>
          <w:szCs w:val="24"/>
          <w:rtl w:val="0"/>
          <w:lang w:val="en-US"/>
        </w:rPr>
        <w:t>Information sharing advice for safeguarding practitioners</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"https://www.gov.uk/government/publications/safeguarding-practitioners-information-sharing-advice"</w:instrText>
      </w:r>
      <w:r>
        <w:rPr>
          <w:rStyle w:val="Hyperlink.0"/>
        </w:rPr>
        <w:fldChar w:fldCharType="separate" w:fldLock="0"/>
      </w:r>
      <w:r>
        <w:rPr>
          <w:rStyle w:val="Hyperlink.0"/>
          <w:rtl w:val="0"/>
          <w:lang w:val="en-US"/>
        </w:rPr>
        <w:t>https://www.gov.uk/government/publications/safeguarding-practitioners-information-sharing-advice</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Department for Education (2025) </w:t>
      </w:r>
      <w:r>
        <w:rPr>
          <w:rStyle w:val="None"/>
          <w:rFonts w:ascii="Cambria Italic" w:hAnsi="Cambria Italic"/>
          <w:sz w:val="24"/>
          <w:szCs w:val="24"/>
          <w:rtl w:val="0"/>
          <w:lang w:val="en-US"/>
        </w:rPr>
        <w:t>Supporting Families whole family working: informing future system reform</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"https://www.gov.uk/government/publications/supporting-families-programme-annual-report-2024-to-2025/supporting-families-whole-family-working-informing-future-system-reform-annual-report-of-the-supporting-families-programme-2024-to-2025"</w:instrText>
      </w:r>
      <w:r>
        <w:rPr>
          <w:rStyle w:val="Hyperlink.0"/>
        </w:rPr>
        <w:fldChar w:fldCharType="separate" w:fldLock="0"/>
      </w:r>
      <w:r>
        <w:rPr>
          <w:rStyle w:val="Hyperlink.0"/>
          <w:rtl w:val="0"/>
          <w:lang w:val="en-US"/>
        </w:rPr>
        <w:t>https://www.gov.uk/government/publications/supporting-families-programme-annual-report-2024-to-2025/supporting-families-whole-family-working-informing-future-system-reform-annual-report-of-the-supporting-families-programme-2024-to-2025</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Department for Education and Department for Levelling Up, Housing and Communities (2022) </w:t>
      </w:r>
      <w:r>
        <w:rPr>
          <w:rStyle w:val="None"/>
          <w:rFonts w:ascii="Cambria Italic" w:hAnsi="Cambria Italic"/>
          <w:sz w:val="24"/>
          <w:szCs w:val="24"/>
          <w:rtl w:val="0"/>
          <w:lang w:val="en-US"/>
        </w:rPr>
        <w:t>Supporting Families: Early Help System guide</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"https://www.gov.uk/government/publications/supporting-families-early-help-system-guide"</w:instrText>
      </w:r>
      <w:r>
        <w:rPr>
          <w:rStyle w:val="Hyperlink.0"/>
        </w:rPr>
        <w:fldChar w:fldCharType="separate" w:fldLock="0"/>
      </w:r>
      <w:r>
        <w:rPr>
          <w:rStyle w:val="Hyperlink.0"/>
          <w:rtl w:val="0"/>
          <w:lang w:val="en-US"/>
        </w:rPr>
        <w:t>https://www.gov.uk/government/publications/supporting-families-early-help-system-guide</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Department of Health and Social Care and Department for Education (2023) </w:t>
      </w:r>
      <w:r>
        <w:rPr>
          <w:rStyle w:val="None"/>
          <w:rFonts w:ascii="Cambria Italic" w:hAnsi="Cambria Italic"/>
          <w:sz w:val="24"/>
          <w:szCs w:val="24"/>
          <w:rtl w:val="0"/>
          <w:lang w:val="en-US"/>
        </w:rPr>
        <w:t>Family Hubs and Start for Life programme</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"https://www.gov.uk/government/collections/family-hubs-and-start-for-life-programme"</w:instrText>
      </w:r>
      <w:r>
        <w:rPr>
          <w:rStyle w:val="Hyperlink.0"/>
        </w:rPr>
        <w:fldChar w:fldCharType="separate" w:fldLock="0"/>
      </w:r>
      <w:r>
        <w:rPr>
          <w:rStyle w:val="Hyperlink.0"/>
          <w:rtl w:val="0"/>
          <w:lang w:val="en-US"/>
        </w:rPr>
        <w:t>https://www.gov.uk/government/collections/family-hubs-and-start-for-life-programme</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Leeds City Council (2026a) </w:t>
      </w:r>
      <w:r>
        <w:rPr>
          <w:rStyle w:val="None"/>
          <w:rFonts w:ascii="Cambria Italic" w:hAnsi="Cambria Italic"/>
          <w:sz w:val="24"/>
          <w:szCs w:val="24"/>
          <w:rtl w:val="0"/>
          <w:lang w:val="en-US"/>
        </w:rPr>
        <w:t>One minute guide: Early help</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"https://www.leeds.gov.uk/one-minute-guides/early-help"</w:instrText>
      </w:r>
      <w:r>
        <w:rPr>
          <w:rStyle w:val="Hyperlink.0"/>
        </w:rPr>
        <w:fldChar w:fldCharType="separate" w:fldLock="0"/>
      </w:r>
      <w:r>
        <w:rPr>
          <w:rStyle w:val="Hyperlink.0"/>
          <w:rtl w:val="0"/>
          <w:lang w:val="en-US"/>
        </w:rPr>
        <w:t>https://www.leeds.gov.uk/one-minute-guides/early-help</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Leeds City Council (2026b) </w:t>
      </w:r>
      <w:r>
        <w:rPr>
          <w:rStyle w:val="None"/>
          <w:rFonts w:ascii="Cambria Italic" w:hAnsi="Cambria Italic"/>
          <w:sz w:val="24"/>
          <w:szCs w:val="24"/>
          <w:rtl w:val="0"/>
          <w:lang w:val="en-US"/>
        </w:rPr>
        <w:t>Family Hubs and the Early Help front door team</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"https://www.leeds.gov.uk/one-minute-guides/family-hubs-and-early-help-front-door-team"</w:instrText>
      </w:r>
      <w:r>
        <w:rPr>
          <w:rStyle w:val="Hyperlink.0"/>
        </w:rPr>
        <w:fldChar w:fldCharType="separate" w:fldLock="0"/>
      </w:r>
      <w:r>
        <w:rPr>
          <w:rStyle w:val="Hyperlink.0"/>
          <w:rtl w:val="0"/>
          <w:lang w:val="en-US"/>
        </w:rPr>
        <w:t>https://www.leeds.gov.uk/one-minute-guides/family-hubs-and-early-help-front-door-team</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Norfolk County Council (2026a) </w:t>
      </w:r>
      <w:r>
        <w:rPr>
          <w:rStyle w:val="None"/>
          <w:rFonts w:ascii="Cambria Italic" w:hAnsi="Cambria Italic"/>
          <w:sz w:val="24"/>
          <w:szCs w:val="24"/>
          <w:rtl w:val="0"/>
          <w:lang w:val="en-US"/>
        </w:rPr>
        <w:t>Early help for children and families</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"https://www.norfolk.gov.uk/article/40407/Early-help-for-children-and-families"</w:instrText>
      </w:r>
      <w:r>
        <w:rPr>
          <w:rStyle w:val="Hyperlink.0"/>
        </w:rPr>
        <w:fldChar w:fldCharType="separate" w:fldLock="0"/>
      </w:r>
      <w:r>
        <w:rPr>
          <w:rStyle w:val="Hyperlink.0"/>
          <w:rtl w:val="0"/>
          <w:lang w:val="en-US"/>
        </w:rPr>
        <w:t>https://www.norfolk.gov.uk/article/40407/Early-help-for-children-and-families</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Norfolk County Council (2026b) </w:t>
      </w:r>
      <w:r>
        <w:rPr>
          <w:rStyle w:val="None"/>
          <w:rFonts w:ascii="Cambria Italic" w:hAnsi="Cambria Italic"/>
          <w:sz w:val="24"/>
          <w:szCs w:val="24"/>
          <w:rtl w:val="0"/>
          <w:lang w:val="en-US"/>
        </w:rPr>
        <w:t>Prevention and early help strategy</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"https://www.norfolk.gov.uk/article/73743/Prevention-and-early-help-strategy"</w:instrText>
      </w:r>
      <w:r>
        <w:rPr>
          <w:rStyle w:val="Hyperlink.0"/>
        </w:rPr>
        <w:fldChar w:fldCharType="separate" w:fldLock="0"/>
      </w:r>
      <w:r>
        <w:rPr>
          <w:rStyle w:val="Hyperlink.0"/>
          <w:rtl w:val="0"/>
          <w:lang w:val="en-US"/>
        </w:rPr>
        <w:t>https://www.norfolk.gov.uk/article/73743/Prevention-and-early-help-strategy</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Southwark Council (2024a) </w:t>
      </w:r>
      <w:r>
        <w:rPr>
          <w:rStyle w:val="None"/>
          <w:rFonts w:ascii="Cambria Italic" w:hAnsi="Cambria Italic"/>
          <w:sz w:val="24"/>
          <w:szCs w:val="24"/>
          <w:rtl w:val="0"/>
          <w:lang w:val="en-US"/>
        </w:rPr>
        <w:t>About early help</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"https://www.southwark.gov.uk/children-and-families/childrens-social-care/early-help/about-early-help"</w:instrText>
      </w:r>
      <w:r>
        <w:rPr>
          <w:rStyle w:val="Hyperlink.0"/>
        </w:rPr>
        <w:fldChar w:fldCharType="separate" w:fldLock="0"/>
      </w:r>
      <w:r>
        <w:rPr>
          <w:rStyle w:val="Hyperlink.0"/>
          <w:rtl w:val="0"/>
          <w:lang w:val="en-US"/>
        </w:rPr>
        <w:t>https://www.southwark.gov.uk/children-and-families/childrens-social-care/early-help/about-early-help</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rPr>
          <w:rStyle w:val="None"/>
          <w:rFonts w:ascii="Cambria" w:cs="Cambria" w:hAnsi="Cambria" w:eastAsia="Cambria"/>
          <w:sz w:val="24"/>
          <w:szCs w:val="24"/>
        </w:rPr>
      </w:pPr>
      <w:r>
        <w:rPr>
          <w:rStyle w:val="None"/>
          <w:rFonts w:ascii="Cambria" w:hAnsi="Cambria"/>
          <w:sz w:val="24"/>
          <w:szCs w:val="24"/>
          <w:rtl w:val="0"/>
          <w:lang w:val="en-US"/>
        </w:rPr>
        <w:t xml:space="preserve">Southwark Council (2024c) </w:t>
      </w:r>
      <w:r>
        <w:rPr>
          <w:rStyle w:val="None"/>
          <w:rFonts w:ascii="Cambria Italic" w:hAnsi="Cambria Italic"/>
          <w:sz w:val="24"/>
          <w:szCs w:val="24"/>
          <w:rtl w:val="0"/>
          <w:lang w:val="en-US"/>
        </w:rPr>
        <w:t>Extra early help</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"https://www.southwark.gov.uk/children-and-families/childrens-social-care/early-help/extra-early-help"</w:instrText>
      </w:r>
      <w:r>
        <w:rPr>
          <w:rStyle w:val="Hyperlink.0"/>
        </w:rPr>
        <w:fldChar w:fldCharType="separate" w:fldLock="0"/>
      </w:r>
      <w:r>
        <w:rPr>
          <w:rStyle w:val="Hyperlink.0"/>
          <w:rtl w:val="0"/>
          <w:lang w:val="en-US"/>
        </w:rPr>
        <w:t>https://www.southwark.gov.uk/children-and-families/childrens-social-care/early-help/extra-early-help</w:t>
      </w:r>
      <w:r>
        <w:rPr/>
        <w:fldChar w:fldCharType="end" w:fldLock="0"/>
      </w:r>
      <w:r>
        <w:rPr>
          <w:rStyle w:val="None"/>
          <w:rFonts w:ascii="Cambria" w:hAnsi="Cambria"/>
          <w:sz w:val="24"/>
          <w:szCs w:val="24"/>
          <w:rtl w:val="0"/>
          <w:lang w:val="it-IT"/>
        </w:rPr>
        <w:t xml:space="preserve"> (Accessed: 22 April 2026).</w:t>
      </w:r>
    </w:p>
    <w:p>
      <w:pPr>
        <w:pStyle w:val="Body"/>
        <w:spacing w:before="100" w:after="100" w:line="360" w:lineRule="auto"/>
      </w:pPr>
      <w:r>
        <w:rPr>
          <w:rStyle w:val="None"/>
          <w:rFonts w:ascii="Cambria" w:hAnsi="Cambria"/>
          <w:sz w:val="24"/>
          <w:szCs w:val="24"/>
          <w:rtl w:val="0"/>
          <w:lang w:val="en-US"/>
        </w:rPr>
        <w:t xml:space="preserve">Southwark Local Offer (2024) </w:t>
      </w:r>
      <w:r>
        <w:rPr>
          <w:rStyle w:val="None"/>
          <w:rFonts w:ascii="Cambria Italic" w:hAnsi="Cambria Italic"/>
          <w:sz w:val="24"/>
          <w:szCs w:val="24"/>
          <w:rtl w:val="0"/>
          <w:lang w:val="en-US"/>
        </w:rPr>
        <w:t>Family Early Help (FEH)</w:t>
      </w:r>
      <w:r>
        <w:rPr>
          <w:rStyle w:val="None"/>
          <w:rFonts w:ascii="Cambria" w:hAnsi="Cambria"/>
          <w:sz w:val="24"/>
          <w:szCs w:val="24"/>
          <w:rtl w:val="0"/>
          <w:lang w:val="en-US"/>
        </w:rPr>
        <w:t xml:space="preserve">. Available at: </w:t>
      </w:r>
      <w:r>
        <w:rPr>
          <w:rStyle w:val="Hyperlink.0"/>
        </w:rPr>
        <w:fldChar w:fldCharType="begin" w:fldLock="0"/>
      </w:r>
      <w:r>
        <w:rPr>
          <w:rStyle w:val="Hyperlink.0"/>
        </w:rPr>
        <w:instrText xml:space="preserve"> HYPERLINK "https://localoffer.southwark.gov.uk/education/specialist-services-offered-by-the-council/family-early-help-feh/"</w:instrText>
      </w:r>
      <w:r>
        <w:rPr>
          <w:rStyle w:val="Hyperlink.0"/>
        </w:rPr>
        <w:fldChar w:fldCharType="separate" w:fldLock="0"/>
      </w:r>
      <w:r>
        <w:rPr>
          <w:rStyle w:val="Hyperlink.0"/>
          <w:rtl w:val="0"/>
          <w:lang w:val="en-US"/>
        </w:rPr>
        <w:t>https://localoffer.southwark.gov.uk/education/specialist-services-offered-by-the-council/family-early-help-feh/</w:t>
      </w:r>
      <w:r>
        <w:rPr/>
        <w:fldChar w:fldCharType="end" w:fldLock="0"/>
      </w:r>
      <w:r>
        <w:rPr>
          <w:rStyle w:val="None"/>
          <w:rFonts w:ascii="Cambria" w:hAnsi="Cambria"/>
          <w:sz w:val="24"/>
          <w:szCs w:val="24"/>
          <w:rtl w:val="0"/>
          <w:lang w:val="it-IT"/>
        </w:rPr>
        <w:t xml:space="preserve"> (Accessed: 22 April 2026).</w:t>
      </w:r>
    </w:p>
    <w:sectPr>
      <w:headerReference w:type="default" r:id="rId5"/>
      <w:footerReference w:type="default" r:id="rId6"/>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mbria">
    <w:charset w:val="00"/>
    <w:family w:val="roman"/>
    <w:pitch w:val="default"/>
  </w:font>
  <w:font w:name="Cambria Bold">
    <w:charset w:val="00"/>
    <w:family w:val="roman"/>
    <w:pitch w:val="default"/>
  </w:font>
  <w:font w:name="Cambria Italic">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bullet"/>
      <w:suff w:val="tab"/>
      <w:lvlText w:val="o"/>
      <w:lvlJc w:val="left"/>
      <w:pPr>
        <w:tabs>
          <w:tab w:val="left" w:pos="720"/>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bullet"/>
      <w:suff w:val="tab"/>
      <w:lvlText w:val="▪"/>
      <w:lvlJc w:val="left"/>
      <w:pPr>
        <w:tabs>
          <w:tab w:val="left" w:pos="720"/>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bullet"/>
      <w:suff w:val="tab"/>
      <w:lvlText w:val="▪"/>
      <w:lvlJc w:val="left"/>
      <w:pPr>
        <w:tabs>
          <w:tab w:val="left" w:pos="720"/>
        </w:tabs>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bullet"/>
      <w:suff w:val="tab"/>
      <w:lvlText w:val="▪"/>
      <w:lvlJc w:val="left"/>
      <w:pPr>
        <w:tabs>
          <w:tab w:val="left" w:pos="720"/>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bullet"/>
      <w:suff w:val="tab"/>
      <w:lvlText w:val="▪"/>
      <w:lvlJc w:val="left"/>
      <w:pPr>
        <w:tabs>
          <w:tab w:val="left" w:pos="720"/>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bullet"/>
      <w:suff w:val="tab"/>
      <w:lvlText w:val="▪"/>
      <w:lvlJc w:val="left"/>
      <w:pPr>
        <w:tabs>
          <w:tab w:val="left" w:pos="720"/>
        </w:tabs>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bullet"/>
      <w:suff w:val="tab"/>
      <w:lvlText w:val="▪"/>
      <w:lvlJc w:val="left"/>
      <w:pPr>
        <w:tabs>
          <w:tab w:val="left" w:pos="720"/>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bullet"/>
      <w:suff w:val="tab"/>
      <w:lvlText w:val="▪"/>
      <w:lvlJc w:val="left"/>
      <w:pPr>
        <w:tabs>
          <w:tab w:val="left" w:pos="720"/>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rFonts w:ascii="Cambria" w:cs="Cambria" w:hAnsi="Cambria" w:eastAsia="Cambria"/>
      <w:outline w:val="0"/>
      <w:color w:val="0000ff"/>
      <w:sz w:val="24"/>
      <w:szCs w:val="24"/>
      <w:u w:val="single" w:color="0000ff"/>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