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D2136" w:rsidRPr="00FD2136" w:rsidRDefault="00FD2136" w:rsidP="00FD2136">
      <w:pPr>
        <w:pStyle w:val="Heading1"/>
        <w:rPr>
          <w:lang w:val="en-GB"/>
        </w:rPr>
      </w:pPr>
      <w:r w:rsidRPr="00FD2136">
        <w:rPr>
          <w:lang w:val="en-GB"/>
        </w:rPr>
        <w:t>Chapter Five: Conclusions and Recommendations</w:t>
      </w:r>
    </w:p>
    <w:p w:rsidR="00FD2136" w:rsidRPr="00FD2136" w:rsidRDefault="00FD2136">
      <w:pPr>
        <w:rPr>
          <w:lang w:val="en-GB"/>
        </w:rPr>
      </w:pPr>
    </w:p>
    <w:p w:rsidR="00FD2136" w:rsidRPr="00FD2136" w:rsidRDefault="00FD2136" w:rsidP="00FD2136">
      <w:pPr>
        <w:pStyle w:val="Style2"/>
      </w:pPr>
      <w:r w:rsidRPr="00FD2136">
        <w:t>5.1 Introduction</w:t>
      </w:r>
    </w:p>
    <w:p w:rsidR="00FD2136" w:rsidRPr="00FD2136" w:rsidRDefault="00FD2136">
      <w:pPr>
        <w:rPr>
          <w:lang w:val="en-GB"/>
        </w:rPr>
      </w:pPr>
    </w:p>
    <w:p w:rsidR="00FD2136" w:rsidRPr="00FD2136" w:rsidRDefault="00FD2136">
      <w:pPr>
        <w:rPr>
          <w:lang w:val="en-GB"/>
        </w:rPr>
      </w:pPr>
      <w:r w:rsidRPr="00FD2136">
        <w:rPr>
          <w:lang w:val="en-GB"/>
        </w:rPr>
        <w:t xml:space="preserve">The previous chapter successfully achieved the third and fourth objectives of the study. The final </w:t>
      </w:r>
      <w:r w:rsidR="00946908">
        <w:rPr>
          <w:lang w:val="en-GB"/>
        </w:rPr>
        <w:t>c</w:t>
      </w:r>
      <w:r w:rsidRPr="00FD2136">
        <w:rPr>
          <w:lang w:val="en-GB"/>
        </w:rPr>
        <w:t>hapter will achieve the final objectives of study:</w:t>
      </w:r>
    </w:p>
    <w:p w:rsidR="00FD2136" w:rsidRPr="00FD2136" w:rsidRDefault="00FD2136">
      <w:pPr>
        <w:rPr>
          <w:lang w:val="en-GB"/>
        </w:rPr>
      </w:pPr>
    </w:p>
    <w:p w:rsidR="00FD2136" w:rsidRPr="00FD2136" w:rsidRDefault="00FD2136" w:rsidP="00FD2136">
      <w:pPr>
        <w:pStyle w:val="ListParagraph"/>
        <w:numPr>
          <w:ilvl w:val="0"/>
          <w:numId w:val="2"/>
        </w:numPr>
        <w:rPr>
          <w:rFonts w:ascii="Arial" w:hAnsi="Arial" w:cs="Arial"/>
          <w:i/>
          <w:lang w:val="en-GB"/>
        </w:rPr>
      </w:pPr>
      <w:r w:rsidRPr="00FD2136">
        <w:rPr>
          <w:rFonts w:ascii="Arial" w:hAnsi="Arial" w:cs="Arial"/>
          <w:i/>
          <w:lang w:val="en-GB"/>
        </w:rPr>
        <w:t xml:space="preserve">To understand the findings of the research, making recommendations for future research in the topic or for the use of the respondents moving forward when taking consideration to adopt the phrase ‘the customer is always right’. </w:t>
      </w:r>
    </w:p>
    <w:p w:rsidR="00FD2136" w:rsidRPr="00FD2136" w:rsidRDefault="00FD2136" w:rsidP="00FD2136">
      <w:pPr>
        <w:pStyle w:val="ListParagraph"/>
        <w:rPr>
          <w:rFonts w:ascii="Arial" w:hAnsi="Arial" w:cs="Arial"/>
          <w:i/>
          <w:lang w:val="en-GB"/>
        </w:rPr>
      </w:pPr>
    </w:p>
    <w:p w:rsidR="00FD2136" w:rsidRDefault="00FD2136" w:rsidP="00FD2136">
      <w:pPr>
        <w:pStyle w:val="ListParagraph"/>
        <w:numPr>
          <w:ilvl w:val="0"/>
          <w:numId w:val="2"/>
        </w:numPr>
        <w:rPr>
          <w:rFonts w:ascii="Arial" w:hAnsi="Arial" w:cs="Arial"/>
          <w:i/>
          <w:lang w:val="en-GB"/>
        </w:rPr>
      </w:pPr>
      <w:r w:rsidRPr="00FD2136">
        <w:rPr>
          <w:rFonts w:ascii="Arial" w:hAnsi="Arial" w:cs="Arial"/>
          <w:i/>
          <w:lang w:val="en-GB"/>
        </w:rPr>
        <w:t>To highlight potential avenues for further study, providing knowledge of limitations to the present study.</w:t>
      </w:r>
    </w:p>
    <w:p w:rsidR="00FD2136" w:rsidRPr="00FD2136" w:rsidRDefault="00FD2136" w:rsidP="00FD2136">
      <w:pPr>
        <w:pStyle w:val="ListParagraph"/>
        <w:rPr>
          <w:rFonts w:ascii="Arial" w:hAnsi="Arial" w:cs="Arial"/>
          <w:i/>
          <w:lang w:val="en-GB"/>
        </w:rPr>
      </w:pPr>
    </w:p>
    <w:p w:rsidR="00FD2136" w:rsidRDefault="00FD2136">
      <w:pPr>
        <w:rPr>
          <w:lang w:val="en-GB"/>
        </w:rPr>
      </w:pPr>
      <w:r>
        <w:rPr>
          <w:lang w:val="en-GB"/>
        </w:rPr>
        <w:t>There will be an additional section on self-reflection.</w:t>
      </w:r>
    </w:p>
    <w:p w:rsidR="00FD2136" w:rsidRDefault="00FD2136">
      <w:pPr>
        <w:rPr>
          <w:lang w:val="en-GB"/>
        </w:rPr>
      </w:pPr>
    </w:p>
    <w:p w:rsidR="00FD2136" w:rsidRDefault="00FD2136" w:rsidP="00FD2136">
      <w:pPr>
        <w:pStyle w:val="Style2"/>
        <w:rPr>
          <w:lang w:val="en-GB"/>
        </w:rPr>
      </w:pPr>
      <w:r>
        <w:rPr>
          <w:lang w:val="en-GB"/>
        </w:rPr>
        <w:t xml:space="preserve">5.2 Summary of Main Findings </w:t>
      </w:r>
    </w:p>
    <w:p w:rsidR="00FD2136" w:rsidRDefault="00FD2136">
      <w:pPr>
        <w:rPr>
          <w:lang w:val="en-GB"/>
        </w:rPr>
      </w:pPr>
    </w:p>
    <w:p w:rsidR="00BD32C6" w:rsidRDefault="00BD32C6">
      <w:pPr>
        <w:rPr>
          <w:lang w:val="en-GB"/>
        </w:rPr>
      </w:pPr>
      <w:r>
        <w:rPr>
          <w:lang w:val="en-GB"/>
        </w:rPr>
        <w:t xml:space="preserve">The main findings of the study were synonymous with the literature discussed in chapter two. The highest levels of disagreement with the statement ‘The customer is always right’ were from respondents answering from the perspective of manager or employer, or employee. The highest level of agreement with the statement was from those answering from the perspective of a customer. Although these levels of disagreement or agreement were unsurprising, it was found that the manager or employer participants had the highest levels of agreement that the customer should be treated although they are right even when they are not. </w:t>
      </w:r>
    </w:p>
    <w:p w:rsidR="00BD32C6" w:rsidRDefault="00BD32C6">
      <w:pPr>
        <w:rPr>
          <w:lang w:val="en-GB"/>
        </w:rPr>
      </w:pPr>
    </w:p>
    <w:p w:rsidR="005C0B9A" w:rsidRDefault="00BD32C6" w:rsidP="005C0B9A">
      <w:pPr>
        <w:rPr>
          <w:lang w:val="en-GB"/>
        </w:rPr>
      </w:pPr>
      <w:r>
        <w:rPr>
          <w:lang w:val="en-GB"/>
        </w:rPr>
        <w:t xml:space="preserve">A significant </w:t>
      </w:r>
      <w:r w:rsidR="00D461CC">
        <w:rPr>
          <w:lang w:val="en-GB"/>
        </w:rPr>
        <w:t>association was found between perspective answered from and opinion in response to personal illegitimate complaining behaviour. It was found that the customer perspective were the only respondents to admit to illegitimately complaining for personal gain. Participants responding from the perspective of manager or employer, and employee, responded with the highest disagreement (73%) that they believe customer complaints are always legitimate. However, the majority (87%) of these participants responded that it was easier to accept a complaint and apologise than explain why the customer may not be correct.</w:t>
      </w:r>
    </w:p>
    <w:p w:rsidR="005C0B9A" w:rsidRDefault="005C0B9A" w:rsidP="005C0B9A">
      <w:pPr>
        <w:pStyle w:val="Style2"/>
        <w:rPr>
          <w:lang w:val="en-GB"/>
        </w:rPr>
      </w:pPr>
    </w:p>
    <w:p w:rsidR="005C0B9A" w:rsidRDefault="005C0B9A" w:rsidP="005C0B9A">
      <w:pPr>
        <w:pStyle w:val="Style2"/>
        <w:rPr>
          <w:lang w:val="en-GB"/>
        </w:rPr>
      </w:pPr>
      <w:r>
        <w:rPr>
          <w:lang w:val="en-GB"/>
        </w:rPr>
        <w:t>5.3 Implications of Research</w:t>
      </w:r>
    </w:p>
    <w:p w:rsidR="005C0B9A" w:rsidRDefault="005C0B9A" w:rsidP="005C0B9A">
      <w:pPr>
        <w:rPr>
          <w:lang w:val="en-GB"/>
        </w:rPr>
      </w:pPr>
    </w:p>
    <w:p w:rsidR="00126A58" w:rsidRDefault="005C0B9A" w:rsidP="005C0B9A">
      <w:pPr>
        <w:rPr>
          <w:lang w:val="en-GB"/>
        </w:rPr>
      </w:pPr>
      <w:r>
        <w:rPr>
          <w:lang w:val="en-GB"/>
        </w:rPr>
        <w:t xml:space="preserve">Research </w:t>
      </w:r>
      <w:r w:rsidR="00047B75">
        <w:rPr>
          <w:lang w:val="en-GB"/>
        </w:rPr>
        <w:t>can</w:t>
      </w:r>
      <w:r>
        <w:rPr>
          <w:lang w:val="en-GB"/>
        </w:rPr>
        <w:t xml:space="preserve"> b</w:t>
      </w:r>
      <w:r w:rsidR="00047B75">
        <w:rPr>
          <w:lang w:val="en-GB"/>
        </w:rPr>
        <w:t>e</w:t>
      </w:r>
      <w:r>
        <w:rPr>
          <w:lang w:val="en-GB"/>
        </w:rPr>
        <w:t xml:space="preserve"> described as a tool for building knowledge, and increasing awareness of issues (</w:t>
      </w:r>
      <w:proofErr w:type="spellStart"/>
      <w:r>
        <w:rPr>
          <w:lang w:val="en-GB"/>
        </w:rPr>
        <w:t>Lukovics</w:t>
      </w:r>
      <w:proofErr w:type="spellEnd"/>
      <w:r>
        <w:rPr>
          <w:lang w:val="en-GB"/>
        </w:rPr>
        <w:t xml:space="preserve"> </w:t>
      </w:r>
      <w:r w:rsidRPr="005C0B9A">
        <w:rPr>
          <w:i/>
          <w:lang w:val="en-GB"/>
        </w:rPr>
        <w:t>et al</w:t>
      </w:r>
      <w:r>
        <w:rPr>
          <w:lang w:val="en-GB"/>
        </w:rPr>
        <w:t>., 2019).</w:t>
      </w:r>
      <w:r w:rsidR="00126A58">
        <w:rPr>
          <w:lang w:val="en-GB"/>
        </w:rPr>
        <w:t xml:space="preserve"> Madan and </w:t>
      </w:r>
      <w:proofErr w:type="spellStart"/>
      <w:r w:rsidR="00126A58">
        <w:rPr>
          <w:lang w:val="en-GB"/>
        </w:rPr>
        <w:t>Teitge</w:t>
      </w:r>
      <w:proofErr w:type="spellEnd"/>
      <w:r w:rsidR="00126A58">
        <w:rPr>
          <w:lang w:val="en-GB"/>
        </w:rPr>
        <w:t xml:space="preserve"> (2013)</w:t>
      </w:r>
      <w:r w:rsidR="00047B75">
        <w:rPr>
          <w:lang w:val="en-GB"/>
        </w:rPr>
        <w:t xml:space="preserve"> explained </w:t>
      </w:r>
      <w:r w:rsidR="00126A58">
        <w:rPr>
          <w:lang w:val="en-GB"/>
        </w:rPr>
        <w:t>research can address</w:t>
      </w:r>
      <w:r w:rsidR="00047B75">
        <w:rPr>
          <w:lang w:val="en-GB"/>
        </w:rPr>
        <w:t xml:space="preserve"> issues and creat</w:t>
      </w:r>
      <w:r w:rsidR="00126A58">
        <w:rPr>
          <w:lang w:val="en-GB"/>
        </w:rPr>
        <w:t>e</w:t>
      </w:r>
      <w:r w:rsidR="00047B75">
        <w:rPr>
          <w:lang w:val="en-GB"/>
        </w:rPr>
        <w:t xml:space="preserve"> exposure </w:t>
      </w:r>
      <w:r w:rsidR="00126A58">
        <w:rPr>
          <w:lang w:val="en-GB"/>
        </w:rPr>
        <w:t xml:space="preserve">which contributes to the facilitation of a solution. </w:t>
      </w:r>
    </w:p>
    <w:p w:rsidR="00126A58" w:rsidRDefault="00126A58" w:rsidP="005C0B9A">
      <w:pPr>
        <w:rPr>
          <w:lang w:val="en-GB"/>
        </w:rPr>
      </w:pPr>
    </w:p>
    <w:p w:rsidR="00E036A3" w:rsidRDefault="00126A58" w:rsidP="00E036A3">
      <w:pPr>
        <w:rPr>
          <w:lang w:val="en-GB"/>
        </w:rPr>
      </w:pPr>
      <w:r>
        <w:rPr>
          <w:lang w:val="en-GB"/>
        </w:rPr>
        <w:t>The current study has highlighted how individuals working in customer facing roles often put their own thoughts and feelings aside to make situations easier for all parties involved, although they may not believe this is right. The abundance of own feeling for the benefit of other</w:t>
      </w:r>
      <w:r w:rsidR="00B74E38">
        <w:rPr>
          <w:lang w:val="en-GB"/>
        </w:rPr>
        <w:t xml:space="preserve">s although against will demonstrated itself as a common theme throughout the study. The implication of this using the literature review and data collected in the study potentially suggests that there are many </w:t>
      </w:r>
      <w:r w:rsidR="00B74E38">
        <w:rPr>
          <w:lang w:val="en-GB"/>
        </w:rPr>
        <w:lastRenderedPageBreak/>
        <w:t xml:space="preserve">workers in similar situations whereby constantly supressing their own emotion to appeal to or improve the experience of another is a day-to-day occurrence. The long-term implication for these workers could be detrimental to their mental health, physical health and </w:t>
      </w:r>
      <w:r w:rsidR="00867A29">
        <w:rPr>
          <w:lang w:val="en-GB"/>
        </w:rPr>
        <w:t>self-satisfaction</w:t>
      </w:r>
      <w:r w:rsidR="00B74E38">
        <w:rPr>
          <w:lang w:val="en-GB"/>
        </w:rPr>
        <w:t xml:space="preserve"> (</w:t>
      </w:r>
      <w:proofErr w:type="spellStart"/>
      <w:r w:rsidR="00B74E38">
        <w:rPr>
          <w:lang w:val="en-GB"/>
        </w:rPr>
        <w:t>Clercq</w:t>
      </w:r>
      <w:proofErr w:type="spellEnd"/>
      <w:r w:rsidR="00B74E38">
        <w:rPr>
          <w:lang w:val="en-GB"/>
        </w:rPr>
        <w:t xml:space="preserve"> et al., 2018</w:t>
      </w:r>
      <w:r w:rsidR="00903734">
        <w:rPr>
          <w:lang w:val="en-GB"/>
        </w:rPr>
        <w:t xml:space="preserve">; </w:t>
      </w:r>
      <w:proofErr w:type="spellStart"/>
      <w:r w:rsidR="00903734">
        <w:rPr>
          <w:lang w:val="en-GB"/>
        </w:rPr>
        <w:t>Nadin</w:t>
      </w:r>
      <w:proofErr w:type="spellEnd"/>
      <w:r w:rsidR="00903734">
        <w:rPr>
          <w:lang w:val="en-GB"/>
        </w:rPr>
        <w:t>, 2020</w:t>
      </w:r>
      <w:r w:rsidR="00B74E38">
        <w:rPr>
          <w:lang w:val="en-GB"/>
        </w:rPr>
        <w:t>)</w:t>
      </w:r>
      <w:r w:rsidR="00903734">
        <w:rPr>
          <w:lang w:val="en-GB"/>
        </w:rPr>
        <w:t xml:space="preserve"> as suppression of emotion can cause physical stress on the body (Cousins, 2018). This has real-world implications to numerous people in employment who deal with customers each day. Until there is a respect or understanding to those who mistreat customer facing workers then many individuals may face the long-term complications previously mentioned. The recommendations, which will be discussed in the next section, will highlight how these implications could be improved. </w:t>
      </w:r>
    </w:p>
    <w:p w:rsidR="00E036A3" w:rsidRDefault="00E036A3" w:rsidP="00E036A3">
      <w:pPr>
        <w:rPr>
          <w:lang w:val="en-GB"/>
        </w:rPr>
      </w:pPr>
    </w:p>
    <w:p w:rsidR="00E036A3" w:rsidRDefault="00FD2136" w:rsidP="00E036A3">
      <w:pPr>
        <w:pStyle w:val="Style2"/>
        <w:rPr>
          <w:lang w:val="en-GB"/>
        </w:rPr>
      </w:pPr>
      <w:r>
        <w:rPr>
          <w:lang w:val="en-GB"/>
        </w:rPr>
        <w:t>5.4 Recommendat</w:t>
      </w:r>
      <w:r w:rsidR="00E036A3">
        <w:rPr>
          <w:lang w:val="en-GB"/>
        </w:rPr>
        <w:t xml:space="preserve">ions </w:t>
      </w:r>
    </w:p>
    <w:p w:rsidR="00E036A3" w:rsidRDefault="00E036A3" w:rsidP="00E036A3">
      <w:pPr>
        <w:rPr>
          <w:color w:val="000000" w:themeColor="text1"/>
          <w:lang w:val="en-GB"/>
        </w:rPr>
      </w:pPr>
    </w:p>
    <w:p w:rsidR="00E036A3" w:rsidRDefault="00903734" w:rsidP="00E036A3">
      <w:pPr>
        <w:rPr>
          <w:color w:val="000000" w:themeColor="text1"/>
          <w:lang w:val="en-GB"/>
        </w:rPr>
      </w:pPr>
      <w:r>
        <w:rPr>
          <w:color w:val="000000" w:themeColor="text1"/>
          <w:lang w:val="en-GB"/>
        </w:rPr>
        <w:t>Following the study, a number of recommendations can be made. It is important to stress that understandably not</w:t>
      </w:r>
      <w:r w:rsidR="00867A29">
        <w:rPr>
          <w:color w:val="000000" w:themeColor="text1"/>
          <w:lang w:val="en-GB"/>
        </w:rPr>
        <w:t xml:space="preserve"> everything</w:t>
      </w:r>
      <w:r>
        <w:rPr>
          <w:color w:val="000000" w:themeColor="text1"/>
          <w:lang w:val="en-GB"/>
        </w:rPr>
        <w:t xml:space="preserve"> can be perfect at all times and there will be times and situations whereby somebody </w:t>
      </w:r>
      <w:r w:rsidR="00867A29">
        <w:rPr>
          <w:color w:val="000000" w:themeColor="text1"/>
          <w:lang w:val="en-GB"/>
        </w:rPr>
        <w:t>will feel</w:t>
      </w:r>
      <w:r>
        <w:rPr>
          <w:color w:val="000000" w:themeColor="text1"/>
          <w:lang w:val="en-GB"/>
        </w:rPr>
        <w:t xml:space="preserve"> they need to </w:t>
      </w:r>
      <w:r w:rsidR="00867A29">
        <w:rPr>
          <w:color w:val="000000" w:themeColor="text1"/>
          <w:lang w:val="en-GB"/>
        </w:rPr>
        <w:t xml:space="preserve">express dissatisfaction. However, the mistreatment and emotional impact that the majority of manager or employer, or employee respondents to the study reported would suggest that it is a real-world problem. </w:t>
      </w:r>
    </w:p>
    <w:p w:rsidR="00E036A3" w:rsidRDefault="00E036A3" w:rsidP="00E036A3">
      <w:pPr>
        <w:rPr>
          <w:color w:val="000000" w:themeColor="text1"/>
          <w:lang w:val="en-GB"/>
        </w:rPr>
      </w:pPr>
    </w:p>
    <w:p w:rsidR="00E036A3" w:rsidRDefault="00867A29" w:rsidP="00E036A3">
      <w:pPr>
        <w:rPr>
          <w:color w:val="000000" w:themeColor="text1"/>
          <w:lang w:val="en-GB"/>
        </w:rPr>
      </w:pPr>
      <w:r>
        <w:rPr>
          <w:color w:val="000000" w:themeColor="text1"/>
          <w:lang w:val="en-GB"/>
        </w:rPr>
        <w:t>It may be helpful to raise awareness of the impact mistreatment of customer-facing workers can have on their mental health, physical health and overall self-satisfaction</w:t>
      </w:r>
      <w:r w:rsidR="008A673F">
        <w:rPr>
          <w:color w:val="000000" w:themeColor="text1"/>
          <w:lang w:val="en-GB"/>
        </w:rPr>
        <w:t xml:space="preserve"> (Press Association, 2020)</w:t>
      </w:r>
      <w:r>
        <w:rPr>
          <w:color w:val="000000" w:themeColor="text1"/>
          <w:lang w:val="en-GB"/>
        </w:rPr>
        <w:t xml:space="preserve">. In the case of discussion in chapter two and the research collected during the present study the figures reported could be considered shocking in regard to the number of respondents who had been abused in some form at their workplace by a customer. The </w:t>
      </w:r>
      <w:r w:rsidR="008A673F">
        <w:rPr>
          <w:color w:val="000000" w:themeColor="text1"/>
          <w:lang w:val="en-GB"/>
        </w:rPr>
        <w:t xml:space="preserve">adoption of </w:t>
      </w:r>
      <w:r>
        <w:rPr>
          <w:color w:val="000000" w:themeColor="text1"/>
          <w:lang w:val="en-GB"/>
        </w:rPr>
        <w:t>‘</w:t>
      </w:r>
      <w:r w:rsidR="008A673F">
        <w:rPr>
          <w:color w:val="000000" w:themeColor="text1"/>
          <w:lang w:val="en-GB"/>
        </w:rPr>
        <w:t xml:space="preserve">the </w:t>
      </w:r>
      <w:r>
        <w:rPr>
          <w:color w:val="000000" w:themeColor="text1"/>
          <w:lang w:val="en-GB"/>
        </w:rPr>
        <w:t>customer is always right’</w:t>
      </w:r>
      <w:r w:rsidR="008A673F">
        <w:rPr>
          <w:color w:val="000000" w:themeColor="text1"/>
          <w:lang w:val="en-GB"/>
        </w:rPr>
        <w:t xml:space="preserve"> could be reasonably adjusted to consider that in many cases, they are not. </w:t>
      </w:r>
    </w:p>
    <w:p w:rsidR="00E036A3" w:rsidRDefault="00E036A3" w:rsidP="00E036A3">
      <w:pPr>
        <w:rPr>
          <w:color w:val="000000" w:themeColor="text1"/>
          <w:lang w:val="en-GB"/>
        </w:rPr>
      </w:pPr>
    </w:p>
    <w:p w:rsidR="00E036A3" w:rsidRDefault="00DA456B" w:rsidP="00E036A3">
      <w:pPr>
        <w:rPr>
          <w:color w:val="000000" w:themeColor="text1"/>
          <w:lang w:val="en-GB"/>
        </w:rPr>
      </w:pPr>
      <w:r>
        <w:rPr>
          <w:color w:val="000000" w:themeColor="text1"/>
          <w:lang w:val="en-GB"/>
        </w:rPr>
        <w:t xml:space="preserve">It could be considered the duty of manager or employers to favour the thoughts and feelings of their employees than that of the customer, taking consideration to the high levels of reported abuse. It could be questioned how ‘the customer is always right’ when they are demoralising, verbally or physically assaulting or threatening staff. The recommendation to consider morally whether the customer should be treated although they are right when they have made a worker feel uncomfortable or upset should be considered by managers or employers. As stated by previous work, it </w:t>
      </w:r>
      <w:r w:rsidR="00E036A3">
        <w:rPr>
          <w:color w:val="000000" w:themeColor="text1"/>
          <w:lang w:val="en-GB"/>
        </w:rPr>
        <w:t>is more</w:t>
      </w:r>
      <w:r>
        <w:rPr>
          <w:color w:val="000000" w:themeColor="text1"/>
          <w:lang w:val="en-GB"/>
        </w:rPr>
        <w:t xml:space="preserve"> beneficial to maintain happy staff than retain a bad customer (Florentine, 2019). It should be assessed on an individual basis whether ‘the customer is always right’ should be adopted when dealing with a complaint or situation. It is understood that customer service is an extremely important aspect </w:t>
      </w:r>
      <w:r w:rsidR="00E036A3">
        <w:rPr>
          <w:color w:val="000000" w:themeColor="text1"/>
          <w:lang w:val="en-GB"/>
        </w:rPr>
        <w:t>of</w:t>
      </w:r>
      <w:r>
        <w:rPr>
          <w:color w:val="000000" w:themeColor="text1"/>
          <w:lang w:val="en-GB"/>
        </w:rPr>
        <w:t xml:space="preserve"> modern-day organisations</w:t>
      </w:r>
      <w:r w:rsidR="00E036A3">
        <w:rPr>
          <w:color w:val="000000" w:themeColor="text1"/>
          <w:lang w:val="en-GB"/>
        </w:rPr>
        <w:t xml:space="preserve"> (Hudson and Hudson, 2017) yet there should be other options when providing good customer service than to simply accommodate and accept unruly behaviour (</w:t>
      </w:r>
      <w:proofErr w:type="spellStart"/>
      <w:r w:rsidR="00E036A3">
        <w:rPr>
          <w:color w:val="000000" w:themeColor="text1"/>
          <w:lang w:val="en-GB"/>
        </w:rPr>
        <w:t>Tidey</w:t>
      </w:r>
      <w:proofErr w:type="spellEnd"/>
      <w:r w:rsidR="00E036A3">
        <w:rPr>
          <w:color w:val="000000" w:themeColor="text1"/>
          <w:lang w:val="en-GB"/>
        </w:rPr>
        <w:t>, 2019)</w:t>
      </w:r>
      <w:r>
        <w:rPr>
          <w:color w:val="000000" w:themeColor="text1"/>
          <w:lang w:val="en-GB"/>
        </w:rPr>
        <w:t>.</w:t>
      </w:r>
      <w:r w:rsidR="00E036A3">
        <w:rPr>
          <w:color w:val="000000" w:themeColor="text1"/>
          <w:lang w:val="en-GB"/>
        </w:rPr>
        <w:t xml:space="preserve"> In the situation of an employee being rude to a customer, there would be repercussions. However, rude customers appear to claim benefit (</w:t>
      </w:r>
      <w:r w:rsidR="00D51A66">
        <w:rPr>
          <w:color w:val="000000" w:themeColor="text1"/>
          <w:lang w:val="en-GB"/>
        </w:rPr>
        <w:t xml:space="preserve">Reynolds and Harris, 2005; Huang </w:t>
      </w:r>
      <w:r w:rsidR="00D51A66" w:rsidRPr="00D51A66">
        <w:rPr>
          <w:i/>
          <w:color w:val="000000" w:themeColor="text1"/>
          <w:lang w:val="en-GB"/>
        </w:rPr>
        <w:t>et al.,</w:t>
      </w:r>
      <w:r w:rsidR="00D51A66">
        <w:rPr>
          <w:color w:val="000000" w:themeColor="text1"/>
          <w:lang w:val="en-GB"/>
        </w:rPr>
        <w:t xml:space="preserve"> 2014; Arora and Chakraborty, 2021</w:t>
      </w:r>
      <w:r w:rsidR="00E036A3">
        <w:rPr>
          <w:color w:val="000000" w:themeColor="text1"/>
          <w:lang w:val="en-GB"/>
        </w:rPr>
        <w:t>). Consideration should be taken as to when it is appropriate to favour the feeling of a customer over that of an employee.</w:t>
      </w:r>
      <w:r w:rsidR="009C56C4">
        <w:rPr>
          <w:color w:val="000000" w:themeColor="text1"/>
          <w:lang w:val="en-GB"/>
        </w:rPr>
        <w:t xml:space="preserve"> </w:t>
      </w:r>
    </w:p>
    <w:p w:rsidR="009C56C4" w:rsidRDefault="009C56C4" w:rsidP="00E036A3">
      <w:pPr>
        <w:rPr>
          <w:color w:val="000000" w:themeColor="text1"/>
          <w:lang w:val="en-GB"/>
        </w:rPr>
      </w:pPr>
    </w:p>
    <w:p w:rsidR="00E036A3" w:rsidRDefault="00E036A3" w:rsidP="00E036A3">
      <w:pPr>
        <w:rPr>
          <w:lang w:val="en-GB"/>
        </w:rPr>
      </w:pPr>
    </w:p>
    <w:p w:rsidR="00FD2136" w:rsidRDefault="00FD2136" w:rsidP="00E036A3">
      <w:pPr>
        <w:pStyle w:val="Style2"/>
        <w:rPr>
          <w:lang w:val="en-GB"/>
        </w:rPr>
      </w:pPr>
      <w:r>
        <w:rPr>
          <w:lang w:val="en-GB"/>
        </w:rPr>
        <w:t>5.5 Limitations</w:t>
      </w:r>
    </w:p>
    <w:p w:rsidR="00E036A3" w:rsidRDefault="00E036A3" w:rsidP="00E036A3">
      <w:pPr>
        <w:rPr>
          <w:color w:val="000000" w:themeColor="text1"/>
          <w:lang w:val="en-GB"/>
        </w:rPr>
      </w:pPr>
    </w:p>
    <w:p w:rsidR="00E036A3" w:rsidRDefault="00E036A3" w:rsidP="00E036A3">
      <w:pPr>
        <w:rPr>
          <w:color w:val="000000" w:themeColor="text1"/>
          <w:lang w:val="en-GB"/>
        </w:rPr>
      </w:pPr>
      <w:r>
        <w:rPr>
          <w:color w:val="000000" w:themeColor="text1"/>
          <w:lang w:val="en-GB"/>
        </w:rPr>
        <w:lastRenderedPageBreak/>
        <w:t>Th</w:t>
      </w:r>
      <w:r w:rsidR="00700979">
        <w:rPr>
          <w:color w:val="000000" w:themeColor="text1"/>
          <w:lang w:val="en-GB"/>
        </w:rPr>
        <w:t xml:space="preserve">e present study faced a few limitations. Ross and Zaidi (2019) state that being honest and highlighting limitation can ensure research remains in context so findings are not minimised or overemphasised. </w:t>
      </w:r>
    </w:p>
    <w:p w:rsidR="00700979" w:rsidRDefault="00700979" w:rsidP="00E036A3">
      <w:pPr>
        <w:rPr>
          <w:color w:val="000000" w:themeColor="text1"/>
          <w:lang w:val="en-GB"/>
        </w:rPr>
      </w:pPr>
    </w:p>
    <w:p w:rsidR="00700979" w:rsidRDefault="00700979" w:rsidP="00E036A3">
      <w:pPr>
        <w:rPr>
          <w:color w:val="000000" w:themeColor="text1"/>
          <w:lang w:val="en-GB"/>
        </w:rPr>
      </w:pPr>
      <w:r>
        <w:rPr>
          <w:color w:val="000000" w:themeColor="text1"/>
          <w:lang w:val="en-GB"/>
        </w:rPr>
        <w:t>The research was conducted during the C</w:t>
      </w:r>
      <w:r w:rsidR="000E5831">
        <w:rPr>
          <w:color w:val="000000" w:themeColor="text1"/>
          <w:lang w:val="en-GB"/>
        </w:rPr>
        <w:t>OVID</w:t>
      </w:r>
      <w:r>
        <w:rPr>
          <w:color w:val="000000" w:themeColor="text1"/>
          <w:lang w:val="en-GB"/>
        </w:rPr>
        <w:t xml:space="preserve">-19 pandemic. This limited the initial plan to use a multi-method approach, therefore only quantitative data was collected. This perhaps reduced the depth of findings in the study. Sen-Crowe </w:t>
      </w:r>
      <w:r w:rsidRPr="00700979">
        <w:rPr>
          <w:i/>
          <w:color w:val="000000" w:themeColor="text1"/>
          <w:lang w:val="en-GB"/>
        </w:rPr>
        <w:t>et al</w:t>
      </w:r>
      <w:r>
        <w:rPr>
          <w:color w:val="000000" w:themeColor="text1"/>
          <w:lang w:val="en-GB"/>
        </w:rPr>
        <w:t xml:space="preserve">. (2020) highlighted the </w:t>
      </w:r>
      <w:r w:rsidR="000E5831">
        <w:rPr>
          <w:color w:val="000000" w:themeColor="text1"/>
          <w:lang w:val="en-GB"/>
        </w:rPr>
        <w:t>impact on inability</w:t>
      </w:r>
      <w:r>
        <w:rPr>
          <w:color w:val="000000" w:themeColor="text1"/>
          <w:lang w:val="en-GB"/>
        </w:rPr>
        <w:t xml:space="preserve"> C</w:t>
      </w:r>
      <w:r w:rsidR="000E5831">
        <w:rPr>
          <w:color w:val="000000" w:themeColor="text1"/>
          <w:lang w:val="en-GB"/>
        </w:rPr>
        <w:t>OVID</w:t>
      </w:r>
      <w:r>
        <w:rPr>
          <w:color w:val="000000" w:themeColor="text1"/>
          <w:lang w:val="en-GB"/>
        </w:rPr>
        <w:t xml:space="preserve">-19 has had due to remote working, online teaching and widespread adoption of telecommunication. </w:t>
      </w:r>
    </w:p>
    <w:p w:rsidR="000E5831" w:rsidRDefault="000E5831" w:rsidP="00E036A3">
      <w:pPr>
        <w:rPr>
          <w:color w:val="000000" w:themeColor="text1"/>
          <w:lang w:val="en-GB"/>
        </w:rPr>
      </w:pPr>
    </w:p>
    <w:p w:rsidR="000E5831" w:rsidRDefault="000E5831" w:rsidP="00E036A3">
      <w:pPr>
        <w:rPr>
          <w:color w:val="000000" w:themeColor="text1"/>
          <w:lang w:val="en-GB"/>
        </w:rPr>
      </w:pPr>
      <w:r>
        <w:rPr>
          <w:color w:val="000000" w:themeColor="text1"/>
          <w:lang w:val="en-GB"/>
        </w:rPr>
        <w:t>The adoption of a convenience sample could be considered a limitation to the present study as it is generally criticised as non-representative of the population (</w:t>
      </w:r>
      <w:proofErr w:type="spellStart"/>
      <w:r>
        <w:rPr>
          <w:color w:val="000000" w:themeColor="text1"/>
          <w:lang w:val="en-GB"/>
        </w:rPr>
        <w:t>Etikan</w:t>
      </w:r>
      <w:proofErr w:type="spellEnd"/>
      <w:r>
        <w:rPr>
          <w:color w:val="000000" w:themeColor="text1"/>
          <w:lang w:val="en-GB"/>
        </w:rPr>
        <w:t xml:space="preserve">, Musa and </w:t>
      </w:r>
      <w:proofErr w:type="spellStart"/>
      <w:r>
        <w:rPr>
          <w:color w:val="000000" w:themeColor="text1"/>
          <w:lang w:val="en-GB"/>
        </w:rPr>
        <w:t>Alkassim</w:t>
      </w:r>
      <w:proofErr w:type="spellEnd"/>
      <w:r>
        <w:rPr>
          <w:color w:val="000000" w:themeColor="text1"/>
          <w:lang w:val="en-GB"/>
        </w:rPr>
        <w:t>, 2015). However, this was considered appropriate given the nature of study, and due to external limitations to be discussed next.</w:t>
      </w:r>
    </w:p>
    <w:p w:rsidR="000E5831" w:rsidRDefault="000E5831" w:rsidP="00E036A3">
      <w:pPr>
        <w:rPr>
          <w:color w:val="000000" w:themeColor="text1"/>
          <w:lang w:val="en-GB"/>
        </w:rPr>
      </w:pPr>
    </w:p>
    <w:p w:rsidR="000E5831" w:rsidRPr="00E036A3" w:rsidRDefault="000E5831" w:rsidP="00E036A3">
      <w:pPr>
        <w:rPr>
          <w:color w:val="000000" w:themeColor="text1"/>
          <w:lang w:val="en-GB"/>
        </w:rPr>
      </w:pPr>
      <w:r>
        <w:rPr>
          <w:color w:val="000000" w:themeColor="text1"/>
          <w:lang w:val="en-GB"/>
        </w:rPr>
        <w:t xml:space="preserve">A final limitation is that the researcher faced time constraint and a maximum word count constraint. </w:t>
      </w:r>
      <w:r w:rsidR="006C07D0">
        <w:rPr>
          <w:color w:val="000000" w:themeColor="text1"/>
          <w:lang w:val="en-GB"/>
        </w:rPr>
        <w:t xml:space="preserve">As the research was conducted as an undergraduate dissertation the time frame consisted of a mere few months. This limited the amount of time the questionnaire could accept response. The maximum word count of 8800 words also created a limitation, and was part of the reason a mono-method of collection was selected instead of the initial multi-method plan. </w:t>
      </w:r>
    </w:p>
    <w:p w:rsidR="00FD2136" w:rsidRDefault="00FD2136" w:rsidP="00FD2136">
      <w:pPr>
        <w:pStyle w:val="Style2"/>
        <w:rPr>
          <w:lang w:val="en-GB"/>
        </w:rPr>
      </w:pPr>
    </w:p>
    <w:p w:rsidR="00FD2136" w:rsidRDefault="00FD2136" w:rsidP="00FD2136">
      <w:pPr>
        <w:pStyle w:val="Style2"/>
        <w:rPr>
          <w:lang w:val="en-GB"/>
        </w:rPr>
      </w:pPr>
      <w:r>
        <w:rPr>
          <w:lang w:val="en-GB"/>
        </w:rPr>
        <w:t>5.6 Recommendations for Future Study</w:t>
      </w:r>
    </w:p>
    <w:p w:rsidR="0015595B" w:rsidRDefault="0015595B" w:rsidP="00FD2136">
      <w:pPr>
        <w:pStyle w:val="Style2"/>
        <w:rPr>
          <w:lang w:val="en-GB"/>
        </w:rPr>
      </w:pPr>
    </w:p>
    <w:p w:rsidR="0015595B" w:rsidRDefault="0015595B" w:rsidP="00FD2136">
      <w:pPr>
        <w:pStyle w:val="Style2"/>
        <w:rPr>
          <w:color w:val="000000" w:themeColor="text1"/>
          <w:lang w:val="en-GB"/>
        </w:rPr>
      </w:pPr>
      <w:r>
        <w:rPr>
          <w:color w:val="000000" w:themeColor="text1"/>
          <w:lang w:val="en-GB"/>
        </w:rPr>
        <w:t>It would be advantageous for future research to attempt to resolve the limitations of the present study. As a start, a multi-method approach of surveys and interviews would provide a more in-depth analysis into the research question. Interviews would provide qualitative analysis and collect more information on real-life scenarios to gather common themes contributing to abuse towards workers, or common themes in regard to why complaints are received across industries.</w:t>
      </w:r>
      <w:r w:rsidR="00EC2FF4">
        <w:rPr>
          <w:color w:val="000000" w:themeColor="text1"/>
          <w:lang w:val="en-GB"/>
        </w:rPr>
        <w:t xml:space="preserve"> It could also be insightful to collect more information into illegitimate complaining behaviour, as the present study found a significant association with perception answered from and illegitimate complaining for personal gain. It could be interesting to speak fluently with that demographic to explore further whether the association extends if there were to be a larger demographic response. </w:t>
      </w:r>
    </w:p>
    <w:p w:rsidR="00EC2FF4" w:rsidRDefault="00EC2FF4" w:rsidP="00FD2136">
      <w:pPr>
        <w:pStyle w:val="Style2"/>
        <w:rPr>
          <w:color w:val="000000" w:themeColor="text1"/>
          <w:lang w:val="en-GB"/>
        </w:rPr>
      </w:pPr>
    </w:p>
    <w:p w:rsidR="00EC2FF4" w:rsidRDefault="00EC2FF4" w:rsidP="00FD2136">
      <w:pPr>
        <w:pStyle w:val="Style2"/>
        <w:rPr>
          <w:color w:val="000000" w:themeColor="text1"/>
          <w:lang w:val="en-GB"/>
        </w:rPr>
      </w:pPr>
      <w:r>
        <w:rPr>
          <w:color w:val="000000" w:themeColor="text1"/>
          <w:lang w:val="en-GB"/>
        </w:rPr>
        <w:t xml:space="preserve">It could also be interesting for further study to recruit more male participants, as the present study received a majority female response meaning there may be gender bias (Praveen, 2015). However, this was likely due to the limitation of the convenience sample adopted as previously discussed. </w:t>
      </w:r>
    </w:p>
    <w:p w:rsidR="00FD2136" w:rsidRDefault="00FD2136" w:rsidP="00FD2136">
      <w:pPr>
        <w:pStyle w:val="Style2"/>
        <w:rPr>
          <w:lang w:val="en-GB"/>
        </w:rPr>
      </w:pPr>
    </w:p>
    <w:p w:rsidR="00FD2136" w:rsidRDefault="00FD2136" w:rsidP="00FD2136">
      <w:pPr>
        <w:pStyle w:val="Style2"/>
        <w:rPr>
          <w:lang w:val="en-GB"/>
        </w:rPr>
      </w:pPr>
      <w:r>
        <w:rPr>
          <w:lang w:val="en-GB"/>
        </w:rPr>
        <w:t>5.</w:t>
      </w:r>
      <w:r w:rsidR="0015595B">
        <w:rPr>
          <w:lang w:val="en-GB"/>
        </w:rPr>
        <w:t>8</w:t>
      </w:r>
      <w:r>
        <w:rPr>
          <w:lang w:val="en-GB"/>
        </w:rPr>
        <w:t xml:space="preserve"> </w:t>
      </w:r>
      <w:r w:rsidR="0015595B">
        <w:rPr>
          <w:lang w:val="en-GB"/>
        </w:rPr>
        <w:t>Self Reflection</w:t>
      </w:r>
    </w:p>
    <w:p w:rsidR="0015595B" w:rsidRDefault="0015595B" w:rsidP="00FD2136">
      <w:pPr>
        <w:pStyle w:val="Style2"/>
        <w:rPr>
          <w:lang w:val="en-GB"/>
        </w:rPr>
      </w:pPr>
    </w:p>
    <w:p w:rsidR="0015595B" w:rsidRDefault="00EC2FF4" w:rsidP="0015595B">
      <w:pPr>
        <w:rPr>
          <w:lang w:val="en-GB"/>
        </w:rPr>
      </w:pPr>
      <w:r>
        <w:rPr>
          <w:lang w:val="en-GB"/>
        </w:rPr>
        <w:t xml:space="preserve">The researcher aimed to investigate the customer service concept ‘the customer is always right’, with focus on the perception of workers. The researcher was interested in investigating this further as there is mass research into the concept in regard to the customer perspective and in regard to providing customer service, yet a lack of literature interested in the concept from the alternative perspective of managers, </w:t>
      </w:r>
      <w:r>
        <w:rPr>
          <w:lang w:val="en-GB"/>
        </w:rPr>
        <w:lastRenderedPageBreak/>
        <w:t>employers or employees. The study has been successful in meeting the objectives outlined at the beginning and end of each chapter.</w:t>
      </w:r>
      <w:r w:rsidR="00C4606E">
        <w:rPr>
          <w:lang w:val="en-GB"/>
        </w:rPr>
        <w:t xml:space="preserve"> </w:t>
      </w:r>
    </w:p>
    <w:p w:rsidR="00C4606E" w:rsidRDefault="00C4606E" w:rsidP="0015595B">
      <w:pPr>
        <w:rPr>
          <w:lang w:val="en-GB"/>
        </w:rPr>
      </w:pPr>
    </w:p>
    <w:p w:rsidR="009C56C4" w:rsidRDefault="00C4606E" w:rsidP="0015595B">
      <w:pPr>
        <w:rPr>
          <w:lang w:val="en-GB"/>
        </w:rPr>
      </w:pPr>
      <w:r>
        <w:rPr>
          <w:lang w:val="en-GB"/>
        </w:rPr>
        <w:t xml:space="preserve">The researcher has developed skills using SPSS and has demonstrated ability to work and learn independently. </w:t>
      </w:r>
      <w:r w:rsidR="00EA6F31">
        <w:rPr>
          <w:lang w:val="en-GB"/>
        </w:rPr>
        <w:t xml:space="preserve">The researcher has also developed the skill of using WordPress where the dissertation has been shared (accessible at: </w:t>
      </w:r>
      <w:r w:rsidR="00EA6F31" w:rsidRPr="00EA6F31">
        <w:rPr>
          <w:lang w:val="en-GB"/>
        </w:rPr>
        <w:t>marshatthomas.wordpress.com</w:t>
      </w:r>
      <w:r w:rsidR="00EA6F31">
        <w:rPr>
          <w:lang w:val="en-GB"/>
        </w:rPr>
        <w:t xml:space="preserve">). </w:t>
      </w:r>
      <w:bookmarkStart w:id="0" w:name="_GoBack"/>
      <w:bookmarkEnd w:id="0"/>
      <w:r w:rsidR="009C56C4">
        <w:rPr>
          <w:lang w:val="en-GB"/>
        </w:rPr>
        <w:t>It has been challenging at times due to restrictions and limitations of COVID-19 and the inability to attend face to face interaction with lecturers. Interruptions to the proposed data collection were difficult as it limited the study. However, the researcher has successfully achieved the objectives.</w:t>
      </w:r>
    </w:p>
    <w:p w:rsidR="009C56C4" w:rsidRDefault="009C56C4" w:rsidP="0015595B">
      <w:pPr>
        <w:rPr>
          <w:lang w:val="en-GB"/>
        </w:rPr>
      </w:pPr>
    </w:p>
    <w:p w:rsidR="00C4606E" w:rsidRPr="0015595B" w:rsidRDefault="009C56C4" w:rsidP="0015595B">
      <w:pPr>
        <w:rPr>
          <w:lang w:val="en-GB"/>
        </w:rPr>
      </w:pPr>
      <w:r>
        <w:rPr>
          <w:lang w:val="en-GB"/>
        </w:rPr>
        <w:t xml:space="preserve">The researcher feels hopeful for the study that with increased awareness brought to the impact negative customer interaction can have on the worker, that the implications and recommendations discussed can contribute to improving the employment experience for those working in customer service or customer-facing roles.   </w:t>
      </w:r>
    </w:p>
    <w:p w:rsidR="0015595B" w:rsidRDefault="0015595B" w:rsidP="00FD2136">
      <w:pPr>
        <w:pStyle w:val="Style2"/>
        <w:rPr>
          <w:lang w:val="en-GB"/>
        </w:rPr>
      </w:pPr>
    </w:p>
    <w:p w:rsidR="0015595B" w:rsidRDefault="0015595B" w:rsidP="00FD2136">
      <w:pPr>
        <w:pStyle w:val="Style2"/>
        <w:rPr>
          <w:lang w:val="en-GB"/>
        </w:rPr>
      </w:pPr>
      <w:r>
        <w:rPr>
          <w:lang w:val="en-GB"/>
        </w:rPr>
        <w:t>5.9 Conclusion</w:t>
      </w:r>
    </w:p>
    <w:p w:rsidR="00FD2136" w:rsidRDefault="00FD2136">
      <w:pPr>
        <w:rPr>
          <w:lang w:val="en-GB"/>
        </w:rPr>
      </w:pPr>
    </w:p>
    <w:p w:rsidR="00FD2136" w:rsidRDefault="009C56C4">
      <w:pPr>
        <w:rPr>
          <w:lang w:val="en-GB"/>
        </w:rPr>
      </w:pPr>
      <w:r>
        <w:rPr>
          <w:lang w:val="en-GB"/>
        </w:rPr>
        <w:t xml:space="preserve">This chapter </w:t>
      </w:r>
      <w:r w:rsidR="00946908">
        <w:rPr>
          <w:lang w:val="en-GB"/>
        </w:rPr>
        <w:t xml:space="preserve">has </w:t>
      </w:r>
      <w:r>
        <w:rPr>
          <w:lang w:val="en-GB"/>
        </w:rPr>
        <w:t>achieved the final objectives of study:</w:t>
      </w:r>
    </w:p>
    <w:p w:rsidR="009C56C4" w:rsidRDefault="009C56C4">
      <w:pPr>
        <w:rPr>
          <w:lang w:val="en-GB"/>
        </w:rPr>
      </w:pPr>
    </w:p>
    <w:p w:rsidR="009C56C4" w:rsidRPr="009C56C4" w:rsidRDefault="009C56C4" w:rsidP="009C56C4">
      <w:pPr>
        <w:numPr>
          <w:ilvl w:val="0"/>
          <w:numId w:val="3"/>
        </w:numPr>
        <w:contextualSpacing/>
        <w:rPr>
          <w:rFonts w:eastAsia="Times New Roman"/>
          <w:i/>
          <w:lang w:val="en-GB"/>
        </w:rPr>
      </w:pPr>
      <w:r w:rsidRPr="009C56C4">
        <w:rPr>
          <w:rFonts w:eastAsia="Times New Roman"/>
          <w:i/>
          <w:lang w:val="en-GB"/>
        </w:rPr>
        <w:t xml:space="preserve">To understand the findings of the research, making recommendations for future research in the topic or for the use of the respondents moving forward when taking consideration to adopt the phrase ‘the customer is always right’. </w:t>
      </w:r>
    </w:p>
    <w:p w:rsidR="009C56C4" w:rsidRPr="009C56C4" w:rsidRDefault="009C56C4" w:rsidP="009C56C4">
      <w:pPr>
        <w:ind w:left="720"/>
        <w:contextualSpacing/>
        <w:rPr>
          <w:rFonts w:eastAsia="Times New Roman"/>
          <w:i/>
          <w:lang w:val="en-GB"/>
        </w:rPr>
      </w:pPr>
    </w:p>
    <w:p w:rsidR="009C56C4" w:rsidRPr="009C56C4" w:rsidRDefault="009C56C4" w:rsidP="009C56C4">
      <w:pPr>
        <w:numPr>
          <w:ilvl w:val="0"/>
          <w:numId w:val="3"/>
        </w:numPr>
        <w:contextualSpacing/>
        <w:rPr>
          <w:rFonts w:eastAsia="Times New Roman"/>
          <w:i/>
          <w:lang w:val="en-GB"/>
        </w:rPr>
      </w:pPr>
      <w:r w:rsidRPr="009C56C4">
        <w:rPr>
          <w:rFonts w:eastAsia="Times New Roman"/>
          <w:i/>
          <w:lang w:val="en-GB"/>
        </w:rPr>
        <w:t>To highlight potential avenues for further study, providing knowledge of limitations to the present study.</w:t>
      </w:r>
    </w:p>
    <w:p w:rsidR="009C56C4" w:rsidRDefault="009C56C4">
      <w:pPr>
        <w:rPr>
          <w:lang w:val="en-GB"/>
        </w:rPr>
      </w:pPr>
    </w:p>
    <w:p w:rsidR="00946908" w:rsidRDefault="00946908">
      <w:pPr>
        <w:rPr>
          <w:lang w:val="en-GB"/>
        </w:rPr>
      </w:pPr>
      <w:r>
        <w:rPr>
          <w:lang w:val="en-GB"/>
        </w:rPr>
        <w:t xml:space="preserve">This </w:t>
      </w:r>
      <w:r w:rsidR="00EF72E6">
        <w:rPr>
          <w:lang w:val="en-GB"/>
        </w:rPr>
        <w:t xml:space="preserve">study </w:t>
      </w:r>
      <w:r>
        <w:rPr>
          <w:lang w:val="en-GB"/>
        </w:rPr>
        <w:t>has</w:t>
      </w:r>
      <w:r>
        <w:rPr>
          <w:lang w:val="en-GB"/>
        </w:rPr>
        <w:t xml:space="preserve"> analyse</w:t>
      </w:r>
      <w:r>
        <w:rPr>
          <w:lang w:val="en-GB"/>
        </w:rPr>
        <w:t>d</w:t>
      </w:r>
      <w:r>
        <w:rPr>
          <w:lang w:val="en-GB"/>
        </w:rPr>
        <w:t xml:space="preserve"> and evaluate</w:t>
      </w:r>
      <w:r>
        <w:rPr>
          <w:lang w:val="en-GB"/>
        </w:rPr>
        <w:t>d</w:t>
      </w:r>
      <w:r>
        <w:rPr>
          <w:lang w:val="en-GB"/>
        </w:rPr>
        <w:t xml:space="preserve"> the phrase ‘the customer is always right’ through engagement with employers and managers, employees, and the customer. It </w:t>
      </w:r>
      <w:r>
        <w:rPr>
          <w:lang w:val="en-GB"/>
        </w:rPr>
        <w:t>has used</w:t>
      </w:r>
      <w:r>
        <w:rPr>
          <w:lang w:val="en-GB"/>
        </w:rPr>
        <w:t xml:space="preserve"> surveys as the method of data collection in order to understand the different perspectives. It </w:t>
      </w:r>
      <w:r>
        <w:rPr>
          <w:lang w:val="en-GB"/>
        </w:rPr>
        <w:t>has assessed the</w:t>
      </w:r>
      <w:r>
        <w:rPr>
          <w:lang w:val="en-GB"/>
        </w:rPr>
        <w:t xml:space="preserve"> overall impact of this phrase and explore</w:t>
      </w:r>
      <w:r>
        <w:rPr>
          <w:lang w:val="en-GB"/>
        </w:rPr>
        <w:t>d</w:t>
      </w:r>
      <w:r>
        <w:rPr>
          <w:lang w:val="en-GB"/>
        </w:rPr>
        <w:t xml:space="preserve"> how literally it is expected to be adopted through </w:t>
      </w:r>
      <w:r>
        <w:rPr>
          <w:lang w:val="en-GB"/>
        </w:rPr>
        <w:t>exploring</w:t>
      </w:r>
      <w:r>
        <w:rPr>
          <w:lang w:val="en-GB"/>
        </w:rPr>
        <w:t xml:space="preserve"> expectations of the service provider and the customer</w:t>
      </w:r>
      <w:r>
        <w:rPr>
          <w:lang w:val="en-GB"/>
        </w:rPr>
        <w:t>.</w:t>
      </w:r>
      <w:r w:rsidR="00EF72E6">
        <w:rPr>
          <w:lang w:val="en-GB"/>
        </w:rPr>
        <w:t xml:space="preserve"> The study has successfully met the initial objectives, finding that the manager or employer favoured ease and convenience of eradicating a negative customer experience with less regard to the impact this may have had on the employee first dealt with the complaint or abuse even when they did not agree with the customer. The common theme was that the customer should be treated although they are right even when they are not. The recommendations set out hope to change this or bring attention to the alternative perspective of the </w:t>
      </w:r>
      <w:r w:rsidR="001E2659">
        <w:rPr>
          <w:lang w:val="en-GB"/>
        </w:rPr>
        <w:t>worker. The research has highlighted themes and potential issues to the way customer service has been modelled or is expected and how this could affect employees working within customer service or customer-facing roles.</w:t>
      </w:r>
      <w:r w:rsidR="00EA6F31">
        <w:rPr>
          <w:lang w:val="en-GB"/>
        </w:rPr>
        <w:t xml:space="preserve"> </w:t>
      </w:r>
    </w:p>
    <w:p w:rsidR="00EF72E6" w:rsidRDefault="00EF72E6">
      <w:pPr>
        <w:rPr>
          <w:lang w:val="en-GB"/>
        </w:rPr>
      </w:pPr>
    </w:p>
    <w:p w:rsidR="00EF72E6" w:rsidRDefault="00EF72E6">
      <w:pPr>
        <w:rPr>
          <w:lang w:val="en-GB"/>
        </w:rPr>
      </w:pPr>
    </w:p>
    <w:p w:rsidR="0015595B" w:rsidRDefault="0015595B">
      <w:pPr>
        <w:rPr>
          <w:lang w:val="en-GB"/>
        </w:rPr>
      </w:pPr>
    </w:p>
    <w:p w:rsidR="00FD2136" w:rsidRPr="009C56C4" w:rsidRDefault="005C0B9A">
      <w:pPr>
        <w:rPr>
          <w:b/>
          <w:lang w:val="en-GB"/>
        </w:rPr>
      </w:pPr>
      <w:r w:rsidRPr="009C56C4">
        <w:rPr>
          <w:b/>
          <w:lang w:val="en-GB"/>
        </w:rPr>
        <w:t>References</w:t>
      </w:r>
    </w:p>
    <w:p w:rsidR="005C0B9A" w:rsidRDefault="005C0B9A">
      <w:pPr>
        <w:rPr>
          <w:lang w:val="en-GB"/>
        </w:rPr>
      </w:pPr>
    </w:p>
    <w:p w:rsidR="00341A8C" w:rsidRDefault="00341A8C" w:rsidP="00341A8C">
      <w:proofErr w:type="spellStart"/>
      <w:r w:rsidRPr="00341A8C">
        <w:t>Lukovics</w:t>
      </w:r>
      <w:proofErr w:type="spellEnd"/>
      <w:r w:rsidRPr="00341A8C">
        <w:t xml:space="preserve">, M., </w:t>
      </w:r>
      <w:proofErr w:type="spellStart"/>
      <w:r w:rsidRPr="00341A8C">
        <w:t>Udvari</w:t>
      </w:r>
      <w:proofErr w:type="spellEnd"/>
      <w:r w:rsidRPr="00341A8C">
        <w:t xml:space="preserve">, B., </w:t>
      </w:r>
      <w:proofErr w:type="spellStart"/>
      <w:r w:rsidRPr="00341A8C">
        <w:t>Nádas</w:t>
      </w:r>
      <w:proofErr w:type="spellEnd"/>
      <w:r w:rsidRPr="00341A8C">
        <w:t>, N.</w:t>
      </w:r>
      <w:r w:rsidR="00126A58">
        <w:t xml:space="preserve"> </w:t>
      </w:r>
      <w:r>
        <w:t>and Fisher, E. (2019)</w:t>
      </w:r>
      <w:r w:rsidRPr="00341A8C">
        <w:t> </w:t>
      </w:r>
      <w:r>
        <w:t>‘</w:t>
      </w:r>
      <w:r w:rsidRPr="00341A8C">
        <w:t>Raising Awareness of Researchers-in-the-Making Toward Responsible Research and Innovation</w:t>
      </w:r>
      <w:r>
        <w:t xml:space="preserve">’, </w:t>
      </w:r>
      <w:r w:rsidRPr="00341A8C">
        <w:rPr>
          <w:i/>
          <w:iCs/>
        </w:rPr>
        <w:t>J</w:t>
      </w:r>
      <w:r>
        <w:rPr>
          <w:i/>
          <w:iCs/>
        </w:rPr>
        <w:t xml:space="preserve">ournal </w:t>
      </w:r>
      <w:r>
        <w:rPr>
          <w:i/>
          <w:iCs/>
        </w:rPr>
        <w:lastRenderedPageBreak/>
        <w:t>of the</w:t>
      </w:r>
      <w:r w:rsidRPr="00341A8C">
        <w:rPr>
          <w:i/>
          <w:iCs/>
        </w:rPr>
        <w:t xml:space="preserve"> Knowl</w:t>
      </w:r>
      <w:r>
        <w:rPr>
          <w:i/>
          <w:iCs/>
        </w:rPr>
        <w:t>edge</w:t>
      </w:r>
      <w:r w:rsidRPr="00341A8C">
        <w:rPr>
          <w:i/>
          <w:iCs/>
        </w:rPr>
        <w:t xml:space="preserve"> Econ</w:t>
      </w:r>
      <w:r>
        <w:rPr>
          <w:i/>
          <w:iCs/>
        </w:rPr>
        <w:t>omy,</w:t>
      </w:r>
      <w:r w:rsidRPr="00341A8C">
        <w:t> </w:t>
      </w:r>
      <w:r w:rsidRPr="00341A8C">
        <w:rPr>
          <w:bCs/>
        </w:rPr>
        <w:t>10</w:t>
      </w:r>
      <w:r>
        <w:rPr>
          <w:bCs/>
        </w:rPr>
        <w:t>(1</w:t>
      </w:r>
      <w:r w:rsidRPr="00341A8C">
        <w:rPr>
          <w:bCs/>
        </w:rPr>
        <w:t>), pp.</w:t>
      </w:r>
      <w:r>
        <w:rPr>
          <w:b/>
          <w:bCs/>
        </w:rPr>
        <w:t xml:space="preserve"> </w:t>
      </w:r>
      <w:r w:rsidRPr="00341A8C">
        <w:t>1558</w:t>
      </w:r>
      <w:r>
        <w:t>-</w:t>
      </w:r>
      <w:r w:rsidRPr="00341A8C">
        <w:t>1577</w:t>
      </w:r>
      <w:r>
        <w:t xml:space="preserve">. Available at: </w:t>
      </w:r>
      <w:hyperlink r:id="rId6" w:history="1">
        <w:r w:rsidRPr="00CB0A71">
          <w:rPr>
            <w:rStyle w:val="Hyperlink"/>
          </w:rPr>
          <w:t>https://doi.org/10.1007/s13132-019-00624-1</w:t>
        </w:r>
      </w:hyperlink>
      <w:r>
        <w:t xml:space="preserve"> (Accessed: 27 April 2021). </w:t>
      </w:r>
    </w:p>
    <w:p w:rsidR="00126A58" w:rsidRDefault="00126A58" w:rsidP="00341A8C"/>
    <w:p w:rsidR="00126A58" w:rsidRDefault="00126A58" w:rsidP="00341A8C">
      <w:r>
        <w:t xml:space="preserve">Madan, C.R. and </w:t>
      </w:r>
      <w:proofErr w:type="spellStart"/>
      <w:r>
        <w:t>Teitge</w:t>
      </w:r>
      <w:proofErr w:type="spellEnd"/>
      <w:r>
        <w:t>, B.D. (2013) ‘</w:t>
      </w:r>
      <w:r w:rsidRPr="00126A58">
        <w:t>The Benefits of Undergraduate Research: The Student's Perspective</w:t>
      </w:r>
      <w:r>
        <w:t xml:space="preserve">’, </w:t>
      </w:r>
      <w:r w:rsidRPr="00126A58">
        <w:rPr>
          <w:i/>
        </w:rPr>
        <w:t>The Mentor: An Academic Advising Journal</w:t>
      </w:r>
      <w:r>
        <w:t xml:space="preserve">, 15. Available at: </w:t>
      </w:r>
      <w:hyperlink r:id="rId7" w:history="1">
        <w:r w:rsidRPr="00CB0A71">
          <w:rPr>
            <w:rStyle w:val="Hyperlink"/>
          </w:rPr>
          <w:t>https://doi.org/10.26209/mj1561274</w:t>
        </w:r>
      </w:hyperlink>
      <w:r>
        <w:t xml:space="preserve"> (Accessed: 27 April 2021). </w:t>
      </w:r>
    </w:p>
    <w:p w:rsidR="00B74E38" w:rsidRDefault="00B74E38" w:rsidP="00341A8C"/>
    <w:p w:rsidR="00B74E38" w:rsidRDefault="00B74E38" w:rsidP="00341A8C">
      <w:proofErr w:type="spellStart"/>
      <w:r>
        <w:t>Clercq</w:t>
      </w:r>
      <w:proofErr w:type="spellEnd"/>
      <w:r>
        <w:t xml:space="preserve">, D.D., </w:t>
      </w:r>
      <w:proofErr w:type="spellStart"/>
      <w:r>
        <w:t>Haq</w:t>
      </w:r>
      <w:proofErr w:type="spellEnd"/>
      <w:r>
        <w:t>, I.U., Azeem, M.U. and Ahmad, H.N. (2018) ‘</w:t>
      </w:r>
      <w:r w:rsidRPr="00B74E38">
        <w:t xml:space="preserve">The Relationship between Workplace Incivility and Helping </w:t>
      </w:r>
      <w:proofErr w:type="spellStart"/>
      <w:r w:rsidRPr="00B74E38">
        <w:t>Behavior</w:t>
      </w:r>
      <w:proofErr w:type="spellEnd"/>
      <w:r w:rsidRPr="00B74E38">
        <w:t>: Roles of Job Dissatisfaction and Political Skill</w:t>
      </w:r>
      <w:r>
        <w:t xml:space="preserve">’, </w:t>
      </w:r>
      <w:r w:rsidRPr="00B74E38">
        <w:rPr>
          <w:i/>
        </w:rPr>
        <w:t>The Journal of Psychology</w:t>
      </w:r>
      <w:r>
        <w:t xml:space="preserve">, 153(5), pp 507-527. Available at: </w:t>
      </w:r>
      <w:hyperlink r:id="rId8" w:history="1">
        <w:r w:rsidRPr="00CB0A71">
          <w:rPr>
            <w:rStyle w:val="Hyperlink"/>
          </w:rPr>
          <w:t>https://doi.org/10.1080/00223980.2019.1567453</w:t>
        </w:r>
      </w:hyperlink>
      <w:r>
        <w:t xml:space="preserve"> (Accessed: 27 April 2021). </w:t>
      </w:r>
    </w:p>
    <w:p w:rsidR="00903734" w:rsidRDefault="00903734" w:rsidP="00341A8C"/>
    <w:p w:rsidR="00903734" w:rsidRDefault="00903734" w:rsidP="00341A8C">
      <w:r>
        <w:t xml:space="preserve">Cousins, L.E. (2018) </w:t>
      </w:r>
      <w:r w:rsidRPr="00903734">
        <w:rPr>
          <w:i/>
        </w:rPr>
        <w:t>Are there downsides to always trying to be positive?</w:t>
      </w:r>
      <w:r>
        <w:t xml:space="preserve"> Available at: </w:t>
      </w:r>
      <w:hyperlink r:id="rId9" w:history="1">
        <w:r w:rsidRPr="00CB0A71">
          <w:rPr>
            <w:rStyle w:val="Hyperlink"/>
          </w:rPr>
          <w:t>https://www.hcf.com.au/health-agenda/body-mind/mental-health/downsides-to-always-being-positive</w:t>
        </w:r>
      </w:hyperlink>
      <w:r>
        <w:t xml:space="preserve"> (Accessed: 27 April 2021). </w:t>
      </w:r>
    </w:p>
    <w:p w:rsidR="00903734" w:rsidRDefault="00903734" w:rsidP="00341A8C"/>
    <w:p w:rsidR="00903734" w:rsidRPr="00341A8C" w:rsidRDefault="00903734" w:rsidP="00341A8C">
      <w:proofErr w:type="spellStart"/>
      <w:r>
        <w:t>Nadin</w:t>
      </w:r>
      <w:proofErr w:type="spellEnd"/>
      <w:r>
        <w:t xml:space="preserve">, G. (2020) </w:t>
      </w:r>
      <w:r w:rsidRPr="00903734">
        <w:rPr>
          <w:i/>
        </w:rPr>
        <w:t>Employee experience: looking after the mental health of customer-facing employees</w:t>
      </w:r>
      <w:r>
        <w:t xml:space="preserve">. Available at: </w:t>
      </w:r>
      <w:hyperlink r:id="rId10" w:history="1">
        <w:r w:rsidRPr="00CB0A71">
          <w:rPr>
            <w:rStyle w:val="Hyperlink"/>
          </w:rPr>
          <w:t>https://www.hrzone.com/perform/people/employee-experience-looking-after-the-mental-health-of-customer-facing-employees</w:t>
        </w:r>
      </w:hyperlink>
      <w:r>
        <w:t xml:space="preserve"> (Accessed: 27 April 2021). </w:t>
      </w:r>
    </w:p>
    <w:p w:rsidR="005C0B9A" w:rsidRDefault="005C0B9A">
      <w:pPr>
        <w:rPr>
          <w:lang w:val="en-GB"/>
        </w:rPr>
      </w:pPr>
    </w:p>
    <w:p w:rsidR="00903734" w:rsidRDefault="008A673F">
      <w:pPr>
        <w:rPr>
          <w:rFonts w:eastAsiaTheme="majorEastAsia"/>
          <w:color w:val="000000" w:themeColor="text1"/>
          <w:szCs w:val="32"/>
          <w:lang w:val="en-GB"/>
        </w:rPr>
      </w:pPr>
      <w:r>
        <w:rPr>
          <w:rFonts w:eastAsiaTheme="majorEastAsia"/>
          <w:color w:val="000000" w:themeColor="text1"/>
          <w:szCs w:val="32"/>
          <w:lang w:val="en-GB"/>
        </w:rPr>
        <w:t xml:space="preserve">Press Association (2020) </w:t>
      </w:r>
      <w:r w:rsidRPr="008A673F">
        <w:rPr>
          <w:rFonts w:eastAsiaTheme="majorEastAsia"/>
          <w:i/>
          <w:color w:val="000000" w:themeColor="text1"/>
          <w:szCs w:val="32"/>
          <w:lang w:val="en-GB"/>
        </w:rPr>
        <w:t>Viewers praise TV campaign highlighting abuse of customer-facing workers.</w:t>
      </w:r>
      <w:r>
        <w:rPr>
          <w:rFonts w:eastAsiaTheme="majorEastAsia"/>
          <w:color w:val="000000" w:themeColor="text1"/>
          <w:szCs w:val="32"/>
          <w:lang w:val="en-GB"/>
        </w:rPr>
        <w:t xml:space="preserve"> Available at: </w:t>
      </w:r>
      <w:hyperlink r:id="rId11" w:history="1">
        <w:r w:rsidRPr="00CB0A71">
          <w:rPr>
            <w:rStyle w:val="Hyperlink"/>
            <w:rFonts w:eastAsiaTheme="majorEastAsia"/>
            <w:szCs w:val="32"/>
            <w:lang w:val="en-GB"/>
          </w:rPr>
          <w:t>https://www.heraldscotland.com/news/national-news/18801450.viewers-praise-tv-campaign-highlighting-abuse-customer-facing-workers/</w:t>
        </w:r>
      </w:hyperlink>
      <w:r>
        <w:rPr>
          <w:rFonts w:eastAsiaTheme="majorEastAsia"/>
          <w:color w:val="000000" w:themeColor="text1"/>
          <w:szCs w:val="32"/>
          <w:lang w:val="en-GB"/>
        </w:rPr>
        <w:t xml:space="preserve"> (Accessed: 27 April 2021).</w:t>
      </w:r>
    </w:p>
    <w:p w:rsidR="008A673F" w:rsidRDefault="008A673F">
      <w:pPr>
        <w:rPr>
          <w:lang w:val="en-GB"/>
        </w:rPr>
      </w:pPr>
    </w:p>
    <w:p w:rsidR="008A673F" w:rsidRDefault="00E036A3">
      <w:pPr>
        <w:rPr>
          <w:lang w:val="en-GB"/>
        </w:rPr>
      </w:pPr>
      <w:proofErr w:type="spellStart"/>
      <w:r>
        <w:rPr>
          <w:lang w:val="en-GB"/>
        </w:rPr>
        <w:t>Tidey</w:t>
      </w:r>
      <w:proofErr w:type="spellEnd"/>
      <w:r>
        <w:rPr>
          <w:lang w:val="en-GB"/>
        </w:rPr>
        <w:t xml:space="preserve">, S. (2019) </w:t>
      </w:r>
      <w:r w:rsidRPr="00E036A3">
        <w:rPr>
          <w:i/>
          <w:lang w:val="en-GB"/>
        </w:rPr>
        <w:t>Dealing with aggressive customer behaviour</w:t>
      </w:r>
      <w:r>
        <w:rPr>
          <w:lang w:val="en-GB"/>
        </w:rPr>
        <w:t xml:space="preserve">. Available at: </w:t>
      </w:r>
      <w:hyperlink r:id="rId12" w:history="1">
        <w:r w:rsidRPr="00CB0A71">
          <w:rPr>
            <w:rStyle w:val="Hyperlink"/>
            <w:lang w:val="en-GB"/>
          </w:rPr>
          <w:t>https://hrcentral.com.au/blog/dealing-with-aggressive-customer-behaviour/</w:t>
        </w:r>
      </w:hyperlink>
      <w:r>
        <w:rPr>
          <w:lang w:val="en-GB"/>
        </w:rPr>
        <w:t xml:space="preserve"> (Accessed: 27 April 2021). </w:t>
      </w:r>
    </w:p>
    <w:p w:rsidR="00E036A3" w:rsidRDefault="00E036A3">
      <w:pPr>
        <w:rPr>
          <w:lang w:val="en-GB"/>
        </w:rPr>
      </w:pPr>
    </w:p>
    <w:p w:rsidR="00E036A3" w:rsidRDefault="00E036A3">
      <w:pPr>
        <w:rPr>
          <w:lang w:val="en-GB"/>
        </w:rPr>
      </w:pPr>
      <w:r>
        <w:rPr>
          <w:lang w:val="en-GB"/>
        </w:rPr>
        <w:t xml:space="preserve">Hudson, S. and Hudson, L. (2017) </w:t>
      </w:r>
      <w:r w:rsidRPr="00D51A66">
        <w:rPr>
          <w:i/>
          <w:lang w:val="en-GB"/>
        </w:rPr>
        <w:t>Customer service in tourism and hospitality</w:t>
      </w:r>
      <w:r>
        <w:rPr>
          <w:lang w:val="en-GB"/>
        </w:rPr>
        <w:t xml:space="preserve">. </w:t>
      </w:r>
      <w:proofErr w:type="spellStart"/>
      <w:r>
        <w:rPr>
          <w:lang w:val="en-GB"/>
        </w:rPr>
        <w:t>Goodfellow</w:t>
      </w:r>
      <w:proofErr w:type="spellEnd"/>
      <w:r>
        <w:rPr>
          <w:lang w:val="en-GB"/>
        </w:rPr>
        <w:t xml:space="preserve"> Publishers Ltd. </w:t>
      </w:r>
    </w:p>
    <w:p w:rsidR="00D51A66" w:rsidRDefault="00D51A66">
      <w:pPr>
        <w:rPr>
          <w:lang w:val="en-GB"/>
        </w:rPr>
      </w:pPr>
    </w:p>
    <w:p w:rsidR="00D51A66" w:rsidRDefault="00D51A66">
      <w:pPr>
        <w:rPr>
          <w:lang w:val="en-GB"/>
        </w:rPr>
      </w:pPr>
      <w:r>
        <w:rPr>
          <w:lang w:val="en-GB"/>
        </w:rPr>
        <w:t>Reynolds, K.L. and Harris, L.C. (2005) ‘</w:t>
      </w:r>
      <w:r w:rsidRPr="00D51A66">
        <w:rPr>
          <w:lang w:val="en-GB"/>
        </w:rPr>
        <w:t>When service failure is not service failure: an exploration of the forms and motives of “illegitimate” customer complaining</w:t>
      </w:r>
      <w:r>
        <w:rPr>
          <w:lang w:val="en-GB"/>
        </w:rPr>
        <w:t>’,</w:t>
      </w:r>
      <w:r w:rsidRPr="00D51A66">
        <w:rPr>
          <w:i/>
          <w:lang w:val="en-GB"/>
        </w:rPr>
        <w:t xml:space="preserve"> Journal of Services Marketing</w:t>
      </w:r>
      <w:r>
        <w:rPr>
          <w:lang w:val="en-GB"/>
        </w:rPr>
        <w:t xml:space="preserve">, 19(5), pp. 321-335. Available at: </w:t>
      </w:r>
      <w:hyperlink r:id="rId13" w:history="1">
        <w:r w:rsidRPr="00CB0A71">
          <w:rPr>
            <w:rStyle w:val="Hyperlink"/>
            <w:lang w:val="en-GB"/>
          </w:rPr>
          <w:t>https://doi.org/10.1108/08876040510609934</w:t>
        </w:r>
      </w:hyperlink>
      <w:r>
        <w:rPr>
          <w:lang w:val="en-GB"/>
        </w:rPr>
        <w:t xml:space="preserve"> (Accessed: 27 August 2021). </w:t>
      </w:r>
    </w:p>
    <w:p w:rsidR="00D51A66" w:rsidRDefault="00D51A66">
      <w:pPr>
        <w:rPr>
          <w:lang w:val="en-GB"/>
        </w:rPr>
      </w:pPr>
    </w:p>
    <w:p w:rsidR="00D51A66" w:rsidRDefault="00D51A66">
      <w:pPr>
        <w:rPr>
          <w:lang w:val="en-GB"/>
        </w:rPr>
      </w:pPr>
      <w:r>
        <w:rPr>
          <w:lang w:val="en-GB"/>
        </w:rPr>
        <w:t>Huang, Z., Zhao, C. Miao, L. and Fu, X. (2014) ‘</w:t>
      </w:r>
      <w:r w:rsidRPr="00D51A66">
        <w:rPr>
          <w:lang w:val="en-GB"/>
        </w:rPr>
        <w:t>Triggers and inhibitors of illegitimate customer complaining beh</w:t>
      </w:r>
      <w:r>
        <w:rPr>
          <w:lang w:val="en-GB"/>
        </w:rPr>
        <w:t>aviour</w:t>
      </w:r>
      <w:r w:rsidRPr="00D51A66">
        <w:rPr>
          <w:lang w:val="en-GB"/>
        </w:rPr>
        <w:t>: Anecdotes from frontline employees in the hospitality industry</w:t>
      </w:r>
      <w:r>
        <w:rPr>
          <w:lang w:val="en-GB"/>
        </w:rPr>
        <w:t xml:space="preserve">’, </w:t>
      </w:r>
      <w:r w:rsidRPr="00D51A66">
        <w:rPr>
          <w:i/>
          <w:lang w:val="en-GB"/>
        </w:rPr>
        <w:t>International Journal of Contemporary Hospitality Management</w:t>
      </w:r>
      <w:r>
        <w:rPr>
          <w:lang w:val="en-GB"/>
        </w:rPr>
        <w:t xml:space="preserve">, 26(4), pp. 544-571. Available at: </w:t>
      </w:r>
      <w:hyperlink r:id="rId14" w:history="1">
        <w:r w:rsidRPr="00CB0A71">
          <w:rPr>
            <w:rStyle w:val="Hyperlink"/>
            <w:lang w:val="en-GB"/>
          </w:rPr>
          <w:t>https://doi.org/10.1108/IJCHM-11-2012-0209</w:t>
        </w:r>
      </w:hyperlink>
      <w:r>
        <w:rPr>
          <w:lang w:val="en-GB"/>
        </w:rPr>
        <w:t xml:space="preserve"> (Accessed: 27 April 2021). </w:t>
      </w:r>
    </w:p>
    <w:p w:rsidR="00D51A66" w:rsidRDefault="00D51A66">
      <w:pPr>
        <w:rPr>
          <w:lang w:val="en-GB"/>
        </w:rPr>
      </w:pPr>
    </w:p>
    <w:p w:rsidR="00D51A66" w:rsidRDefault="00D51A66">
      <w:pPr>
        <w:rPr>
          <w:lang w:val="en-GB"/>
        </w:rPr>
      </w:pPr>
      <w:r>
        <w:rPr>
          <w:lang w:val="en-GB"/>
        </w:rPr>
        <w:t>Arora, S.D. and Chakraborty, A. (2021) ‘</w:t>
      </w:r>
      <w:r w:rsidRPr="00D51A66">
        <w:rPr>
          <w:lang w:val="en-GB"/>
        </w:rPr>
        <w:t xml:space="preserve">Intellectual structure of consumer complaining </w:t>
      </w:r>
      <w:proofErr w:type="spellStart"/>
      <w:r w:rsidRPr="00D51A66">
        <w:rPr>
          <w:lang w:val="en-GB"/>
        </w:rPr>
        <w:t>behavior</w:t>
      </w:r>
      <w:proofErr w:type="spellEnd"/>
      <w:r w:rsidRPr="00D51A66">
        <w:rPr>
          <w:lang w:val="en-GB"/>
        </w:rPr>
        <w:t xml:space="preserve"> (CCB) research: A bibliometric analysis</w:t>
      </w:r>
      <w:r>
        <w:rPr>
          <w:lang w:val="en-GB"/>
        </w:rPr>
        <w:t xml:space="preserve">’, </w:t>
      </w:r>
      <w:r w:rsidRPr="00D51A66">
        <w:rPr>
          <w:i/>
          <w:lang w:val="en-GB"/>
        </w:rPr>
        <w:t>Journal of Business Research</w:t>
      </w:r>
      <w:r>
        <w:rPr>
          <w:lang w:val="en-GB"/>
        </w:rPr>
        <w:t xml:space="preserve">, 122, pp. 60-74. Available at: </w:t>
      </w:r>
      <w:hyperlink r:id="rId15" w:history="1">
        <w:r w:rsidRPr="00CB0A71">
          <w:rPr>
            <w:rStyle w:val="Hyperlink"/>
            <w:lang w:val="en-GB"/>
          </w:rPr>
          <w:t>https://doi.org/10.1016/j.jbusres.2020.08.043</w:t>
        </w:r>
      </w:hyperlink>
      <w:r>
        <w:rPr>
          <w:lang w:val="en-GB"/>
        </w:rPr>
        <w:t xml:space="preserve"> (Accessed: 27 April 2021). </w:t>
      </w:r>
    </w:p>
    <w:p w:rsidR="00D51A66" w:rsidRDefault="00D51A66">
      <w:pPr>
        <w:rPr>
          <w:lang w:val="en-GB"/>
        </w:rPr>
      </w:pPr>
    </w:p>
    <w:p w:rsidR="00D51A66" w:rsidRDefault="00700979">
      <w:pPr>
        <w:rPr>
          <w:lang w:val="en-GB"/>
        </w:rPr>
      </w:pPr>
      <w:r>
        <w:rPr>
          <w:lang w:val="en-GB"/>
        </w:rPr>
        <w:lastRenderedPageBreak/>
        <w:t xml:space="preserve">Ross, P.T. and Zaidi, N.L.B. (2019) ‘Limited by our limitations’, </w:t>
      </w:r>
      <w:proofErr w:type="spellStart"/>
      <w:r w:rsidRPr="00700979">
        <w:rPr>
          <w:i/>
          <w:lang w:val="en-GB"/>
        </w:rPr>
        <w:t>Perspect</w:t>
      </w:r>
      <w:proofErr w:type="spellEnd"/>
      <w:r w:rsidRPr="00700979">
        <w:rPr>
          <w:i/>
          <w:lang w:val="en-GB"/>
        </w:rPr>
        <w:t xml:space="preserve"> Medical Education</w:t>
      </w:r>
      <w:r>
        <w:rPr>
          <w:lang w:val="en-GB"/>
        </w:rPr>
        <w:t xml:space="preserve">, 8(4), pp. 261-264. Available at: DOI: </w:t>
      </w:r>
      <w:r w:rsidRPr="00700979">
        <w:rPr>
          <w:lang w:val="en-GB"/>
        </w:rPr>
        <w:t>10.1007/s40037-019-00530-x</w:t>
      </w:r>
      <w:r>
        <w:rPr>
          <w:lang w:val="en-GB"/>
        </w:rPr>
        <w:t xml:space="preserve"> (Accessed: 27 April 2021). </w:t>
      </w:r>
    </w:p>
    <w:p w:rsidR="00700979" w:rsidRDefault="00700979">
      <w:pPr>
        <w:rPr>
          <w:lang w:val="en-GB"/>
        </w:rPr>
      </w:pPr>
    </w:p>
    <w:p w:rsidR="00700979" w:rsidRDefault="000E5831">
      <w:pPr>
        <w:rPr>
          <w:lang w:val="en-GB"/>
        </w:rPr>
      </w:pPr>
      <w:r>
        <w:rPr>
          <w:lang w:val="en-GB"/>
        </w:rPr>
        <w:t xml:space="preserve">Sen-Crowe, B., McKenney, M. and </w:t>
      </w:r>
      <w:proofErr w:type="spellStart"/>
      <w:r>
        <w:rPr>
          <w:lang w:val="en-GB"/>
        </w:rPr>
        <w:t>Elkbuli</w:t>
      </w:r>
      <w:proofErr w:type="spellEnd"/>
      <w:r>
        <w:rPr>
          <w:lang w:val="en-GB"/>
        </w:rPr>
        <w:t xml:space="preserve">, A. (2020) ‘Social distancing during the COVID-19 pandemic: Staying home save lives’, </w:t>
      </w:r>
      <w:r w:rsidRPr="000E5831">
        <w:rPr>
          <w:i/>
          <w:lang w:val="en-GB"/>
        </w:rPr>
        <w:t>Elsevier Public Health Emergency Collection</w:t>
      </w:r>
      <w:r>
        <w:rPr>
          <w:lang w:val="en-GB"/>
        </w:rPr>
        <w:t>, 38(7), pp. 1519-1520. Available at: DOI</w:t>
      </w:r>
      <w:r w:rsidRPr="000E5831">
        <w:rPr>
          <w:lang w:val="en-GB"/>
        </w:rPr>
        <w:t>: 10.1016/j.ajem.2020.03.063</w:t>
      </w:r>
      <w:r>
        <w:rPr>
          <w:lang w:val="en-GB"/>
        </w:rPr>
        <w:t xml:space="preserve"> (Accessed: 27 April 2021).</w:t>
      </w:r>
    </w:p>
    <w:p w:rsidR="000E5831" w:rsidRDefault="000E5831">
      <w:pPr>
        <w:rPr>
          <w:lang w:val="en-GB"/>
        </w:rPr>
      </w:pPr>
    </w:p>
    <w:p w:rsidR="000E5831" w:rsidRDefault="000E5831">
      <w:pPr>
        <w:rPr>
          <w:lang w:val="en-GB"/>
        </w:rPr>
      </w:pPr>
      <w:proofErr w:type="spellStart"/>
      <w:r>
        <w:rPr>
          <w:lang w:val="en-GB"/>
        </w:rPr>
        <w:t>Etikan</w:t>
      </w:r>
      <w:proofErr w:type="spellEnd"/>
      <w:r>
        <w:rPr>
          <w:lang w:val="en-GB"/>
        </w:rPr>
        <w:t xml:space="preserve">, I., Musa, S.A. and </w:t>
      </w:r>
      <w:proofErr w:type="spellStart"/>
      <w:r>
        <w:rPr>
          <w:lang w:val="en-GB"/>
        </w:rPr>
        <w:t>Alkassim</w:t>
      </w:r>
      <w:proofErr w:type="spellEnd"/>
      <w:r>
        <w:rPr>
          <w:lang w:val="en-GB"/>
        </w:rPr>
        <w:t xml:space="preserve">, R.S. (2015) ‘Comparing of Convenience Sampling and Purposive Sampling’, </w:t>
      </w:r>
      <w:r w:rsidRPr="000E5831">
        <w:rPr>
          <w:i/>
          <w:lang w:val="en-GB"/>
        </w:rPr>
        <w:t xml:space="preserve">American Journal of Theoretical and Applied Statistics, </w:t>
      </w:r>
      <w:r>
        <w:rPr>
          <w:lang w:val="en-GB"/>
        </w:rPr>
        <w:t xml:space="preserve">5(1), pp. 1-4. Available at: </w:t>
      </w:r>
      <w:proofErr w:type="spellStart"/>
      <w:r w:rsidRPr="000E5831">
        <w:rPr>
          <w:lang w:val="en-GB"/>
        </w:rPr>
        <w:t>doi</w:t>
      </w:r>
      <w:proofErr w:type="spellEnd"/>
      <w:r w:rsidRPr="000E5831">
        <w:rPr>
          <w:lang w:val="en-GB"/>
        </w:rPr>
        <w:t>: 10.11648/j.ajtas.20160501.11</w:t>
      </w:r>
      <w:r>
        <w:rPr>
          <w:lang w:val="en-GB"/>
        </w:rPr>
        <w:t xml:space="preserve"> (Accessed: 27 April 2021).</w:t>
      </w:r>
    </w:p>
    <w:p w:rsidR="000E5831" w:rsidRDefault="000E5831">
      <w:pPr>
        <w:rPr>
          <w:lang w:val="en-GB"/>
        </w:rPr>
      </w:pPr>
    </w:p>
    <w:p w:rsidR="000E5831" w:rsidRPr="00FD2136" w:rsidRDefault="00EC2FF4">
      <w:pPr>
        <w:rPr>
          <w:lang w:val="en-GB"/>
        </w:rPr>
      </w:pPr>
      <w:r>
        <w:rPr>
          <w:lang w:val="en-GB"/>
        </w:rPr>
        <w:t xml:space="preserve">Praveen, A. (2015) </w:t>
      </w:r>
      <w:r w:rsidRPr="00EC2FF4">
        <w:rPr>
          <w:i/>
          <w:lang w:val="en-GB"/>
        </w:rPr>
        <w:t>How can I correct gender bias in my samples?</w:t>
      </w:r>
      <w:r>
        <w:rPr>
          <w:lang w:val="en-GB"/>
        </w:rPr>
        <w:t xml:space="preserve"> Available at: </w:t>
      </w:r>
      <w:hyperlink r:id="rId16" w:history="1">
        <w:r w:rsidRPr="00D51CCE">
          <w:rPr>
            <w:rStyle w:val="Hyperlink"/>
            <w:lang w:val="en-GB"/>
          </w:rPr>
          <w:t>https://www.researchgate.net/post/How_can_I_correct_for_gender_bias_in_my_samples</w:t>
        </w:r>
      </w:hyperlink>
      <w:r>
        <w:rPr>
          <w:lang w:val="en-GB"/>
        </w:rPr>
        <w:t xml:space="preserve"> (Accessed: 28 April 2021).</w:t>
      </w:r>
    </w:p>
    <w:sectPr w:rsidR="000E5831" w:rsidRPr="00FD2136" w:rsidSect="007B020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D3609B0"/>
    <w:multiLevelType w:val="hybridMultilevel"/>
    <w:tmpl w:val="770A5EB4"/>
    <w:lvl w:ilvl="0" w:tplc="0409000F">
      <w:start w:val="5"/>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0302201"/>
    <w:multiLevelType w:val="hybridMultilevel"/>
    <w:tmpl w:val="770A5EB4"/>
    <w:lvl w:ilvl="0" w:tplc="0409000F">
      <w:start w:val="5"/>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0CE58D6"/>
    <w:multiLevelType w:val="hybridMultilevel"/>
    <w:tmpl w:val="337683E8"/>
    <w:lvl w:ilvl="0" w:tplc="CF28C954">
      <w:start w:val="1"/>
      <w:numFmt w:val="decimal"/>
      <w:lvlText w:val="%1."/>
      <w:lvlJc w:val="left"/>
      <w:pPr>
        <w:ind w:left="720" w:hanging="360"/>
      </w:pPr>
      <w:rPr>
        <w:rFonts w:ascii="Arial" w:eastAsia="Times New Roman" w:hAnsi="Arial" w:cs="Arial"/>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2136"/>
    <w:rsid w:val="00047B75"/>
    <w:rsid w:val="000E5831"/>
    <w:rsid w:val="00126A58"/>
    <w:rsid w:val="0015595B"/>
    <w:rsid w:val="001E2659"/>
    <w:rsid w:val="002D4B86"/>
    <w:rsid w:val="00341A8C"/>
    <w:rsid w:val="00436EB7"/>
    <w:rsid w:val="005572C8"/>
    <w:rsid w:val="005C0B9A"/>
    <w:rsid w:val="006C07D0"/>
    <w:rsid w:val="00700979"/>
    <w:rsid w:val="007B0201"/>
    <w:rsid w:val="007F3F3B"/>
    <w:rsid w:val="00867A29"/>
    <w:rsid w:val="008A673F"/>
    <w:rsid w:val="00903734"/>
    <w:rsid w:val="00933329"/>
    <w:rsid w:val="00946908"/>
    <w:rsid w:val="009C56C4"/>
    <w:rsid w:val="00B74E38"/>
    <w:rsid w:val="00BD32C6"/>
    <w:rsid w:val="00C4606E"/>
    <w:rsid w:val="00D461CC"/>
    <w:rsid w:val="00D51A66"/>
    <w:rsid w:val="00DA456B"/>
    <w:rsid w:val="00E036A3"/>
    <w:rsid w:val="00EA6F31"/>
    <w:rsid w:val="00EC2FF4"/>
    <w:rsid w:val="00EF1C62"/>
    <w:rsid w:val="00EF72E6"/>
    <w:rsid w:val="00FD2136"/>
  </w:rsids>
  <m:mathPr>
    <m:mathFont m:val="Cambria Math"/>
    <m:brkBin m:val="before"/>
    <m:brkBinSub m:val="--"/>
    <m:smallFrac m:val="0"/>
    <m:dispDef/>
    <m:lMargin m:val="0"/>
    <m:rMargin m:val="0"/>
    <m:defJc m:val="centerGroup"/>
    <m:wrapIndent m:val="1440"/>
    <m:intLim m:val="subSup"/>
    <m:naryLim m:val="undOvr"/>
  </m:mathPr>
  <w:themeFontLang w:val="en-029"/>
  <w:clrSchemeMapping w:bg1="light1" w:t1="dark1" w:bg2="light2" w:t2="dark2" w:accent1="accent1" w:accent2="accent2" w:accent3="accent3" w:accent4="accent4" w:accent5="accent5" w:accent6="accent6" w:hyperlink="hyperlink" w:followedHyperlink="followedHyperlink"/>
  <w:decimalSymbol w:val="."/>
  <w:listSeparator w:val=","/>
  <w14:docId w14:val="37C08772"/>
  <w15:chartTrackingRefBased/>
  <w15:docId w15:val="{CF4F582D-F582-EC45-BBCC-88A7CDDEA2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Arial"/>
        <w:sz w:val="24"/>
        <w:szCs w:val="24"/>
        <w:lang w:val="en-029"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F1C62"/>
    <w:pPr>
      <w:keepNext/>
      <w:keepLines/>
      <w:spacing w:before="240"/>
      <w:outlineLvl w:val="0"/>
    </w:pPr>
    <w:rPr>
      <w:rFonts w:ascii="Helvetica" w:eastAsiaTheme="majorEastAsia" w:hAnsi="Helvetica" w:cstheme="majorBidi"/>
      <w:b/>
      <w:color w:val="000000" w:themeColor="text1"/>
      <w:szCs w:val="32"/>
    </w:rPr>
  </w:style>
  <w:style w:type="paragraph" w:styleId="Heading2">
    <w:name w:val="heading 2"/>
    <w:basedOn w:val="Normal"/>
    <w:next w:val="Normal"/>
    <w:link w:val="Heading2Char"/>
    <w:uiPriority w:val="9"/>
    <w:unhideWhenUsed/>
    <w:qFormat/>
    <w:rsid w:val="00FD2136"/>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D2136"/>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FD2136"/>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FD2136"/>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1"/>
    <w:basedOn w:val="Heading1"/>
    <w:autoRedefine/>
    <w:qFormat/>
    <w:rsid w:val="00EF1C62"/>
    <w:rPr>
      <w:b w:val="0"/>
    </w:rPr>
  </w:style>
  <w:style w:type="character" w:customStyle="1" w:styleId="Heading1Char">
    <w:name w:val="Heading 1 Char"/>
    <w:basedOn w:val="DefaultParagraphFont"/>
    <w:link w:val="Heading1"/>
    <w:uiPriority w:val="9"/>
    <w:rsid w:val="00EF1C62"/>
    <w:rPr>
      <w:rFonts w:ascii="Helvetica" w:eastAsiaTheme="majorEastAsia" w:hAnsi="Helvetica" w:cstheme="majorBidi"/>
      <w:b/>
      <w:color w:val="000000" w:themeColor="text1"/>
      <w:szCs w:val="32"/>
    </w:rPr>
  </w:style>
  <w:style w:type="paragraph" w:styleId="ListParagraph">
    <w:name w:val="List Paragraph"/>
    <w:basedOn w:val="Normal"/>
    <w:uiPriority w:val="34"/>
    <w:qFormat/>
    <w:rsid w:val="00FD2136"/>
    <w:pPr>
      <w:ind w:left="720"/>
      <w:contextualSpacing/>
    </w:pPr>
    <w:rPr>
      <w:rFonts w:ascii="Times New Roman" w:eastAsia="Times New Roman" w:hAnsi="Times New Roman" w:cs="Times New Roman"/>
    </w:rPr>
  </w:style>
  <w:style w:type="character" w:customStyle="1" w:styleId="Heading2Char">
    <w:name w:val="Heading 2 Char"/>
    <w:basedOn w:val="DefaultParagraphFont"/>
    <w:link w:val="Heading2"/>
    <w:uiPriority w:val="9"/>
    <w:rsid w:val="00FD213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D2136"/>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FD2136"/>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FD2136"/>
    <w:rPr>
      <w:rFonts w:asciiTheme="majorHAnsi" w:eastAsiaTheme="majorEastAsia" w:hAnsiTheme="majorHAnsi" w:cstheme="majorBidi"/>
      <w:color w:val="2F5496" w:themeColor="accent1" w:themeShade="BF"/>
    </w:rPr>
  </w:style>
  <w:style w:type="paragraph" w:customStyle="1" w:styleId="Style2">
    <w:name w:val="Style2"/>
    <w:basedOn w:val="Heading2"/>
    <w:qFormat/>
    <w:rsid w:val="00FD2136"/>
    <w:rPr>
      <w:rFonts w:ascii="Arial" w:hAnsi="Arial"/>
      <w:sz w:val="24"/>
    </w:rPr>
  </w:style>
  <w:style w:type="character" w:styleId="Hyperlink">
    <w:name w:val="Hyperlink"/>
    <w:basedOn w:val="DefaultParagraphFont"/>
    <w:uiPriority w:val="99"/>
    <w:unhideWhenUsed/>
    <w:rsid w:val="00341A8C"/>
    <w:rPr>
      <w:color w:val="0563C1" w:themeColor="hyperlink"/>
      <w:u w:val="single"/>
    </w:rPr>
  </w:style>
  <w:style w:type="character" w:styleId="UnresolvedMention">
    <w:name w:val="Unresolved Mention"/>
    <w:basedOn w:val="DefaultParagraphFont"/>
    <w:uiPriority w:val="99"/>
    <w:semiHidden/>
    <w:unhideWhenUsed/>
    <w:rsid w:val="00341A8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535721">
      <w:bodyDiv w:val="1"/>
      <w:marLeft w:val="0"/>
      <w:marRight w:val="0"/>
      <w:marTop w:val="0"/>
      <w:marBottom w:val="0"/>
      <w:divBdr>
        <w:top w:val="none" w:sz="0" w:space="0" w:color="auto"/>
        <w:left w:val="none" w:sz="0" w:space="0" w:color="auto"/>
        <w:bottom w:val="none" w:sz="0" w:space="0" w:color="auto"/>
        <w:right w:val="none" w:sz="0" w:space="0" w:color="auto"/>
      </w:divBdr>
    </w:div>
    <w:div w:id="396709590">
      <w:bodyDiv w:val="1"/>
      <w:marLeft w:val="0"/>
      <w:marRight w:val="0"/>
      <w:marTop w:val="0"/>
      <w:marBottom w:val="0"/>
      <w:divBdr>
        <w:top w:val="none" w:sz="0" w:space="0" w:color="auto"/>
        <w:left w:val="none" w:sz="0" w:space="0" w:color="auto"/>
        <w:bottom w:val="none" w:sz="0" w:space="0" w:color="auto"/>
        <w:right w:val="none" w:sz="0" w:space="0" w:color="auto"/>
      </w:divBdr>
    </w:div>
    <w:div w:id="431439169">
      <w:bodyDiv w:val="1"/>
      <w:marLeft w:val="0"/>
      <w:marRight w:val="0"/>
      <w:marTop w:val="0"/>
      <w:marBottom w:val="0"/>
      <w:divBdr>
        <w:top w:val="none" w:sz="0" w:space="0" w:color="auto"/>
        <w:left w:val="none" w:sz="0" w:space="0" w:color="auto"/>
        <w:bottom w:val="none" w:sz="0" w:space="0" w:color="auto"/>
        <w:right w:val="none" w:sz="0" w:space="0" w:color="auto"/>
      </w:divBdr>
    </w:div>
    <w:div w:id="452361943">
      <w:bodyDiv w:val="1"/>
      <w:marLeft w:val="0"/>
      <w:marRight w:val="0"/>
      <w:marTop w:val="0"/>
      <w:marBottom w:val="0"/>
      <w:divBdr>
        <w:top w:val="none" w:sz="0" w:space="0" w:color="auto"/>
        <w:left w:val="none" w:sz="0" w:space="0" w:color="auto"/>
        <w:bottom w:val="none" w:sz="0" w:space="0" w:color="auto"/>
        <w:right w:val="none" w:sz="0" w:space="0" w:color="auto"/>
      </w:divBdr>
    </w:div>
    <w:div w:id="776289702">
      <w:bodyDiv w:val="1"/>
      <w:marLeft w:val="0"/>
      <w:marRight w:val="0"/>
      <w:marTop w:val="0"/>
      <w:marBottom w:val="0"/>
      <w:divBdr>
        <w:top w:val="none" w:sz="0" w:space="0" w:color="auto"/>
        <w:left w:val="none" w:sz="0" w:space="0" w:color="auto"/>
        <w:bottom w:val="none" w:sz="0" w:space="0" w:color="auto"/>
        <w:right w:val="none" w:sz="0" w:space="0" w:color="auto"/>
      </w:divBdr>
      <w:divsChild>
        <w:div w:id="1202594286">
          <w:marLeft w:val="0"/>
          <w:marRight w:val="0"/>
          <w:marTop w:val="0"/>
          <w:marBottom w:val="0"/>
          <w:divBdr>
            <w:top w:val="none" w:sz="0" w:space="0" w:color="auto"/>
            <w:left w:val="none" w:sz="0" w:space="0" w:color="auto"/>
            <w:bottom w:val="none" w:sz="0" w:space="0" w:color="auto"/>
            <w:right w:val="none" w:sz="0" w:space="0" w:color="auto"/>
          </w:divBdr>
          <w:divsChild>
            <w:div w:id="563562486">
              <w:marLeft w:val="0"/>
              <w:marRight w:val="0"/>
              <w:marTop w:val="0"/>
              <w:marBottom w:val="0"/>
              <w:divBdr>
                <w:top w:val="none" w:sz="0" w:space="0" w:color="auto"/>
                <w:left w:val="none" w:sz="0" w:space="0" w:color="auto"/>
                <w:bottom w:val="none" w:sz="0" w:space="0" w:color="auto"/>
                <w:right w:val="none" w:sz="0" w:space="0" w:color="auto"/>
              </w:divBdr>
              <w:divsChild>
                <w:div w:id="2113084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5099210">
      <w:bodyDiv w:val="1"/>
      <w:marLeft w:val="0"/>
      <w:marRight w:val="0"/>
      <w:marTop w:val="0"/>
      <w:marBottom w:val="0"/>
      <w:divBdr>
        <w:top w:val="none" w:sz="0" w:space="0" w:color="auto"/>
        <w:left w:val="none" w:sz="0" w:space="0" w:color="auto"/>
        <w:bottom w:val="none" w:sz="0" w:space="0" w:color="auto"/>
        <w:right w:val="none" w:sz="0" w:space="0" w:color="auto"/>
      </w:divBdr>
    </w:div>
    <w:div w:id="982462661">
      <w:bodyDiv w:val="1"/>
      <w:marLeft w:val="0"/>
      <w:marRight w:val="0"/>
      <w:marTop w:val="0"/>
      <w:marBottom w:val="0"/>
      <w:divBdr>
        <w:top w:val="none" w:sz="0" w:space="0" w:color="auto"/>
        <w:left w:val="none" w:sz="0" w:space="0" w:color="auto"/>
        <w:bottom w:val="none" w:sz="0" w:space="0" w:color="auto"/>
        <w:right w:val="none" w:sz="0" w:space="0" w:color="auto"/>
      </w:divBdr>
    </w:div>
    <w:div w:id="1104958473">
      <w:bodyDiv w:val="1"/>
      <w:marLeft w:val="0"/>
      <w:marRight w:val="0"/>
      <w:marTop w:val="0"/>
      <w:marBottom w:val="0"/>
      <w:divBdr>
        <w:top w:val="none" w:sz="0" w:space="0" w:color="auto"/>
        <w:left w:val="none" w:sz="0" w:space="0" w:color="auto"/>
        <w:bottom w:val="none" w:sz="0" w:space="0" w:color="auto"/>
        <w:right w:val="none" w:sz="0" w:space="0" w:color="auto"/>
      </w:divBdr>
    </w:div>
    <w:div w:id="1201743156">
      <w:bodyDiv w:val="1"/>
      <w:marLeft w:val="0"/>
      <w:marRight w:val="0"/>
      <w:marTop w:val="0"/>
      <w:marBottom w:val="0"/>
      <w:divBdr>
        <w:top w:val="none" w:sz="0" w:space="0" w:color="auto"/>
        <w:left w:val="none" w:sz="0" w:space="0" w:color="auto"/>
        <w:bottom w:val="none" w:sz="0" w:space="0" w:color="auto"/>
        <w:right w:val="none" w:sz="0" w:space="0" w:color="auto"/>
      </w:divBdr>
    </w:div>
    <w:div w:id="1326394353">
      <w:bodyDiv w:val="1"/>
      <w:marLeft w:val="0"/>
      <w:marRight w:val="0"/>
      <w:marTop w:val="0"/>
      <w:marBottom w:val="0"/>
      <w:divBdr>
        <w:top w:val="none" w:sz="0" w:space="0" w:color="auto"/>
        <w:left w:val="none" w:sz="0" w:space="0" w:color="auto"/>
        <w:bottom w:val="none" w:sz="0" w:space="0" w:color="auto"/>
        <w:right w:val="none" w:sz="0" w:space="0" w:color="auto"/>
      </w:divBdr>
    </w:div>
    <w:div w:id="1326854944">
      <w:bodyDiv w:val="1"/>
      <w:marLeft w:val="0"/>
      <w:marRight w:val="0"/>
      <w:marTop w:val="0"/>
      <w:marBottom w:val="0"/>
      <w:divBdr>
        <w:top w:val="none" w:sz="0" w:space="0" w:color="auto"/>
        <w:left w:val="none" w:sz="0" w:space="0" w:color="auto"/>
        <w:bottom w:val="none" w:sz="0" w:space="0" w:color="auto"/>
        <w:right w:val="none" w:sz="0" w:space="0" w:color="auto"/>
      </w:divBdr>
    </w:div>
    <w:div w:id="1428691348">
      <w:bodyDiv w:val="1"/>
      <w:marLeft w:val="0"/>
      <w:marRight w:val="0"/>
      <w:marTop w:val="0"/>
      <w:marBottom w:val="0"/>
      <w:divBdr>
        <w:top w:val="none" w:sz="0" w:space="0" w:color="auto"/>
        <w:left w:val="none" w:sz="0" w:space="0" w:color="auto"/>
        <w:bottom w:val="none" w:sz="0" w:space="0" w:color="auto"/>
        <w:right w:val="none" w:sz="0" w:space="0" w:color="auto"/>
      </w:divBdr>
    </w:div>
    <w:div w:id="1447625357">
      <w:bodyDiv w:val="1"/>
      <w:marLeft w:val="0"/>
      <w:marRight w:val="0"/>
      <w:marTop w:val="0"/>
      <w:marBottom w:val="0"/>
      <w:divBdr>
        <w:top w:val="none" w:sz="0" w:space="0" w:color="auto"/>
        <w:left w:val="none" w:sz="0" w:space="0" w:color="auto"/>
        <w:bottom w:val="none" w:sz="0" w:space="0" w:color="auto"/>
        <w:right w:val="none" w:sz="0" w:space="0" w:color="auto"/>
      </w:divBdr>
    </w:div>
    <w:div w:id="1558971119">
      <w:bodyDiv w:val="1"/>
      <w:marLeft w:val="0"/>
      <w:marRight w:val="0"/>
      <w:marTop w:val="0"/>
      <w:marBottom w:val="0"/>
      <w:divBdr>
        <w:top w:val="none" w:sz="0" w:space="0" w:color="auto"/>
        <w:left w:val="none" w:sz="0" w:space="0" w:color="auto"/>
        <w:bottom w:val="none" w:sz="0" w:space="0" w:color="auto"/>
        <w:right w:val="none" w:sz="0" w:space="0" w:color="auto"/>
      </w:divBdr>
    </w:div>
    <w:div w:id="1568807583">
      <w:bodyDiv w:val="1"/>
      <w:marLeft w:val="0"/>
      <w:marRight w:val="0"/>
      <w:marTop w:val="0"/>
      <w:marBottom w:val="0"/>
      <w:divBdr>
        <w:top w:val="none" w:sz="0" w:space="0" w:color="auto"/>
        <w:left w:val="none" w:sz="0" w:space="0" w:color="auto"/>
        <w:bottom w:val="none" w:sz="0" w:space="0" w:color="auto"/>
        <w:right w:val="none" w:sz="0" w:space="0" w:color="auto"/>
      </w:divBdr>
    </w:div>
    <w:div w:id="1585530734">
      <w:bodyDiv w:val="1"/>
      <w:marLeft w:val="0"/>
      <w:marRight w:val="0"/>
      <w:marTop w:val="0"/>
      <w:marBottom w:val="0"/>
      <w:divBdr>
        <w:top w:val="none" w:sz="0" w:space="0" w:color="auto"/>
        <w:left w:val="none" w:sz="0" w:space="0" w:color="auto"/>
        <w:bottom w:val="none" w:sz="0" w:space="0" w:color="auto"/>
        <w:right w:val="none" w:sz="0" w:space="0" w:color="auto"/>
      </w:divBdr>
    </w:div>
    <w:div w:id="1614898475">
      <w:bodyDiv w:val="1"/>
      <w:marLeft w:val="0"/>
      <w:marRight w:val="0"/>
      <w:marTop w:val="0"/>
      <w:marBottom w:val="0"/>
      <w:divBdr>
        <w:top w:val="none" w:sz="0" w:space="0" w:color="auto"/>
        <w:left w:val="none" w:sz="0" w:space="0" w:color="auto"/>
        <w:bottom w:val="none" w:sz="0" w:space="0" w:color="auto"/>
        <w:right w:val="none" w:sz="0" w:space="0" w:color="auto"/>
      </w:divBdr>
    </w:div>
    <w:div w:id="1774519297">
      <w:bodyDiv w:val="1"/>
      <w:marLeft w:val="0"/>
      <w:marRight w:val="0"/>
      <w:marTop w:val="0"/>
      <w:marBottom w:val="0"/>
      <w:divBdr>
        <w:top w:val="none" w:sz="0" w:space="0" w:color="auto"/>
        <w:left w:val="none" w:sz="0" w:space="0" w:color="auto"/>
        <w:bottom w:val="none" w:sz="0" w:space="0" w:color="auto"/>
        <w:right w:val="none" w:sz="0" w:space="0" w:color="auto"/>
      </w:divBdr>
    </w:div>
    <w:div w:id="1927230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0223980.2019.1567453" TargetMode="External"/><Relationship Id="rId13" Type="http://schemas.openxmlformats.org/officeDocument/2006/relationships/hyperlink" Target="https://doi.org/10.1108/08876040510609934"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doi.org/10.26209/mj1561274" TargetMode="External"/><Relationship Id="rId12" Type="http://schemas.openxmlformats.org/officeDocument/2006/relationships/hyperlink" Target="https://hrcentral.com.au/blog/dealing-with-aggressive-customer-behaviour/"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researchgate.net/post/How_can_I_correct_for_gender_bias_in_my_samples" TargetMode="External"/><Relationship Id="rId1" Type="http://schemas.openxmlformats.org/officeDocument/2006/relationships/customXml" Target="../customXml/item1.xml"/><Relationship Id="rId6" Type="http://schemas.openxmlformats.org/officeDocument/2006/relationships/hyperlink" Target="https://doi.org/10.1007/s13132-019-00624-1" TargetMode="External"/><Relationship Id="rId11" Type="http://schemas.openxmlformats.org/officeDocument/2006/relationships/hyperlink" Target="https://www.heraldscotland.com/news/national-news/18801450.viewers-praise-tv-campaign-highlighting-abuse-customer-facing-workers/" TargetMode="External"/><Relationship Id="rId5" Type="http://schemas.openxmlformats.org/officeDocument/2006/relationships/webSettings" Target="webSettings.xml"/><Relationship Id="rId15" Type="http://schemas.openxmlformats.org/officeDocument/2006/relationships/hyperlink" Target="https://doi.org/10.1016/j.jbusres.2020.08.043" TargetMode="External"/><Relationship Id="rId10" Type="http://schemas.openxmlformats.org/officeDocument/2006/relationships/hyperlink" Target="https://www.hrzone.com/perform/people/employee-experience-looking-after-the-mental-health-of-customer-facing-employees" TargetMode="External"/><Relationship Id="rId4" Type="http://schemas.openxmlformats.org/officeDocument/2006/relationships/settings" Target="settings.xml"/><Relationship Id="rId9" Type="http://schemas.openxmlformats.org/officeDocument/2006/relationships/hyperlink" Target="https://www.hcf.com.au/health-agenda/body-mind/mental-health/downsides-to-always-being-positive" TargetMode="External"/><Relationship Id="rId14" Type="http://schemas.openxmlformats.org/officeDocument/2006/relationships/hyperlink" Target="https://doi.org/10.1108/IJCHM-11-2012-020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8F738C1-A5BB-1C48-AF2A-3F2BEA8F85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168</TotalTime>
  <Pages>6</Pages>
  <Words>2286</Words>
  <Characters>13923</Characters>
  <Application>Microsoft Office Word</Application>
  <DocSecurity>0</DocSecurity>
  <Lines>296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32</cp:revision>
  <dcterms:created xsi:type="dcterms:W3CDTF">2021-04-27T09:44:00Z</dcterms:created>
  <dcterms:modified xsi:type="dcterms:W3CDTF">2021-04-28T08:36:00Z</dcterms:modified>
</cp:coreProperties>
</file>