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6813" w:rsidRDefault="00434835">
      <w:pPr>
        <w:rPr>
          <w:rFonts w:cs="Times"/>
          <w:sz w:val="24"/>
          <w:lang w:val="en-US"/>
        </w:rPr>
      </w:pPr>
      <w:r>
        <w:rPr>
          <w:rFonts w:ascii="Times" w:hAnsi="Times" w:cs="Times"/>
          <w:lang w:val="en-US"/>
        </w:rPr>
        <w:t xml:space="preserve">                          </w:t>
      </w:r>
      <w:r w:rsidRPr="00434835">
        <w:rPr>
          <w:rFonts w:cs="Times"/>
          <w:sz w:val="24"/>
          <w:lang w:val="en-US"/>
        </w:rPr>
        <w:t>What do manuscript traditions tell us? What don’t they tell us?</w:t>
      </w:r>
    </w:p>
    <w:p w:rsidR="00434835" w:rsidRDefault="00434835"/>
    <w:p w:rsidR="00434835" w:rsidRDefault="00DA43B9">
      <w:r>
        <w:t>The production and archiving of manuscripts is an integral part of the building of history as both the content and the manufacturing techniques as well as the ways of protecting them can reveal a lot about a society. By analysing the methods used by ancient and classical societies along with more modern ones, a conclusion will be made as to how much we can infer from manuscript tradition.</w:t>
      </w:r>
    </w:p>
    <w:p w:rsidR="003726F6" w:rsidRDefault="002B20FC">
      <w:r>
        <w:t xml:space="preserve">Firstly, it is important to have a base </w:t>
      </w:r>
      <w:r w:rsidR="001430A4">
        <w:t>on how different things would have been remembered before they were written and store. This is the oral tradition which is basically the skill of passing along the information verbally through people and generations. A prime example of this is the performing of Homeric poems, whether the theory of these being created by an individual or a group, these were performed in front of a local audience in the performer</w:t>
      </w:r>
      <w:r w:rsidR="002C5A02">
        <w:t>s</w:t>
      </w:r>
      <w:r w:rsidR="001430A4">
        <w:t xml:space="preserve"> own variation.</w:t>
      </w:r>
      <w:r w:rsidR="001430A4">
        <w:rPr>
          <w:rStyle w:val="FootnoteReference"/>
        </w:rPr>
        <w:footnoteReference w:id="1"/>
      </w:r>
      <w:r w:rsidR="002C5A02">
        <w:t xml:space="preserve"> This means that there would have been differences according to region so though the main content might be the </w:t>
      </w:r>
      <w:r w:rsidR="00422671">
        <w:t>same,</w:t>
      </w:r>
      <w:r w:rsidR="002C5A02">
        <w:t xml:space="preserve"> but the finer points would vary. As well as this because they were always spoken aloud</w:t>
      </w:r>
      <w:r w:rsidR="004C4097">
        <w:t>, each performance would only echo earlier ones</w:t>
      </w:r>
      <w:r w:rsidR="004C4097">
        <w:rPr>
          <w:rStyle w:val="FootnoteReference"/>
        </w:rPr>
        <w:footnoteReference w:id="2"/>
      </w:r>
      <w:r w:rsidR="00422671">
        <w:t xml:space="preserve"> which indicates that there was no consistency and therefore, the later written copies may only represent one version or use elements of all. Meaning the true beliefs of the individual regions of Greece was lost.</w:t>
      </w:r>
    </w:p>
    <w:p w:rsidR="00264DB1" w:rsidRDefault="00E9581E">
      <w:r>
        <w:t xml:space="preserve">The introduction of scribes </w:t>
      </w:r>
      <w:r w:rsidR="00F32D5C">
        <w:t>around C.5000BC</w:t>
      </w:r>
      <w:r w:rsidR="00F32D5C">
        <w:rPr>
          <w:rStyle w:val="FootnoteReference"/>
        </w:rPr>
        <w:footnoteReference w:id="3"/>
      </w:r>
      <w:r w:rsidR="00F32D5C">
        <w:t xml:space="preserve"> marks the progression into the more modern method of record keeping.</w:t>
      </w:r>
      <w:r w:rsidR="00422671">
        <w:t xml:space="preserve"> </w:t>
      </w:r>
      <w:r w:rsidR="00F32D5C">
        <w:t>It is known that, from the beginning of the recordings, both permanent and semi-permanent forms were used.</w:t>
      </w:r>
      <w:r w:rsidR="00F32D5C">
        <w:rPr>
          <w:rStyle w:val="FootnoteReference"/>
        </w:rPr>
        <w:footnoteReference w:id="4"/>
      </w:r>
      <w:r w:rsidR="00F32D5C">
        <w:t xml:space="preserve"> From archaeological evidence, it can be inferred what techniques were used to write for each method and what information was viewed as important in this period.</w:t>
      </w:r>
      <w:r w:rsidR="00BE03D2">
        <w:t xml:space="preserve"> In the case of semi-permanent recordings, information was written in charcoal on ‘whitened boards’</w:t>
      </w:r>
      <w:r w:rsidR="00BE03D2">
        <w:rPr>
          <w:rStyle w:val="FootnoteReference"/>
        </w:rPr>
        <w:footnoteReference w:id="5"/>
      </w:r>
      <w:r w:rsidR="00BE03D2">
        <w:t>. This shows that</w:t>
      </w:r>
      <w:r w:rsidR="00264DB1">
        <w:t xml:space="preserve"> content that was viewed as unimportant could be erased easily, which means that the modern historian cannot know for sure about the more niche areas of the society. Although some of this was archived as well. Along with this, in the earlier periods, the more important literature</w:t>
      </w:r>
      <w:r w:rsidR="00DE49B7">
        <w:t xml:space="preserve"> depicting law or religion</w:t>
      </w:r>
      <w:r w:rsidR="00DE49B7">
        <w:rPr>
          <w:rStyle w:val="FootnoteReference"/>
        </w:rPr>
        <w:footnoteReference w:id="6"/>
      </w:r>
      <w:r w:rsidR="00264DB1">
        <w:t xml:space="preserve"> was put onto public monuments. This means that only a standardised copy of the content was given to the public, although a monument is long-lasting evidence. Overall, the transmission of history is dependent on what content survives due to its significance.</w:t>
      </w:r>
    </w:p>
    <w:p w:rsidR="00003B26" w:rsidRDefault="00003B26">
      <w:r>
        <w:t xml:space="preserve">This is shown by the written copies of Ovid’s works, which differ in each version. </w:t>
      </w:r>
      <w:r w:rsidR="001118B8">
        <w:t xml:space="preserve">This is mainly </w:t>
      </w:r>
      <w:r w:rsidR="00B35BAB">
        <w:t xml:space="preserve">due to </w:t>
      </w:r>
      <w:r w:rsidR="001118B8">
        <w:t xml:space="preserve">there </w:t>
      </w:r>
      <w:r w:rsidR="00B35BAB">
        <w:t>being</w:t>
      </w:r>
      <w:r w:rsidR="001118B8">
        <w:t xml:space="preserve"> no ‘formal publication’ of his own wording</w:t>
      </w:r>
      <w:r w:rsidR="001118B8">
        <w:rPr>
          <w:rStyle w:val="FootnoteReference"/>
        </w:rPr>
        <w:footnoteReference w:id="7"/>
      </w:r>
      <w:r w:rsidR="00B35BAB">
        <w:t xml:space="preserve">. This means that all his work that is studied today is a copy by a different author or a reference in another. There are many problems that are caused by this, the main being that, it will never be certain what </w:t>
      </w:r>
      <w:r w:rsidR="00390963">
        <w:t>purpose Ovid had with his text because it is likely that some content was left out to fit the other author’s purpose.</w:t>
      </w:r>
      <w:r w:rsidR="00DE5BD9">
        <w:t xml:space="preserve"> This is a probability because there is a clear pattern in which ancient authors adapt information to fit their political or social standpoint.</w:t>
      </w:r>
      <w:r w:rsidR="00390963">
        <w:t xml:space="preserve"> It is also possible that spelling and grammatical errors would have been made which would then lead to an incorrect translation and reading. </w:t>
      </w:r>
      <w:r w:rsidR="009D6C75">
        <w:t>As it is known that Ovid worked on writing tablets and only had copies put on papyrus rolls</w:t>
      </w:r>
      <w:r w:rsidR="009D6C75">
        <w:rPr>
          <w:rStyle w:val="FootnoteReference"/>
        </w:rPr>
        <w:footnoteReference w:id="8"/>
      </w:r>
      <w:r w:rsidR="009D6C75">
        <w:t xml:space="preserve">, it is obvious that any original work of </w:t>
      </w:r>
      <w:r w:rsidR="009D6C75">
        <w:lastRenderedPageBreak/>
        <w:t>Ovid has been destroyed. This means that the earliest surviving work of his is from around the ninth or tenth centuries</w:t>
      </w:r>
      <w:r w:rsidR="009D6C75">
        <w:rPr>
          <w:rStyle w:val="FootnoteReference"/>
        </w:rPr>
        <w:footnoteReference w:id="9"/>
      </w:r>
      <w:r w:rsidR="00466CCD">
        <w:t>, which leaves a very large margin for error. The most probable reason for this is that Ovid’s work was not popular enough when more durable manuscripts were produced.</w:t>
      </w:r>
    </w:p>
    <w:p w:rsidR="00466CCD" w:rsidRDefault="00FD09BC">
      <w:r>
        <w:t>In the centuries after Ovid, the progression in technology meant that parchment was used instead of papyrus which is considerably more durable. From this, certain records would have likely been chosen to be copied onto this material and be bound into a ‘codex’</w:t>
      </w:r>
      <w:r>
        <w:rPr>
          <w:rStyle w:val="FootnoteReference"/>
        </w:rPr>
        <w:footnoteReference w:id="10"/>
      </w:r>
      <w:r>
        <w:t>. The fact that only a selected number of records had been chosen is supported by the fact that there must have been a very large number of texts written on Papyrus and tablets that it would have been a difficult and long task to copy them all onto parchment.</w:t>
      </w:r>
      <w:r w:rsidR="00AF495A">
        <w:t xml:space="preserve"> </w:t>
      </w:r>
      <w:r w:rsidR="0038782B">
        <w:t xml:space="preserve">This would mean that only the records that were seen as important to the society at that time would have been chosen. </w:t>
      </w:r>
      <w:r w:rsidR="008932EB">
        <w:t>Again,</w:t>
      </w:r>
      <w:r w:rsidR="0038782B">
        <w:t xml:space="preserve"> the copying of the original documents would have led to mistakes being made in a portion of the literature taken. As well as this it is also possible that they were purposely changed to benefit the societal values. This can be seen in the adaptions of Homeric writings because, </w:t>
      </w:r>
      <w:r w:rsidR="008932EB">
        <w:t>over</w:t>
      </w:r>
      <w:r w:rsidR="0038782B">
        <w:t xml:space="preserve"> time, from both oral and written traditions, the events had been changed and viewed in different ways.</w:t>
      </w:r>
      <w:r w:rsidR="0038782B">
        <w:rPr>
          <w:rStyle w:val="FootnoteReference"/>
        </w:rPr>
        <w:footnoteReference w:id="11"/>
      </w:r>
      <w:r w:rsidR="00175595">
        <w:t xml:space="preserve"> For example, when looking</w:t>
      </w:r>
      <w:r w:rsidR="00774FBD">
        <w:t xml:space="preserve"> at</w:t>
      </w:r>
      <w:r w:rsidR="00175595">
        <w:t xml:space="preserve"> Virgil’s Aeneid, the political and social opinions are significantly different from the so-called original </w:t>
      </w:r>
      <w:r w:rsidR="00644762">
        <w:t xml:space="preserve">record of the </w:t>
      </w:r>
      <w:r w:rsidR="00D35EA4">
        <w:t>Iliad</w:t>
      </w:r>
      <w:r w:rsidR="00644762">
        <w:t xml:space="preserve"> and Odyssey which is representative of the progressing views from Ancient Greek to Roman. </w:t>
      </w:r>
      <w:r w:rsidR="00175595">
        <w:t xml:space="preserve"> </w:t>
      </w:r>
    </w:p>
    <w:p w:rsidR="00774FBD" w:rsidRDefault="00774FBD">
      <w:r>
        <w:t xml:space="preserve">This is also shown on the progressing publications of religious texts, both Hebrew and Christian. </w:t>
      </w:r>
      <w:r w:rsidR="009B6A8F">
        <w:t>In the case of the Hebrew texts, it is theorised that the books within the old testament were composed and committed to paper in different generations</w:t>
      </w:r>
      <w:r w:rsidR="009B6A8F">
        <w:rPr>
          <w:rStyle w:val="FootnoteReference"/>
        </w:rPr>
        <w:footnoteReference w:id="12"/>
      </w:r>
      <w:r w:rsidR="00BB271D">
        <w:t xml:space="preserve"> this means that the old testament was produced over a long period of time and that some books were easier to compose than others. For example, remaining fragments show that the book of Daniel had a brief period of composition, whereas, the book of Isaiah is likely to have taken longer therefore adapted multiple times as it was put together</w:t>
      </w:r>
      <w:r w:rsidR="00BB271D">
        <w:rPr>
          <w:rStyle w:val="FootnoteReference"/>
        </w:rPr>
        <w:footnoteReference w:id="13"/>
      </w:r>
      <w:r w:rsidR="00BB271D">
        <w:t xml:space="preserve">. Also, unlike writing of Ovid and other authors, religious texts like the bible would have been copied very carefully as it was important to so many. </w:t>
      </w:r>
      <w:r w:rsidR="00920DF2">
        <w:t>This is supported by the fact that most religious texts are exact copies of one another with very few variations.</w:t>
      </w:r>
      <w:r w:rsidR="00920DF2">
        <w:rPr>
          <w:rStyle w:val="FootnoteReference"/>
        </w:rPr>
        <w:footnoteReference w:id="14"/>
      </w:r>
      <w:r w:rsidR="00BB271D">
        <w:t>However, it is shown that modern editions of the bible are more ‘diplomatic’ than the earlier productions</w:t>
      </w:r>
      <w:r w:rsidR="00BB271D">
        <w:rPr>
          <w:rStyle w:val="FootnoteReference"/>
        </w:rPr>
        <w:footnoteReference w:id="15"/>
      </w:r>
      <w:r w:rsidR="00BB271D">
        <w:t xml:space="preserve">, this may be because religious texts </w:t>
      </w:r>
      <w:r w:rsidR="007E6DDC">
        <w:t>must</w:t>
      </w:r>
      <w:r w:rsidR="00BB271D">
        <w:t xml:space="preserve"> adapt </w:t>
      </w:r>
      <w:r w:rsidR="009D088D">
        <w:t>to</w:t>
      </w:r>
      <w:r w:rsidR="00BB271D">
        <w:t xml:space="preserve"> stay relevant through time. which would mean that, to fit a modern audience, it should appear that people have free will </w:t>
      </w:r>
      <w:r w:rsidR="007E6DDC">
        <w:t xml:space="preserve">so the texts would adapt to make the ‘laws’ seem more like a lifestyle choice. </w:t>
      </w:r>
      <w:r w:rsidR="00325C3E">
        <w:t>Where as the world was known to be more ‘god fearing’ in earlier times, therefore the following of religious texts would be more rigid.</w:t>
      </w:r>
    </w:p>
    <w:p w:rsidR="00DC76E8" w:rsidRDefault="00DC76E8">
      <w:r>
        <w:t xml:space="preserve">In conclusion, the fact the transmission and tradition of manuscripts can indicate the most important features of a societies values and can show progressing of manufacturing techniques as well. </w:t>
      </w:r>
      <w:r w:rsidR="004B773F">
        <w:t>However</w:t>
      </w:r>
      <w:r w:rsidR="006E5815">
        <w:t>,</w:t>
      </w:r>
      <w:r w:rsidR="004B773F">
        <w:t xml:space="preserve"> as it is only what the earlier people viewed as important, some factors of how people </w:t>
      </w:r>
      <w:r w:rsidR="006E5815">
        <w:t>lived,</w:t>
      </w:r>
      <w:r w:rsidR="004B773F">
        <w:t xml:space="preserve"> and </w:t>
      </w:r>
      <w:r w:rsidR="006E5815">
        <w:t xml:space="preserve">their opinions are not available, meaning it’s impossible to get an overall history. Also, the progression of language and literacy can be derived from this, but this is also limited by there being few people in early societies who were literate, and they were normally of the same status. Though the number of literate people does increase, but groups like women are still excluded until much later. Although, probably the most important point of this is that it is ‘pot luck’ as to what documents survived and because many of the original copies have been destroyed or only remain in </w:t>
      </w:r>
      <w:r w:rsidR="006E5815">
        <w:lastRenderedPageBreak/>
        <w:t xml:space="preserve">fragments. </w:t>
      </w:r>
      <w:r w:rsidR="006D0B09">
        <w:t xml:space="preserve">This leads onto the bias of those copying the original works, because literature is used to </w:t>
      </w:r>
      <w:r w:rsidR="00715C6A">
        <w:t>present an opinion, whether that be political or otherwise and this is just as true in modern works as it was in ancient and classical times.</w:t>
      </w:r>
    </w:p>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p w:rsidR="009601F9" w:rsidRDefault="009601F9" w:rsidP="009601F9">
      <w:r>
        <w:lastRenderedPageBreak/>
        <w:t>bibliography:</w:t>
      </w:r>
    </w:p>
    <w:p w:rsidR="009601F9" w:rsidRDefault="009601F9" w:rsidP="009601F9">
      <w:r>
        <w:t xml:space="preserve">Brosius, M (editor). 2003. </w:t>
      </w:r>
      <w:r w:rsidRPr="00805AFA">
        <w:rPr>
          <w:i/>
        </w:rPr>
        <w:t xml:space="preserve">Ancient Archives and Archival Traditions: Concepts of Record-keeping in the Ancient World. </w:t>
      </w:r>
      <w:r>
        <w:t>Oxford. Oxford University Press.</w:t>
      </w:r>
    </w:p>
    <w:p w:rsidR="009601F9" w:rsidRPr="00DD2FF8" w:rsidRDefault="009601F9" w:rsidP="009601F9">
      <w:r>
        <w:t xml:space="preserve">Kazhdan, A P. (editor). 1991 [online: 2005]. </w:t>
      </w:r>
      <w:r>
        <w:rPr>
          <w:i/>
        </w:rPr>
        <w:t xml:space="preserve">The Oxford Dictionary of Byzantium. </w:t>
      </w:r>
      <w:r>
        <w:t xml:space="preserve">Oxford University Press. Available at </w:t>
      </w:r>
      <w:hyperlink r:id="rId7" w:history="1">
        <w:r w:rsidRPr="00322405">
          <w:rPr>
            <w:rStyle w:val="Hyperlink"/>
            <w:rFonts w:ascii="Segoe UI" w:hAnsi="Segoe UI" w:cs="Segoe UI"/>
            <w:sz w:val="20"/>
            <w:szCs w:val="20"/>
          </w:rPr>
          <w:t>http://www.oxfordreference.com.ezproxy.uwtsd.ac.uk/view/10.1093/acref/9780195046526.001.0001/acref-9780195046526-e-3326</w:t>
        </w:r>
      </w:hyperlink>
      <w:r>
        <w:rPr>
          <w:rFonts w:ascii="Segoe UI" w:hAnsi="Segoe UI" w:cs="Segoe UI"/>
          <w:color w:val="000000"/>
          <w:sz w:val="20"/>
          <w:szCs w:val="20"/>
        </w:rPr>
        <w:t>. [Accessed on 23/11/17].</w:t>
      </w:r>
    </w:p>
    <w:p w:rsidR="009601F9" w:rsidRDefault="009601F9" w:rsidP="009601F9">
      <w:pPr>
        <w:rPr>
          <w:rFonts w:ascii="Segoe UI" w:hAnsi="Segoe UI" w:cs="Segoe UI"/>
          <w:color w:val="000000"/>
          <w:sz w:val="20"/>
          <w:szCs w:val="20"/>
        </w:rPr>
      </w:pPr>
      <w:r>
        <w:t xml:space="preserve">Norton, G J. 2008 [online:2009]. </w:t>
      </w:r>
      <w:r>
        <w:rPr>
          <w:i/>
        </w:rPr>
        <w:t xml:space="preserve">Ancient Versions of Textual Transmission of the Old Testament. </w:t>
      </w:r>
      <w:r>
        <w:t xml:space="preserve">The Oxford Handbook of Biblical Studies. Available at </w:t>
      </w:r>
      <w:hyperlink r:id="rId8" w:history="1">
        <w:r w:rsidRPr="00322405">
          <w:rPr>
            <w:rStyle w:val="Hyperlink"/>
            <w:rFonts w:ascii="Segoe UI" w:hAnsi="Segoe UI" w:cs="Segoe UI"/>
            <w:sz w:val="20"/>
            <w:szCs w:val="20"/>
          </w:rPr>
          <w:t>http://www.oxfordhandbooks.com.ezproxy.uwtsd.ac.uk/view/10.1093/oxfordhb/9780199237777.001.0001/oxfordhb-9780199237777-e-12</w:t>
        </w:r>
      </w:hyperlink>
      <w:r>
        <w:rPr>
          <w:rFonts w:ascii="Segoe UI" w:hAnsi="Segoe UI" w:cs="Segoe UI"/>
          <w:color w:val="000000"/>
          <w:sz w:val="20"/>
          <w:szCs w:val="20"/>
        </w:rPr>
        <w:t>. [Accessed on: 22/11/17]</w:t>
      </w:r>
    </w:p>
    <w:p w:rsidR="009601F9" w:rsidRDefault="009601F9" w:rsidP="009601F9">
      <w:pPr>
        <w:rPr>
          <w:rFonts w:ascii="Segoe UI" w:hAnsi="Segoe UI" w:cs="Segoe UI"/>
          <w:color w:val="000000"/>
          <w:sz w:val="20"/>
          <w:szCs w:val="20"/>
        </w:rPr>
      </w:pPr>
      <w:r>
        <w:t xml:space="preserve">Richmond, J. 2001. </w:t>
      </w:r>
      <w:r>
        <w:rPr>
          <w:i/>
        </w:rPr>
        <w:t xml:space="preserve">Manuscript Traditions and the Transmission of Ovid’s Works. </w:t>
      </w:r>
      <w:r>
        <w:t xml:space="preserve">Brills Companion to Ovid. Available at </w:t>
      </w:r>
      <w:hyperlink r:id="rId9" w:history="1">
        <w:r w:rsidRPr="00322405">
          <w:rPr>
            <w:rStyle w:val="Hyperlink"/>
            <w:rFonts w:ascii="Segoe UI" w:hAnsi="Segoe UI" w:cs="Segoe UI"/>
            <w:sz w:val="20"/>
            <w:szCs w:val="20"/>
          </w:rPr>
          <w:t>http://booksandjournals.brillonline.com.ezproxy.uwtsd.ac.uk/content/books/b9789047400950s015</w:t>
        </w:r>
      </w:hyperlink>
      <w:r>
        <w:rPr>
          <w:rFonts w:ascii="Segoe UI" w:hAnsi="Segoe UI" w:cs="Segoe UI"/>
          <w:color w:val="000000"/>
          <w:sz w:val="20"/>
          <w:szCs w:val="20"/>
        </w:rPr>
        <w:t>. [Accessed on: 23/11/17].</w:t>
      </w:r>
    </w:p>
    <w:p w:rsidR="009601F9" w:rsidRDefault="009601F9" w:rsidP="009601F9">
      <w:r>
        <w:t xml:space="preserve">Scodel, R. 2002. </w:t>
      </w:r>
      <w:r>
        <w:rPr>
          <w:i/>
        </w:rPr>
        <w:t xml:space="preserve">Listening to Homer: Tradition, Narrative, And Audience (2005ed.). </w:t>
      </w:r>
      <w:r>
        <w:t>USA. The University of Michigan Press.</w:t>
      </w:r>
      <w:bookmarkStart w:id="0" w:name="_GoBack"/>
      <w:bookmarkEnd w:id="0"/>
    </w:p>
    <w:p w:rsidR="009601F9" w:rsidRDefault="009601F9"/>
    <w:p w:rsidR="007A0A5C" w:rsidRDefault="007A0A5C"/>
    <w:p w:rsidR="00264DB1" w:rsidRDefault="00264DB1"/>
    <w:p w:rsidR="00264DB1" w:rsidRPr="00434835" w:rsidRDefault="00264DB1"/>
    <w:sectPr w:rsidR="00264DB1" w:rsidRPr="0043483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20C0" w:rsidRDefault="005A20C0" w:rsidP="001430A4">
      <w:pPr>
        <w:spacing w:after="0" w:line="240" w:lineRule="auto"/>
      </w:pPr>
      <w:r>
        <w:separator/>
      </w:r>
    </w:p>
  </w:endnote>
  <w:endnote w:type="continuationSeparator" w:id="0">
    <w:p w:rsidR="005A20C0" w:rsidRDefault="005A20C0" w:rsidP="00143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Times">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20C0" w:rsidRDefault="005A20C0" w:rsidP="001430A4">
      <w:pPr>
        <w:spacing w:after="0" w:line="240" w:lineRule="auto"/>
      </w:pPr>
      <w:r>
        <w:separator/>
      </w:r>
    </w:p>
  </w:footnote>
  <w:footnote w:type="continuationSeparator" w:id="0">
    <w:p w:rsidR="005A20C0" w:rsidRDefault="005A20C0" w:rsidP="001430A4">
      <w:pPr>
        <w:spacing w:after="0" w:line="240" w:lineRule="auto"/>
      </w:pPr>
      <w:r>
        <w:continuationSeparator/>
      </w:r>
    </w:p>
  </w:footnote>
  <w:footnote w:id="1">
    <w:p w:rsidR="006D0B09" w:rsidRDefault="006D0B09">
      <w:pPr>
        <w:pStyle w:val="FootnoteText"/>
      </w:pPr>
      <w:r>
        <w:rPr>
          <w:rStyle w:val="FootnoteReference"/>
        </w:rPr>
        <w:footnoteRef/>
      </w:r>
      <w:r>
        <w:t xml:space="preserve"> Scodel R:2002: p42</w:t>
      </w:r>
    </w:p>
  </w:footnote>
  <w:footnote w:id="2">
    <w:p w:rsidR="006D0B09" w:rsidRDefault="006D0B09">
      <w:pPr>
        <w:pStyle w:val="FootnoteText"/>
      </w:pPr>
      <w:r>
        <w:rPr>
          <w:rStyle w:val="FootnoteReference"/>
        </w:rPr>
        <w:footnoteRef/>
      </w:r>
      <w:r>
        <w:t xml:space="preserve"> Scodel R:2002: p65</w:t>
      </w:r>
    </w:p>
  </w:footnote>
  <w:footnote w:id="3">
    <w:p w:rsidR="006D0B09" w:rsidRDefault="006D0B09">
      <w:pPr>
        <w:pStyle w:val="FootnoteText"/>
      </w:pPr>
      <w:r>
        <w:rPr>
          <w:rStyle w:val="FootnoteReference"/>
        </w:rPr>
        <w:footnoteRef/>
      </w:r>
      <w:r>
        <w:t xml:space="preserve"> Davies J K:2003: p325</w:t>
      </w:r>
    </w:p>
  </w:footnote>
  <w:footnote w:id="4">
    <w:p w:rsidR="006D0B09" w:rsidRDefault="006D0B09">
      <w:pPr>
        <w:pStyle w:val="FootnoteText"/>
      </w:pPr>
      <w:r>
        <w:rPr>
          <w:rStyle w:val="FootnoteReference"/>
        </w:rPr>
        <w:footnoteRef/>
      </w:r>
      <w:r>
        <w:t xml:space="preserve"> Davies J K:2003</w:t>
      </w:r>
    </w:p>
  </w:footnote>
  <w:footnote w:id="5">
    <w:p w:rsidR="006D0B09" w:rsidRDefault="006D0B09">
      <w:pPr>
        <w:pStyle w:val="FootnoteText"/>
      </w:pPr>
      <w:r>
        <w:rPr>
          <w:rStyle w:val="FootnoteReference"/>
        </w:rPr>
        <w:footnoteRef/>
      </w:r>
      <w:r>
        <w:t xml:space="preserve"> Davies J K:2003: p325</w:t>
      </w:r>
    </w:p>
  </w:footnote>
  <w:footnote w:id="6">
    <w:p w:rsidR="006D0B09" w:rsidRDefault="006D0B09">
      <w:pPr>
        <w:pStyle w:val="FootnoteText"/>
      </w:pPr>
      <w:r>
        <w:rPr>
          <w:rStyle w:val="FootnoteReference"/>
        </w:rPr>
        <w:footnoteRef/>
      </w:r>
      <w:r>
        <w:t xml:space="preserve"> Davies J K:2003</w:t>
      </w:r>
    </w:p>
  </w:footnote>
  <w:footnote w:id="7">
    <w:p w:rsidR="006D0B09" w:rsidRDefault="006D0B09">
      <w:pPr>
        <w:pStyle w:val="FootnoteText"/>
      </w:pPr>
      <w:r>
        <w:rPr>
          <w:rStyle w:val="FootnoteReference"/>
        </w:rPr>
        <w:footnoteRef/>
      </w:r>
      <w:r>
        <w:t xml:space="preserve"> Richmond J:2001: p445</w:t>
      </w:r>
    </w:p>
  </w:footnote>
  <w:footnote w:id="8">
    <w:p w:rsidR="006D0B09" w:rsidRDefault="006D0B09">
      <w:pPr>
        <w:pStyle w:val="FootnoteText"/>
      </w:pPr>
      <w:r>
        <w:rPr>
          <w:rStyle w:val="FootnoteReference"/>
        </w:rPr>
        <w:footnoteRef/>
      </w:r>
      <w:r>
        <w:t xml:space="preserve"> Richmond J:2001</w:t>
      </w:r>
    </w:p>
  </w:footnote>
  <w:footnote w:id="9">
    <w:p w:rsidR="006D0B09" w:rsidRDefault="006D0B09">
      <w:pPr>
        <w:pStyle w:val="FootnoteText"/>
      </w:pPr>
      <w:r>
        <w:rPr>
          <w:rStyle w:val="FootnoteReference"/>
        </w:rPr>
        <w:footnoteRef/>
      </w:r>
      <w:r>
        <w:t xml:space="preserve"> Richmond J:2001: p449</w:t>
      </w:r>
    </w:p>
  </w:footnote>
  <w:footnote w:id="10">
    <w:p w:rsidR="006D0B09" w:rsidRDefault="006D0B09">
      <w:pPr>
        <w:pStyle w:val="FootnoteText"/>
      </w:pPr>
      <w:r>
        <w:rPr>
          <w:rStyle w:val="FootnoteReference"/>
        </w:rPr>
        <w:footnoteRef/>
      </w:r>
      <w:r>
        <w:t xml:space="preserve"> Richmond J: 2001</w:t>
      </w:r>
    </w:p>
  </w:footnote>
  <w:footnote w:id="11">
    <w:p w:rsidR="006D0B09" w:rsidRDefault="006D0B09">
      <w:pPr>
        <w:pStyle w:val="FootnoteText"/>
      </w:pPr>
      <w:r>
        <w:rPr>
          <w:rStyle w:val="FootnoteReference"/>
        </w:rPr>
        <w:footnoteRef/>
      </w:r>
      <w:r>
        <w:t xml:space="preserve"> Scodel R:2002</w:t>
      </w:r>
    </w:p>
  </w:footnote>
  <w:footnote w:id="12">
    <w:p w:rsidR="006D0B09" w:rsidRDefault="006D0B09">
      <w:pPr>
        <w:pStyle w:val="FootnoteText"/>
      </w:pPr>
      <w:r>
        <w:rPr>
          <w:rStyle w:val="FootnoteReference"/>
        </w:rPr>
        <w:footnoteRef/>
      </w:r>
      <w:r>
        <w:t xml:space="preserve"> Norton G J: 2008</w:t>
      </w:r>
    </w:p>
  </w:footnote>
  <w:footnote w:id="13">
    <w:p w:rsidR="006D0B09" w:rsidRDefault="006D0B09">
      <w:pPr>
        <w:pStyle w:val="FootnoteText"/>
      </w:pPr>
      <w:r>
        <w:rPr>
          <w:rStyle w:val="FootnoteReference"/>
        </w:rPr>
        <w:footnoteRef/>
      </w:r>
      <w:r>
        <w:t xml:space="preserve"> Norton G J: 2008</w:t>
      </w:r>
    </w:p>
  </w:footnote>
  <w:footnote w:id="14">
    <w:p w:rsidR="006D0B09" w:rsidRDefault="006D0B09">
      <w:pPr>
        <w:pStyle w:val="FootnoteText"/>
      </w:pPr>
      <w:r>
        <w:rPr>
          <w:rStyle w:val="FootnoteReference"/>
        </w:rPr>
        <w:footnoteRef/>
      </w:r>
      <w:r>
        <w:t xml:space="preserve"> Kazhdan A P (editor):1991</w:t>
      </w:r>
    </w:p>
  </w:footnote>
  <w:footnote w:id="15">
    <w:p w:rsidR="006D0B09" w:rsidRDefault="006D0B09">
      <w:pPr>
        <w:pStyle w:val="FootnoteText"/>
      </w:pPr>
      <w:r>
        <w:rPr>
          <w:rStyle w:val="FootnoteReference"/>
        </w:rPr>
        <w:footnoteRef/>
      </w:r>
      <w:r>
        <w:t xml:space="preserve"> Norton G J: 2008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1556354"/>
      <w:docPartObj>
        <w:docPartGallery w:val="Page Numbers (Top of Page)"/>
        <w:docPartUnique/>
      </w:docPartObj>
    </w:sdtPr>
    <w:sdtEndPr>
      <w:rPr>
        <w:noProof/>
      </w:rPr>
    </w:sdtEndPr>
    <w:sdtContent>
      <w:p w:rsidR="006D0B09" w:rsidRDefault="006D0B09">
        <w:pPr>
          <w:pStyle w:val="Header"/>
          <w:jc w:val="center"/>
        </w:pPr>
        <w:r>
          <w:fldChar w:fldCharType="begin"/>
        </w:r>
        <w:r>
          <w:instrText xml:space="preserve"> PAGE   \* MERGEFORMAT </w:instrText>
        </w:r>
        <w:r>
          <w:fldChar w:fldCharType="separate"/>
        </w:r>
        <w:r w:rsidR="009D088D">
          <w:rPr>
            <w:noProof/>
          </w:rPr>
          <w:t>4</w:t>
        </w:r>
        <w:r>
          <w:rPr>
            <w:noProof/>
          </w:rPr>
          <w:fldChar w:fldCharType="end"/>
        </w:r>
      </w:p>
    </w:sdtContent>
  </w:sdt>
  <w:p w:rsidR="006D0B09" w:rsidRDefault="006D0B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835"/>
    <w:rsid w:val="00003B26"/>
    <w:rsid w:val="001118B8"/>
    <w:rsid w:val="001430A4"/>
    <w:rsid w:val="00175595"/>
    <w:rsid w:val="00236220"/>
    <w:rsid w:val="00264DB1"/>
    <w:rsid w:val="002B20FC"/>
    <w:rsid w:val="002C5A02"/>
    <w:rsid w:val="00325C3E"/>
    <w:rsid w:val="003726F6"/>
    <w:rsid w:val="0038782B"/>
    <w:rsid w:val="00390963"/>
    <w:rsid w:val="00422671"/>
    <w:rsid w:val="00434835"/>
    <w:rsid w:val="00466CCD"/>
    <w:rsid w:val="00486D2D"/>
    <w:rsid w:val="004B773F"/>
    <w:rsid w:val="004C4097"/>
    <w:rsid w:val="0056572D"/>
    <w:rsid w:val="005A20C0"/>
    <w:rsid w:val="00644762"/>
    <w:rsid w:val="006D0B09"/>
    <w:rsid w:val="006E5815"/>
    <w:rsid w:val="00713F9A"/>
    <w:rsid w:val="00715C6A"/>
    <w:rsid w:val="00774FBD"/>
    <w:rsid w:val="007A0A5C"/>
    <w:rsid w:val="007E6DDC"/>
    <w:rsid w:val="008932EB"/>
    <w:rsid w:val="00906813"/>
    <w:rsid w:val="00920DF2"/>
    <w:rsid w:val="009601F9"/>
    <w:rsid w:val="009B6A8F"/>
    <w:rsid w:val="009D088D"/>
    <w:rsid w:val="009D6C75"/>
    <w:rsid w:val="00A12750"/>
    <w:rsid w:val="00AF495A"/>
    <w:rsid w:val="00B35BAB"/>
    <w:rsid w:val="00BB271D"/>
    <w:rsid w:val="00BE03D2"/>
    <w:rsid w:val="00D35EA4"/>
    <w:rsid w:val="00DA43B9"/>
    <w:rsid w:val="00DC76E8"/>
    <w:rsid w:val="00DE49B7"/>
    <w:rsid w:val="00DE5BD9"/>
    <w:rsid w:val="00E9581E"/>
    <w:rsid w:val="00EB5C16"/>
    <w:rsid w:val="00F32D5C"/>
    <w:rsid w:val="00FA4622"/>
    <w:rsid w:val="00FD0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4FB85"/>
  <w15:chartTrackingRefBased/>
  <w15:docId w15:val="{366C44AE-4809-46B7-8C3E-FAA6856B4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430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30A4"/>
    <w:rPr>
      <w:sz w:val="20"/>
      <w:szCs w:val="20"/>
    </w:rPr>
  </w:style>
  <w:style w:type="character" w:styleId="FootnoteReference">
    <w:name w:val="footnote reference"/>
    <w:basedOn w:val="DefaultParagraphFont"/>
    <w:uiPriority w:val="99"/>
    <w:semiHidden/>
    <w:unhideWhenUsed/>
    <w:rsid w:val="001430A4"/>
    <w:rPr>
      <w:vertAlign w:val="superscript"/>
    </w:rPr>
  </w:style>
  <w:style w:type="paragraph" w:styleId="Header">
    <w:name w:val="header"/>
    <w:basedOn w:val="Normal"/>
    <w:link w:val="HeaderChar"/>
    <w:uiPriority w:val="99"/>
    <w:unhideWhenUsed/>
    <w:rsid w:val="00FD0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9BC"/>
  </w:style>
  <w:style w:type="paragraph" w:styleId="Footer">
    <w:name w:val="footer"/>
    <w:basedOn w:val="Normal"/>
    <w:link w:val="FooterChar"/>
    <w:uiPriority w:val="99"/>
    <w:unhideWhenUsed/>
    <w:rsid w:val="00FD0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9BC"/>
  </w:style>
  <w:style w:type="character" w:styleId="Hyperlink">
    <w:name w:val="Hyperlink"/>
    <w:basedOn w:val="DefaultParagraphFont"/>
    <w:uiPriority w:val="99"/>
    <w:unhideWhenUsed/>
    <w:rsid w:val="009601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handbooks.com.ezproxy.uwtsd.ac.uk/view/10.1093/oxfordhb/9780199237777.001.0001/oxfordhb-9780199237777-e-12" TargetMode="External"/><Relationship Id="rId3" Type="http://schemas.openxmlformats.org/officeDocument/2006/relationships/settings" Target="settings.xml"/><Relationship Id="rId7" Type="http://schemas.openxmlformats.org/officeDocument/2006/relationships/hyperlink" Target="http://www.oxfordreference.com.ezproxy.uwtsd.ac.uk/view/10.1093/acref/9780195046526.001.0001/acref-9780195046526-e-332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booksandjournals.brillonline.com.ezproxy.uwtsd.ac.uk/content/books/b9789047400950s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298A7-F890-4EA0-AB93-58FF0A2C6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4</Pages>
  <Words>1335</Words>
  <Characters>7613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 Keddie</dc:creator>
  <cp:keywords/>
  <dc:description/>
  <cp:lastModifiedBy>Sofie Keddie</cp:lastModifiedBy>
  <cp:revision>38</cp:revision>
  <dcterms:created xsi:type="dcterms:W3CDTF">2017-12-05T12:07:00Z</dcterms:created>
  <dcterms:modified xsi:type="dcterms:W3CDTF">2017-12-05T16:48:00Z</dcterms:modified>
</cp:coreProperties>
</file>