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15E6353B" w14:textId="77777777" w:rsidR="00FC0C73" w:rsidRPr="00407FD5" w:rsidRDefault="002A2CA5" w:rsidP="002E4802">
      <w:pPr>
        <w:spacing w:line="360" w:lineRule="auto"/>
        <w:jc w:val="center"/>
        <w:rPr>
          <w:rFonts w:asciiTheme="majorHAnsi" w:hAnsiTheme="majorHAnsi"/>
          <w:u w:val="single"/>
        </w:rPr>
      </w:pPr>
      <w:r w:rsidRPr="00407FD5">
        <w:rPr>
          <w:rFonts w:asciiTheme="majorHAnsi" w:hAnsiTheme="majorHAnsi"/>
          <w:u w:val="single"/>
        </w:rPr>
        <w:t xml:space="preserve">Discuss the impact of social influence upon an individual – presentation contribution </w:t>
      </w:r>
    </w:p>
    <w:p w14:paraId="3B94E53C" w14:textId="77777777" w:rsidR="002A2CA5" w:rsidRPr="00407FD5" w:rsidRDefault="002A2CA5" w:rsidP="002E4802">
      <w:pPr>
        <w:spacing w:line="360" w:lineRule="auto"/>
        <w:jc w:val="center"/>
        <w:rPr>
          <w:rFonts w:asciiTheme="majorHAnsi" w:hAnsiTheme="majorHAnsi"/>
          <w:u w:val="single"/>
        </w:rPr>
      </w:pPr>
    </w:p>
    <w:p w14:paraId="5A2B0F9A" w14:textId="77777777" w:rsidR="00407FD5" w:rsidRDefault="00251678" w:rsidP="00407FD5">
      <w:pPr>
        <w:widowControl w:val="0"/>
        <w:autoSpaceDE w:val="0"/>
        <w:autoSpaceDN w:val="0"/>
        <w:adjustRightInd w:val="0"/>
        <w:spacing w:line="360" w:lineRule="auto"/>
        <w:rPr>
          <w:rFonts w:asciiTheme="majorHAnsi" w:hAnsiTheme="majorHAnsi" w:cs="Century Gothic"/>
          <w:color w:val="000000"/>
        </w:rPr>
      </w:pPr>
      <w:r w:rsidRPr="00407FD5">
        <w:rPr>
          <w:rFonts w:asciiTheme="majorHAnsi" w:hAnsiTheme="majorHAnsi"/>
        </w:rPr>
        <w:t>This contribution will look at</w:t>
      </w:r>
      <w:r w:rsidR="00873704">
        <w:rPr>
          <w:rFonts w:asciiTheme="majorHAnsi" w:hAnsiTheme="majorHAnsi"/>
        </w:rPr>
        <w:t xml:space="preserve"> what social influence is</w:t>
      </w:r>
      <w:r w:rsidR="000170B2" w:rsidRPr="00407FD5">
        <w:rPr>
          <w:rFonts w:asciiTheme="majorHAnsi" w:hAnsiTheme="majorHAnsi"/>
        </w:rPr>
        <w:t xml:space="preserve"> and further explore</w:t>
      </w:r>
      <w:r w:rsidR="0067002E" w:rsidRPr="00407FD5">
        <w:rPr>
          <w:rFonts w:asciiTheme="majorHAnsi" w:hAnsiTheme="majorHAnsi"/>
        </w:rPr>
        <w:t xml:space="preserve"> the literature on this topic. </w:t>
      </w:r>
      <w:r w:rsidR="000B16AD">
        <w:rPr>
          <w:rFonts w:asciiTheme="majorHAnsi" w:hAnsiTheme="majorHAnsi"/>
        </w:rPr>
        <w:t>Let’s begin with, w</w:t>
      </w:r>
      <w:r w:rsidR="00407FD5">
        <w:rPr>
          <w:rFonts w:asciiTheme="majorHAnsi" w:hAnsiTheme="majorHAnsi"/>
        </w:rPr>
        <w:t>hat is social influence? “</w:t>
      </w:r>
      <w:r w:rsidR="00407FD5" w:rsidRPr="00407FD5">
        <w:rPr>
          <w:rFonts w:asciiTheme="majorHAnsi" w:hAnsiTheme="majorHAnsi" w:cs="Century Gothic"/>
          <w:color w:val="000000"/>
        </w:rPr>
        <w:t>Social influence is defined as change in a person's cognition, attitude, or behavio</w:t>
      </w:r>
      <w:r w:rsidR="00284180">
        <w:rPr>
          <w:rFonts w:asciiTheme="majorHAnsi" w:hAnsiTheme="majorHAnsi" w:cs="Century Gothic"/>
          <w:color w:val="000000"/>
        </w:rPr>
        <w:t>u</w:t>
      </w:r>
      <w:r w:rsidR="00407FD5" w:rsidRPr="00407FD5">
        <w:rPr>
          <w:rFonts w:asciiTheme="majorHAnsi" w:hAnsiTheme="majorHAnsi" w:cs="Century Gothic"/>
          <w:color w:val="000000"/>
        </w:rPr>
        <w:t>r, which has its or</w:t>
      </w:r>
      <w:r w:rsidR="00407FD5">
        <w:rPr>
          <w:rFonts w:asciiTheme="majorHAnsi" w:hAnsiTheme="majorHAnsi" w:cs="Century Gothic"/>
          <w:color w:val="000000"/>
        </w:rPr>
        <w:t>igin in another person or group</w:t>
      </w:r>
      <w:r w:rsidR="00407FD5" w:rsidRPr="00407FD5">
        <w:rPr>
          <w:rFonts w:asciiTheme="majorHAnsi" w:hAnsiTheme="majorHAnsi" w:cs="Century Gothic"/>
          <w:color w:val="000000"/>
        </w:rPr>
        <w:t>”</w:t>
      </w:r>
      <w:r w:rsidR="00407FD5">
        <w:rPr>
          <w:rFonts w:asciiTheme="majorHAnsi" w:hAnsiTheme="majorHAnsi" w:cs="Century Gothic"/>
          <w:color w:val="000000"/>
        </w:rPr>
        <w:t xml:space="preserve"> (Raven, 1964). </w:t>
      </w:r>
      <w:r w:rsidR="005F2A56">
        <w:rPr>
          <w:rFonts w:asciiTheme="majorHAnsi" w:hAnsiTheme="majorHAnsi" w:cs="Century Gothic"/>
          <w:color w:val="000000"/>
        </w:rPr>
        <w:t xml:space="preserve">Social influence is known for demonstrating </w:t>
      </w:r>
      <w:r w:rsidR="00E11E18">
        <w:rPr>
          <w:rFonts w:asciiTheme="majorHAnsi" w:hAnsiTheme="majorHAnsi" w:cs="Century Gothic"/>
          <w:color w:val="000000"/>
        </w:rPr>
        <w:t xml:space="preserve">the dramatic psychological phenomena that takes place as a direct response to social pressures (Cialdini &amp; Goldstein, 2004). </w:t>
      </w:r>
      <w:r w:rsidR="004A1ED8">
        <w:rPr>
          <w:rFonts w:asciiTheme="majorHAnsi" w:hAnsiTheme="majorHAnsi" w:cs="Century Gothic"/>
          <w:color w:val="000000"/>
        </w:rPr>
        <w:t>Social influence is m</w:t>
      </w:r>
      <w:r w:rsidR="007368C2">
        <w:rPr>
          <w:rFonts w:asciiTheme="majorHAnsi" w:hAnsiTheme="majorHAnsi" w:cs="Century Gothic"/>
          <w:color w:val="000000"/>
        </w:rPr>
        <w:t>ade up of three different areas; conformity, obedience</w:t>
      </w:r>
      <w:r w:rsidR="00C958D2">
        <w:rPr>
          <w:rFonts w:asciiTheme="majorHAnsi" w:hAnsiTheme="majorHAnsi" w:cs="Century Gothic"/>
          <w:color w:val="000000"/>
        </w:rPr>
        <w:t xml:space="preserve"> and compliance. </w:t>
      </w:r>
    </w:p>
    <w:p w14:paraId="41027ADC" w14:textId="77777777" w:rsidR="009F7507" w:rsidRDefault="00A52435" w:rsidP="00407FD5">
      <w:pPr>
        <w:widowControl w:val="0"/>
        <w:autoSpaceDE w:val="0"/>
        <w:autoSpaceDN w:val="0"/>
        <w:adjustRightInd w:val="0"/>
        <w:spacing w:line="360" w:lineRule="auto"/>
        <w:rPr>
          <w:rFonts w:asciiTheme="majorHAnsi" w:hAnsiTheme="majorHAnsi" w:cs="Century Gothic"/>
          <w:color w:val="000000"/>
        </w:rPr>
      </w:pPr>
      <w:r>
        <w:rPr>
          <w:rFonts w:asciiTheme="majorHAnsi" w:hAnsiTheme="majorHAnsi" w:cs="Century Gothic"/>
          <w:color w:val="000000"/>
        </w:rPr>
        <w:t>Firstly</w:t>
      </w:r>
      <w:r w:rsidR="00F35F06">
        <w:rPr>
          <w:rFonts w:asciiTheme="majorHAnsi" w:hAnsiTheme="majorHAnsi" w:cs="Century Gothic"/>
          <w:color w:val="000000"/>
        </w:rPr>
        <w:t>,</w:t>
      </w:r>
      <w:r>
        <w:rPr>
          <w:rFonts w:asciiTheme="majorHAnsi" w:hAnsiTheme="majorHAnsi" w:cs="Century Gothic"/>
          <w:color w:val="000000"/>
        </w:rPr>
        <w:t xml:space="preserve"> this contribution will look at conformity with relevant evidence to show how conformity works. </w:t>
      </w:r>
      <w:r w:rsidR="00F35F06">
        <w:rPr>
          <w:rFonts w:asciiTheme="majorHAnsi" w:hAnsiTheme="majorHAnsi" w:cs="Century Gothic"/>
          <w:color w:val="000000"/>
        </w:rPr>
        <w:t xml:space="preserve">Conformity is the change in a person’s behaviour to respond in the same way as another </w:t>
      </w:r>
      <w:r w:rsidR="00B94AD4">
        <w:rPr>
          <w:rFonts w:asciiTheme="majorHAnsi" w:hAnsiTheme="majorHAnsi" w:cs="Century Gothic"/>
          <w:color w:val="000000"/>
        </w:rPr>
        <w:t xml:space="preserve">and is made up of two sub-sections; informational conformity and normative conformity </w:t>
      </w:r>
      <w:r w:rsidR="00F35F06">
        <w:rPr>
          <w:rFonts w:asciiTheme="majorHAnsi" w:hAnsiTheme="majorHAnsi" w:cs="Century Gothic"/>
          <w:color w:val="000000"/>
        </w:rPr>
        <w:t>(Cialdini &amp; Goldstein, 2004</w:t>
      </w:r>
      <w:r w:rsidR="00B94AD4">
        <w:rPr>
          <w:rFonts w:asciiTheme="majorHAnsi" w:hAnsiTheme="majorHAnsi" w:cs="Century Gothic"/>
          <w:color w:val="000000"/>
        </w:rPr>
        <w:t>; Deutsch &amp; Gerard, 1955</w:t>
      </w:r>
      <w:r w:rsidR="00F35F06">
        <w:rPr>
          <w:rFonts w:asciiTheme="majorHAnsi" w:hAnsiTheme="majorHAnsi" w:cs="Century Gothic"/>
          <w:color w:val="000000"/>
        </w:rPr>
        <w:t xml:space="preserve">). </w:t>
      </w:r>
      <w:r w:rsidR="00554257">
        <w:rPr>
          <w:rFonts w:asciiTheme="majorHAnsi" w:hAnsiTheme="majorHAnsi" w:cs="Century Gothic"/>
          <w:color w:val="000000"/>
        </w:rPr>
        <w:t>There are clear differences between the two. Informational conformity is based on the want to create an accurate representation of goings on around you and responding appropriately and normative conformity is based on the want to seek approval socially from peers or other indiv</w:t>
      </w:r>
      <w:r w:rsidR="009F7507">
        <w:rPr>
          <w:rFonts w:asciiTheme="majorHAnsi" w:hAnsiTheme="majorHAnsi" w:cs="Century Gothic"/>
          <w:color w:val="000000"/>
        </w:rPr>
        <w:t xml:space="preserve">iduals (Deutsch &amp; Gerard, 1955). </w:t>
      </w:r>
    </w:p>
    <w:p w14:paraId="173023B0" w14:textId="77777777" w:rsidR="00A72C0D" w:rsidRDefault="009F7507" w:rsidP="00407FD5">
      <w:pPr>
        <w:widowControl w:val="0"/>
        <w:autoSpaceDE w:val="0"/>
        <w:autoSpaceDN w:val="0"/>
        <w:adjustRightInd w:val="0"/>
        <w:spacing w:line="360" w:lineRule="auto"/>
        <w:rPr>
          <w:rFonts w:asciiTheme="majorHAnsi" w:hAnsiTheme="majorHAnsi" w:cs="Century Gothic"/>
          <w:color w:val="000000"/>
        </w:rPr>
      </w:pPr>
      <w:r>
        <w:rPr>
          <w:rFonts w:asciiTheme="majorHAnsi" w:hAnsiTheme="majorHAnsi" w:cs="Century Gothic"/>
          <w:color w:val="000000"/>
        </w:rPr>
        <w:t xml:space="preserve">A classic example of conformity is Solomon Asch’s line study or line judgement experiments carried out between 1951 and 1955. </w:t>
      </w:r>
      <w:r w:rsidR="00231F6B">
        <w:rPr>
          <w:rFonts w:asciiTheme="majorHAnsi" w:hAnsiTheme="majorHAnsi" w:cs="Century Gothic"/>
          <w:color w:val="000000"/>
        </w:rPr>
        <w:t>In these experiments seven to nine male college students were shown two cards</w:t>
      </w:r>
      <w:r w:rsidR="0024297E">
        <w:rPr>
          <w:rFonts w:asciiTheme="majorHAnsi" w:hAnsiTheme="majorHAnsi" w:cs="Century Gothic"/>
          <w:color w:val="000000"/>
        </w:rPr>
        <w:t>, with three lines of various lengths (one standard line, one being the same length and the other being different)</w:t>
      </w:r>
      <w:r w:rsidR="0008073F">
        <w:rPr>
          <w:rFonts w:asciiTheme="majorHAnsi" w:hAnsiTheme="majorHAnsi" w:cs="Century Gothic"/>
          <w:color w:val="000000"/>
        </w:rPr>
        <w:t>.</w:t>
      </w:r>
      <w:r w:rsidR="002D60AE">
        <w:rPr>
          <w:rFonts w:asciiTheme="majorHAnsi" w:hAnsiTheme="majorHAnsi" w:cs="Century Gothic"/>
          <w:color w:val="000000"/>
        </w:rPr>
        <w:t xml:space="preserve"> During these trials</w:t>
      </w:r>
      <w:r w:rsidR="00CF08B4">
        <w:rPr>
          <w:rFonts w:asciiTheme="majorHAnsi" w:hAnsiTheme="majorHAnsi" w:cs="Century Gothic"/>
          <w:color w:val="000000"/>
        </w:rPr>
        <w:t>,</w:t>
      </w:r>
      <w:r w:rsidR="002D60AE">
        <w:rPr>
          <w:rFonts w:asciiTheme="majorHAnsi" w:hAnsiTheme="majorHAnsi" w:cs="Century Gothic"/>
          <w:color w:val="000000"/>
        </w:rPr>
        <w:t xml:space="preserve"> out of the seven to nine students only one is an actual participant, the others are planted by Asch and instructed on what to say when beforehand. </w:t>
      </w:r>
      <w:r w:rsidR="00CF08B4">
        <w:rPr>
          <w:rFonts w:asciiTheme="majorHAnsi" w:hAnsiTheme="majorHAnsi" w:cs="Century Gothic"/>
          <w:color w:val="000000"/>
        </w:rPr>
        <w:t xml:space="preserve">While the third trial is taking place, one student disagrees with the majority on the matching line, this makes him the minority. Asch carried out this experiment on one hundred and twenty-three participants, he found that actually a considerable amount of the participants went with the majority and under group pressures 36.8% of the minority changed their answers to gain the approval of the majority (Asch, 1955).  </w:t>
      </w:r>
    </w:p>
    <w:p w14:paraId="2CD5E1A4" w14:textId="30EF4089" w:rsidR="00A72C0D" w:rsidRDefault="00A72C0D" w:rsidP="00407FD5">
      <w:pPr>
        <w:widowControl w:val="0"/>
        <w:autoSpaceDE w:val="0"/>
        <w:autoSpaceDN w:val="0"/>
        <w:adjustRightInd w:val="0"/>
        <w:spacing w:line="360" w:lineRule="auto"/>
        <w:rPr>
          <w:rFonts w:asciiTheme="majorHAnsi" w:hAnsiTheme="majorHAnsi" w:cs="Century Gothic"/>
          <w:color w:val="000000"/>
        </w:rPr>
      </w:pPr>
      <w:r>
        <w:rPr>
          <w:rFonts w:asciiTheme="majorHAnsi" w:hAnsiTheme="majorHAnsi" w:cs="Century Gothic"/>
          <w:color w:val="000000"/>
        </w:rPr>
        <w:lastRenderedPageBreak/>
        <w:t>Following on from conformity, obedience is</w:t>
      </w:r>
      <w:r w:rsidR="00A258B9">
        <w:rPr>
          <w:rFonts w:asciiTheme="majorHAnsi" w:hAnsiTheme="majorHAnsi" w:cs="Century Gothic"/>
          <w:color w:val="000000"/>
        </w:rPr>
        <w:t xml:space="preserve"> </w:t>
      </w:r>
      <w:r w:rsidR="00AC1F3D">
        <w:rPr>
          <w:rFonts w:asciiTheme="majorHAnsi" w:hAnsiTheme="majorHAnsi" w:cs="Century Gothic"/>
          <w:color w:val="000000"/>
        </w:rPr>
        <w:t>how the individual acts in response to another’s authority and more specifically a higher authority</w:t>
      </w:r>
      <w:r w:rsidR="00370196">
        <w:rPr>
          <w:rFonts w:asciiTheme="majorHAnsi" w:hAnsiTheme="majorHAnsi" w:cs="Century Gothic"/>
          <w:color w:val="000000"/>
        </w:rPr>
        <w:t xml:space="preserve">. </w:t>
      </w:r>
      <w:r w:rsidR="00D51B66">
        <w:rPr>
          <w:rFonts w:asciiTheme="majorHAnsi" w:hAnsiTheme="majorHAnsi" w:cs="Century Gothic"/>
          <w:color w:val="000000"/>
        </w:rPr>
        <w:t>A study carried out by</w:t>
      </w:r>
      <w:r w:rsidR="00AE16EF">
        <w:rPr>
          <w:rFonts w:asciiTheme="majorHAnsi" w:hAnsiTheme="majorHAnsi" w:cs="Century Gothic"/>
          <w:color w:val="000000"/>
        </w:rPr>
        <w:t xml:space="preserve"> Stanley</w:t>
      </w:r>
      <w:r w:rsidR="00D51B66">
        <w:rPr>
          <w:rFonts w:asciiTheme="majorHAnsi" w:hAnsiTheme="majorHAnsi" w:cs="Century Gothic"/>
          <w:color w:val="000000"/>
        </w:rPr>
        <w:t xml:space="preserve"> Milgram (1963,1965) is a good example of obedience. Milgram wanted to look into how obedient Germans are to authority figures by encouraging participants to administer</w:t>
      </w:r>
      <w:r w:rsidR="00CA282F">
        <w:rPr>
          <w:rFonts w:asciiTheme="majorHAnsi" w:hAnsiTheme="majorHAnsi" w:cs="Century Gothic"/>
          <w:color w:val="000000"/>
        </w:rPr>
        <w:t xml:space="preserve"> </w:t>
      </w:r>
      <w:r w:rsidR="003E2A02">
        <w:rPr>
          <w:rFonts w:asciiTheme="majorHAnsi" w:hAnsiTheme="majorHAnsi" w:cs="Century Gothic"/>
          <w:color w:val="000000"/>
        </w:rPr>
        <w:t xml:space="preserve">an electric shock to another person by the experimenter. </w:t>
      </w:r>
      <w:r w:rsidR="00494603">
        <w:rPr>
          <w:rFonts w:asciiTheme="majorHAnsi" w:hAnsiTheme="majorHAnsi" w:cs="Century Gothic"/>
          <w:color w:val="000000"/>
        </w:rPr>
        <w:t xml:space="preserve">Selected from a newspaper advert, the male participants were told that they would be taking part in a lab experiment looking in to ‘learning’. </w:t>
      </w:r>
      <w:r w:rsidR="00515E5C">
        <w:rPr>
          <w:rFonts w:asciiTheme="majorHAnsi" w:hAnsiTheme="majorHAnsi" w:cs="Century Gothic"/>
          <w:color w:val="000000"/>
        </w:rPr>
        <w:t xml:space="preserve">Following an introduction to Mr Wallace (a confederate of Milgram), straws were drawn as to who would be the teacher and the learner. This was fixed by Milgram so that Mr Wallace, the confederate was always the learner. </w:t>
      </w:r>
      <w:r w:rsidR="00F46C66">
        <w:rPr>
          <w:rFonts w:asciiTheme="majorHAnsi" w:hAnsiTheme="majorHAnsi" w:cs="Century Gothic"/>
          <w:color w:val="000000"/>
        </w:rPr>
        <w:t xml:space="preserve">Mr Wallace is strapped to the chair with the electrodes. He is given a list of words to learn and is then tested on these words by the participant. </w:t>
      </w:r>
      <w:r w:rsidR="00E55286">
        <w:rPr>
          <w:rFonts w:asciiTheme="majorHAnsi" w:hAnsiTheme="majorHAnsi" w:cs="Century Gothic"/>
          <w:color w:val="000000"/>
        </w:rPr>
        <w:t>The participant is asked to give Mr Wallace an electric shock every time he makes a mistake, while increasing the voltage of the shock every time</w:t>
      </w:r>
      <w:r w:rsidR="00FC2679">
        <w:rPr>
          <w:rFonts w:asciiTheme="majorHAnsi" w:hAnsiTheme="majorHAnsi" w:cs="Century Gothic"/>
          <w:color w:val="000000"/>
        </w:rPr>
        <w:t xml:space="preserve">. 65% of participants would give the highest voltage of four hundred and fifty volts and all participants went to three hundred volts. </w:t>
      </w:r>
      <w:r w:rsidR="00AA3E48">
        <w:rPr>
          <w:rFonts w:asciiTheme="majorHAnsi" w:hAnsiTheme="majorHAnsi" w:cs="Century Gothic"/>
          <w:color w:val="000000"/>
        </w:rPr>
        <w:t xml:space="preserve">This experiment was carried out by Milgram (1963, 1965) multiple times with eighteen variations, altering the independent variable (the situation) to see the affect it had on the dependent variable (obedience). </w:t>
      </w:r>
      <w:r w:rsidR="00DD75B4">
        <w:rPr>
          <w:rFonts w:asciiTheme="majorHAnsi" w:hAnsiTheme="majorHAnsi" w:cs="Century Gothic"/>
          <w:color w:val="000000"/>
        </w:rPr>
        <w:t xml:space="preserve">Dolinski et al (2005) has replicated the experiment </w:t>
      </w:r>
      <w:r w:rsidR="004470F0">
        <w:rPr>
          <w:rFonts w:asciiTheme="majorHAnsi" w:hAnsiTheme="majorHAnsi" w:cs="Century Gothic"/>
          <w:color w:val="000000"/>
        </w:rPr>
        <w:t>and found that even though there has been a lot of time since Milgram’s original study experimenter with 95% of participants pressing the tenth button.</w:t>
      </w:r>
    </w:p>
    <w:p w14:paraId="5BFADE69" w14:textId="258184AF" w:rsidR="004470F0" w:rsidRDefault="004470F0" w:rsidP="00407FD5">
      <w:pPr>
        <w:widowControl w:val="0"/>
        <w:autoSpaceDE w:val="0"/>
        <w:autoSpaceDN w:val="0"/>
        <w:adjustRightInd w:val="0"/>
        <w:spacing w:line="360" w:lineRule="auto"/>
        <w:rPr>
          <w:rFonts w:asciiTheme="majorHAnsi" w:hAnsiTheme="majorHAnsi" w:cs="Century Gothic"/>
          <w:color w:val="000000"/>
        </w:rPr>
      </w:pPr>
      <w:r>
        <w:rPr>
          <w:rFonts w:asciiTheme="majorHAnsi" w:hAnsiTheme="majorHAnsi" w:cs="Century Gothic"/>
          <w:color w:val="000000"/>
        </w:rPr>
        <w:t>Finally, this contribution will look at compliance. Compliance is the response of a person to a certain request. This request may be a direct request for funds for charity campaigns or could be someone advertising a political campaign indirectly asking for a vote. In all of these cases the subject is aware that they are required to give a certain response (Cialdini &amp; Goldstein, 2005).</w:t>
      </w:r>
    </w:p>
    <w:p w14:paraId="14BCAE90" w14:textId="765EE041" w:rsidR="004470F0" w:rsidRDefault="004470F0" w:rsidP="00407FD5">
      <w:pPr>
        <w:widowControl w:val="0"/>
        <w:autoSpaceDE w:val="0"/>
        <w:autoSpaceDN w:val="0"/>
        <w:adjustRightInd w:val="0"/>
        <w:spacing w:line="360" w:lineRule="auto"/>
        <w:rPr>
          <w:rFonts w:asciiTheme="majorHAnsi" w:hAnsiTheme="majorHAnsi" w:cs="Century Gothic"/>
          <w:color w:val="000000"/>
        </w:rPr>
      </w:pPr>
      <w:r>
        <w:rPr>
          <w:rFonts w:asciiTheme="majorHAnsi" w:hAnsiTheme="majorHAnsi" w:cs="Century Gothic"/>
          <w:color w:val="000000"/>
        </w:rPr>
        <w:t>A classic example of compliance is the ‘that’s not all’</w:t>
      </w:r>
      <w:r w:rsidR="00D416E1">
        <w:rPr>
          <w:rFonts w:asciiTheme="majorHAnsi" w:hAnsiTheme="majorHAnsi" w:cs="Century Gothic"/>
          <w:color w:val="000000"/>
        </w:rPr>
        <w:t xml:space="preserve"> technique by Burger (1986) also known as the fear-then-relief procedure. The intended targets in this situation can often feel burdened with being able to comprehend the task in hand correctly, evaluating and responding to the request asked in a limited amount of time and are then in turn unable to make a rational decision. This is a technique c</w:t>
      </w:r>
      <w:r w:rsidR="00B22EF3">
        <w:rPr>
          <w:rFonts w:asciiTheme="majorHAnsi" w:hAnsiTheme="majorHAnsi" w:cs="Century Gothic"/>
          <w:color w:val="000000"/>
        </w:rPr>
        <w:t>ommonly used by sales professionals</w:t>
      </w:r>
      <w:r w:rsidR="004956B6">
        <w:rPr>
          <w:rFonts w:asciiTheme="majorHAnsi" w:hAnsiTheme="majorHAnsi" w:cs="Century Gothic"/>
          <w:color w:val="000000"/>
        </w:rPr>
        <w:t xml:space="preserve"> to take advantage of the limit on people’</w:t>
      </w:r>
      <w:r w:rsidR="00805DC5">
        <w:rPr>
          <w:rFonts w:asciiTheme="majorHAnsi" w:hAnsiTheme="majorHAnsi" w:cs="Century Gothic"/>
          <w:color w:val="000000"/>
        </w:rPr>
        <w:t>s abilit</w:t>
      </w:r>
      <w:r w:rsidR="004956B6">
        <w:rPr>
          <w:rFonts w:asciiTheme="majorHAnsi" w:hAnsiTheme="majorHAnsi" w:cs="Century Gothic"/>
          <w:color w:val="000000"/>
        </w:rPr>
        <w:t xml:space="preserve">y to make a clear judgement. </w:t>
      </w:r>
      <w:r w:rsidR="00805DC5">
        <w:rPr>
          <w:rFonts w:asciiTheme="majorHAnsi" w:hAnsiTheme="majorHAnsi" w:cs="Century Gothic"/>
          <w:color w:val="000000"/>
        </w:rPr>
        <w:t xml:space="preserve">The target is presented with a request that is almost immediately followed by a sweetening of the deal, this will either be a reduce in the cost or an increase in the benefit if they are compliant, all before the target has the ability to respond (Cialdini &amp; Goldstein, 2005). This technique does however have its limitations, Burger &amp; colleagues (1999) showed that the technique could fail if the original request was too demanding or costly. Pollock et al (1998) suggested an alternative for Burger’s original ‘that’s not all’ findings. They suggested that the ‘that’s not all’ technique worked when potential targets act without thinking on the counterfactuals that make it look like they are getting </w:t>
      </w:r>
      <w:r w:rsidR="007F63E6">
        <w:rPr>
          <w:rFonts w:asciiTheme="majorHAnsi" w:hAnsiTheme="majorHAnsi" w:cs="Century Gothic"/>
          <w:color w:val="000000"/>
        </w:rPr>
        <w:t xml:space="preserve">a bargain. </w:t>
      </w:r>
    </w:p>
    <w:p w14:paraId="24C7271F" w14:textId="3D73E015" w:rsidR="00424F29" w:rsidRDefault="00424F29" w:rsidP="00407FD5">
      <w:pPr>
        <w:widowControl w:val="0"/>
        <w:autoSpaceDE w:val="0"/>
        <w:autoSpaceDN w:val="0"/>
        <w:adjustRightInd w:val="0"/>
        <w:spacing w:line="360" w:lineRule="auto"/>
        <w:rPr>
          <w:rFonts w:asciiTheme="majorHAnsi" w:hAnsiTheme="majorHAnsi" w:cs="Century Gothic"/>
          <w:color w:val="000000"/>
        </w:rPr>
      </w:pPr>
      <w:r>
        <w:rPr>
          <w:rFonts w:asciiTheme="majorHAnsi" w:hAnsiTheme="majorHAnsi" w:cs="Century Gothic"/>
          <w:color w:val="000000"/>
        </w:rPr>
        <w:t xml:space="preserve">To conclude the review of the literature, show the three key elements of social influence; conformity, obedience and compliance and how these processes work to have an effect on an individual. They all show that humans have the need to want to be accepted by an authority figure or peers and in turn will be obedient and/or conform to gain that acceptance, even in the extreme with Milgram’s electric shock study. They also show that humans like to be compliant when a bargain is expected for doing so and that group pressure or pressures from the individual will make participants change their minds. </w:t>
      </w:r>
    </w:p>
    <w:p w14:paraId="243E2E17" w14:textId="77777777" w:rsidR="00407FD5" w:rsidRDefault="00407FD5" w:rsidP="00407FD5">
      <w:pPr>
        <w:widowControl w:val="0"/>
        <w:autoSpaceDE w:val="0"/>
        <w:autoSpaceDN w:val="0"/>
        <w:adjustRightInd w:val="0"/>
        <w:spacing w:line="360" w:lineRule="auto"/>
        <w:rPr>
          <w:rFonts w:asciiTheme="majorHAnsi" w:hAnsiTheme="majorHAnsi" w:cs="Century Gothic"/>
          <w:color w:val="000000"/>
        </w:rPr>
      </w:pPr>
    </w:p>
    <w:p w14:paraId="09CF41A4" w14:textId="77777777" w:rsidR="00407FD5" w:rsidRDefault="00407FD5" w:rsidP="00407FD5">
      <w:pPr>
        <w:widowControl w:val="0"/>
        <w:autoSpaceDE w:val="0"/>
        <w:autoSpaceDN w:val="0"/>
        <w:adjustRightInd w:val="0"/>
        <w:spacing w:line="360" w:lineRule="auto"/>
        <w:rPr>
          <w:rFonts w:asciiTheme="majorHAnsi" w:hAnsiTheme="majorHAnsi" w:cs="Century Gothic"/>
          <w:color w:val="000000"/>
        </w:rPr>
      </w:pPr>
      <w:bookmarkStart w:id="0" w:name="_GoBack"/>
      <w:bookmarkEnd w:id="0"/>
    </w:p>
    <w:p w14:paraId="6F15D896" w14:textId="77777777" w:rsidR="00407FD5" w:rsidRDefault="00407FD5" w:rsidP="00407FD5">
      <w:pPr>
        <w:widowControl w:val="0"/>
        <w:autoSpaceDE w:val="0"/>
        <w:autoSpaceDN w:val="0"/>
        <w:adjustRightInd w:val="0"/>
        <w:spacing w:line="360" w:lineRule="auto"/>
        <w:rPr>
          <w:rFonts w:asciiTheme="majorHAnsi" w:hAnsiTheme="majorHAnsi" w:cs="Century Gothic"/>
          <w:color w:val="000000"/>
        </w:rPr>
      </w:pPr>
    </w:p>
    <w:p w14:paraId="3422F28C" w14:textId="77777777" w:rsidR="00407FD5" w:rsidRDefault="00407FD5" w:rsidP="00407FD5">
      <w:pPr>
        <w:widowControl w:val="0"/>
        <w:autoSpaceDE w:val="0"/>
        <w:autoSpaceDN w:val="0"/>
        <w:adjustRightInd w:val="0"/>
        <w:spacing w:line="360" w:lineRule="auto"/>
        <w:rPr>
          <w:rFonts w:asciiTheme="majorHAnsi" w:hAnsiTheme="majorHAnsi" w:cs="Century Gothic"/>
          <w:color w:val="000000"/>
          <w:u w:val="single"/>
        </w:rPr>
      </w:pPr>
      <w:r>
        <w:rPr>
          <w:rFonts w:asciiTheme="majorHAnsi" w:hAnsiTheme="majorHAnsi" w:cs="Century Gothic"/>
          <w:color w:val="000000"/>
          <w:u w:val="single"/>
        </w:rPr>
        <w:t xml:space="preserve">Reference list </w:t>
      </w:r>
    </w:p>
    <w:p w14:paraId="7727E5C9" w14:textId="77777777" w:rsidR="00424F29" w:rsidRDefault="00424F29" w:rsidP="00407FD5">
      <w:pPr>
        <w:widowControl w:val="0"/>
        <w:autoSpaceDE w:val="0"/>
        <w:autoSpaceDN w:val="0"/>
        <w:adjustRightInd w:val="0"/>
        <w:spacing w:line="360" w:lineRule="auto"/>
        <w:rPr>
          <w:rFonts w:asciiTheme="majorHAnsi" w:hAnsiTheme="majorHAnsi" w:cs="Century Gothic"/>
          <w:color w:val="000000"/>
          <w:u w:val="single"/>
        </w:rPr>
      </w:pPr>
    </w:p>
    <w:p w14:paraId="397FCEA8" w14:textId="77777777" w:rsidR="00424F29" w:rsidRDefault="00424F29" w:rsidP="00424F29">
      <w:pPr>
        <w:widowControl w:val="0"/>
        <w:autoSpaceDE w:val="0"/>
        <w:autoSpaceDN w:val="0"/>
        <w:adjustRightInd w:val="0"/>
        <w:spacing w:line="360" w:lineRule="auto"/>
        <w:rPr>
          <w:rFonts w:asciiTheme="majorHAnsi" w:hAnsiTheme="majorHAnsi" w:cs="Century Gothic"/>
          <w:color w:val="000000"/>
        </w:rPr>
      </w:pPr>
      <w:r w:rsidRPr="00424F29">
        <w:rPr>
          <w:rFonts w:asciiTheme="majorHAnsi" w:hAnsiTheme="majorHAnsi" w:cs="Century Gothic"/>
          <w:color w:val="000000"/>
        </w:rPr>
        <w:t>Asch, S. E. (1955). Opinions and social pressure. </w:t>
      </w:r>
      <w:r w:rsidRPr="00424F29">
        <w:rPr>
          <w:rFonts w:asciiTheme="majorHAnsi" w:hAnsiTheme="majorHAnsi" w:cs="Century Gothic"/>
          <w:i/>
          <w:iCs/>
          <w:color w:val="000000"/>
        </w:rPr>
        <w:t>Scientific American</w:t>
      </w:r>
      <w:r w:rsidRPr="00424F29">
        <w:rPr>
          <w:rFonts w:asciiTheme="majorHAnsi" w:hAnsiTheme="majorHAnsi" w:cs="Century Gothic"/>
          <w:color w:val="000000"/>
        </w:rPr>
        <w:t>, </w:t>
      </w:r>
      <w:r w:rsidRPr="00424F29">
        <w:rPr>
          <w:rFonts w:asciiTheme="majorHAnsi" w:hAnsiTheme="majorHAnsi" w:cs="Century Gothic"/>
          <w:i/>
          <w:iCs/>
          <w:color w:val="000000"/>
        </w:rPr>
        <w:t>193</w:t>
      </w:r>
      <w:r w:rsidRPr="00424F29">
        <w:rPr>
          <w:rFonts w:asciiTheme="majorHAnsi" w:hAnsiTheme="majorHAnsi" w:cs="Century Gothic"/>
          <w:color w:val="000000"/>
        </w:rPr>
        <w:t>(5), 31-35.</w:t>
      </w:r>
    </w:p>
    <w:p w14:paraId="4C3488C8" w14:textId="77777777" w:rsidR="004E5740" w:rsidRDefault="004E5740" w:rsidP="00424F29">
      <w:pPr>
        <w:widowControl w:val="0"/>
        <w:autoSpaceDE w:val="0"/>
        <w:autoSpaceDN w:val="0"/>
        <w:adjustRightInd w:val="0"/>
        <w:spacing w:line="360" w:lineRule="auto"/>
        <w:rPr>
          <w:rFonts w:asciiTheme="majorHAnsi" w:hAnsiTheme="majorHAnsi" w:cs="Century Gothic"/>
          <w:color w:val="000000"/>
        </w:rPr>
      </w:pPr>
    </w:p>
    <w:p w14:paraId="0FD555B4" w14:textId="7409AB3D" w:rsidR="00A67B7C" w:rsidRDefault="00A67B7C" w:rsidP="00A67B7C">
      <w:pPr>
        <w:widowControl w:val="0"/>
        <w:autoSpaceDE w:val="0"/>
        <w:autoSpaceDN w:val="0"/>
        <w:adjustRightInd w:val="0"/>
        <w:spacing w:line="360" w:lineRule="auto"/>
        <w:ind w:left="720" w:hanging="720"/>
        <w:rPr>
          <w:rFonts w:asciiTheme="majorHAnsi" w:hAnsiTheme="majorHAnsi" w:cs="Century Gothic"/>
          <w:color w:val="000000"/>
        </w:rPr>
      </w:pPr>
      <w:r>
        <w:rPr>
          <w:rFonts w:asciiTheme="majorHAnsi" w:hAnsiTheme="majorHAnsi" w:cs="Century Gothic"/>
          <w:color w:val="000000"/>
        </w:rPr>
        <w:t xml:space="preserve">Burger, J. M. (1986). Increasing compliance by improving the deal: the that’s-not-all technique. </w:t>
      </w:r>
      <w:r>
        <w:rPr>
          <w:rFonts w:asciiTheme="majorHAnsi" w:hAnsiTheme="majorHAnsi" w:cs="Century Gothic"/>
          <w:i/>
          <w:color w:val="000000"/>
        </w:rPr>
        <w:t xml:space="preserve">J. Personal. Soc. Psychol. </w:t>
      </w:r>
      <w:r>
        <w:rPr>
          <w:rFonts w:asciiTheme="majorHAnsi" w:hAnsiTheme="majorHAnsi" w:cs="Century Gothic"/>
          <w:color w:val="000000"/>
        </w:rPr>
        <w:t>51:277-283</w:t>
      </w:r>
    </w:p>
    <w:p w14:paraId="3B94880F" w14:textId="77777777" w:rsidR="004E5740" w:rsidRDefault="004E5740" w:rsidP="00A67B7C">
      <w:pPr>
        <w:widowControl w:val="0"/>
        <w:autoSpaceDE w:val="0"/>
        <w:autoSpaceDN w:val="0"/>
        <w:adjustRightInd w:val="0"/>
        <w:spacing w:line="360" w:lineRule="auto"/>
        <w:ind w:left="720" w:hanging="720"/>
        <w:rPr>
          <w:rFonts w:asciiTheme="majorHAnsi" w:hAnsiTheme="majorHAnsi" w:cs="Century Gothic"/>
          <w:color w:val="000000"/>
        </w:rPr>
      </w:pPr>
    </w:p>
    <w:p w14:paraId="31FB2F95" w14:textId="6BD6560A" w:rsidR="00A67B7C" w:rsidRDefault="00A67B7C" w:rsidP="00A67B7C">
      <w:pPr>
        <w:widowControl w:val="0"/>
        <w:autoSpaceDE w:val="0"/>
        <w:autoSpaceDN w:val="0"/>
        <w:adjustRightInd w:val="0"/>
        <w:spacing w:line="360" w:lineRule="auto"/>
        <w:ind w:left="720" w:hanging="720"/>
        <w:rPr>
          <w:rFonts w:asciiTheme="majorHAnsi" w:hAnsiTheme="majorHAnsi" w:cs="Century Gothic"/>
          <w:color w:val="000000"/>
        </w:rPr>
      </w:pPr>
      <w:r>
        <w:rPr>
          <w:rFonts w:asciiTheme="majorHAnsi" w:hAnsiTheme="majorHAnsi" w:cs="Century Gothic"/>
          <w:color w:val="000000"/>
        </w:rPr>
        <w:t xml:space="preserve">Burger, J. M. (1999). The foot-in-the-door compliance procedure: a multiple-process analysis and review. </w:t>
      </w:r>
      <w:r>
        <w:rPr>
          <w:rFonts w:asciiTheme="majorHAnsi" w:hAnsiTheme="majorHAnsi" w:cs="Century Gothic"/>
          <w:i/>
          <w:color w:val="000000"/>
        </w:rPr>
        <w:t xml:space="preserve">Personal. Soc. Psychol. Rev. </w:t>
      </w:r>
      <w:r w:rsidRPr="00A67B7C">
        <w:rPr>
          <w:rFonts w:asciiTheme="majorHAnsi" w:hAnsiTheme="majorHAnsi" w:cs="Century Gothic"/>
          <w:color w:val="000000"/>
        </w:rPr>
        <w:t>3:303-325</w:t>
      </w:r>
    </w:p>
    <w:p w14:paraId="7961E4D4" w14:textId="77777777" w:rsidR="004E5740" w:rsidRPr="00A67B7C" w:rsidRDefault="004E5740" w:rsidP="00A67B7C">
      <w:pPr>
        <w:widowControl w:val="0"/>
        <w:autoSpaceDE w:val="0"/>
        <w:autoSpaceDN w:val="0"/>
        <w:adjustRightInd w:val="0"/>
        <w:spacing w:line="360" w:lineRule="auto"/>
        <w:ind w:left="720" w:hanging="720"/>
        <w:rPr>
          <w:rFonts w:asciiTheme="majorHAnsi" w:hAnsiTheme="majorHAnsi" w:cs="Times"/>
          <w:i/>
          <w:color w:val="000000"/>
        </w:rPr>
      </w:pPr>
    </w:p>
    <w:p w14:paraId="42B690B9" w14:textId="77777777" w:rsidR="00CA7F8A" w:rsidRDefault="00CA7F8A" w:rsidP="00CA7F8A">
      <w:pPr>
        <w:widowControl w:val="0"/>
        <w:autoSpaceDE w:val="0"/>
        <w:autoSpaceDN w:val="0"/>
        <w:adjustRightInd w:val="0"/>
        <w:spacing w:line="360" w:lineRule="auto"/>
        <w:ind w:left="720" w:hanging="720"/>
        <w:rPr>
          <w:rFonts w:asciiTheme="majorHAnsi" w:hAnsiTheme="majorHAnsi" w:cs="Century Gothic"/>
          <w:color w:val="000000"/>
        </w:rPr>
      </w:pPr>
      <w:r w:rsidRPr="00CA7F8A">
        <w:rPr>
          <w:rFonts w:asciiTheme="majorHAnsi" w:hAnsiTheme="majorHAnsi" w:cs="Century Gothic"/>
          <w:color w:val="000000"/>
        </w:rPr>
        <w:t>Cialdini, R. B., &amp; Goldstein, N. J. (2004). Social influence: Compliance and conformity. </w:t>
      </w:r>
      <w:r w:rsidRPr="00CA7F8A">
        <w:rPr>
          <w:rFonts w:asciiTheme="majorHAnsi" w:hAnsiTheme="majorHAnsi" w:cs="Century Gothic"/>
          <w:i/>
          <w:iCs/>
          <w:color w:val="000000"/>
        </w:rPr>
        <w:t>Annu. Rev. Psychol.</w:t>
      </w:r>
      <w:r w:rsidRPr="00CA7F8A">
        <w:rPr>
          <w:rFonts w:asciiTheme="majorHAnsi" w:hAnsiTheme="majorHAnsi" w:cs="Century Gothic"/>
          <w:color w:val="000000"/>
        </w:rPr>
        <w:t>, </w:t>
      </w:r>
      <w:r w:rsidRPr="00CA7F8A">
        <w:rPr>
          <w:rFonts w:asciiTheme="majorHAnsi" w:hAnsiTheme="majorHAnsi" w:cs="Century Gothic"/>
          <w:i/>
          <w:iCs/>
          <w:color w:val="000000"/>
        </w:rPr>
        <w:t>55</w:t>
      </w:r>
      <w:r w:rsidRPr="00CA7F8A">
        <w:rPr>
          <w:rFonts w:asciiTheme="majorHAnsi" w:hAnsiTheme="majorHAnsi" w:cs="Century Gothic"/>
          <w:color w:val="000000"/>
        </w:rPr>
        <w:t>, 591-621.</w:t>
      </w:r>
    </w:p>
    <w:p w14:paraId="3975DB11" w14:textId="77777777" w:rsidR="004E5740" w:rsidRDefault="004E5740" w:rsidP="00CA7F8A">
      <w:pPr>
        <w:widowControl w:val="0"/>
        <w:autoSpaceDE w:val="0"/>
        <w:autoSpaceDN w:val="0"/>
        <w:adjustRightInd w:val="0"/>
        <w:spacing w:line="360" w:lineRule="auto"/>
        <w:ind w:left="720" w:hanging="720"/>
        <w:rPr>
          <w:rFonts w:asciiTheme="majorHAnsi" w:hAnsiTheme="majorHAnsi" w:cs="Century Gothic"/>
          <w:color w:val="000000"/>
        </w:rPr>
      </w:pPr>
    </w:p>
    <w:p w14:paraId="18AFB05A" w14:textId="5C2CF0E2" w:rsidR="00A67B7C" w:rsidRDefault="00A67B7C" w:rsidP="00CA7F8A">
      <w:pPr>
        <w:widowControl w:val="0"/>
        <w:autoSpaceDE w:val="0"/>
        <w:autoSpaceDN w:val="0"/>
        <w:adjustRightInd w:val="0"/>
        <w:spacing w:line="360" w:lineRule="auto"/>
        <w:ind w:left="720" w:hanging="720"/>
        <w:rPr>
          <w:rFonts w:asciiTheme="majorHAnsi" w:hAnsiTheme="majorHAnsi" w:cs="Century Gothic"/>
          <w:color w:val="000000"/>
        </w:rPr>
      </w:pPr>
      <w:r>
        <w:rPr>
          <w:rFonts w:asciiTheme="majorHAnsi" w:hAnsiTheme="majorHAnsi" w:cs="Century Gothic"/>
          <w:color w:val="000000"/>
        </w:rPr>
        <w:t xml:space="preserve">Deutsch, M. &amp; Gerard, H. B. (1955). </w:t>
      </w:r>
      <w:r w:rsidR="004E5740">
        <w:rPr>
          <w:rFonts w:asciiTheme="majorHAnsi" w:hAnsiTheme="majorHAnsi" w:cs="Century Gothic"/>
          <w:color w:val="000000"/>
        </w:rPr>
        <w:t xml:space="preserve">A study of normative and informative social influences upon individual judgement, </w:t>
      </w:r>
      <w:r w:rsidR="004E5740">
        <w:rPr>
          <w:rFonts w:asciiTheme="majorHAnsi" w:hAnsiTheme="majorHAnsi" w:cs="Century Gothic"/>
          <w:i/>
          <w:color w:val="000000"/>
        </w:rPr>
        <w:t xml:space="preserve">J. Abnorm. Soc. Psychol. </w:t>
      </w:r>
      <w:r w:rsidR="004E5740">
        <w:rPr>
          <w:rFonts w:asciiTheme="majorHAnsi" w:hAnsiTheme="majorHAnsi" w:cs="Century Gothic"/>
          <w:color w:val="000000"/>
        </w:rPr>
        <w:t>51:629-636</w:t>
      </w:r>
    </w:p>
    <w:p w14:paraId="6FFF8A9F" w14:textId="77777777" w:rsidR="004E5740" w:rsidRPr="004E5740" w:rsidRDefault="004E5740" w:rsidP="00CA7F8A">
      <w:pPr>
        <w:widowControl w:val="0"/>
        <w:autoSpaceDE w:val="0"/>
        <w:autoSpaceDN w:val="0"/>
        <w:adjustRightInd w:val="0"/>
        <w:spacing w:line="360" w:lineRule="auto"/>
        <w:ind w:left="720" w:hanging="720"/>
        <w:rPr>
          <w:rFonts w:asciiTheme="majorHAnsi" w:hAnsiTheme="majorHAnsi" w:cs="Times"/>
          <w:color w:val="000000"/>
        </w:rPr>
      </w:pPr>
    </w:p>
    <w:p w14:paraId="6827E08E" w14:textId="481B43D7" w:rsidR="00424F29" w:rsidRDefault="00424F29" w:rsidP="00EF2A31">
      <w:pPr>
        <w:widowControl w:val="0"/>
        <w:autoSpaceDE w:val="0"/>
        <w:autoSpaceDN w:val="0"/>
        <w:adjustRightInd w:val="0"/>
        <w:spacing w:line="360" w:lineRule="auto"/>
        <w:ind w:left="720" w:hanging="720"/>
        <w:rPr>
          <w:rFonts w:asciiTheme="majorHAnsi" w:hAnsiTheme="majorHAnsi" w:cs="Century Gothic"/>
          <w:color w:val="000000"/>
        </w:rPr>
      </w:pPr>
      <w:r w:rsidRPr="00424F29">
        <w:rPr>
          <w:rFonts w:asciiTheme="majorHAnsi" w:hAnsiTheme="majorHAnsi" w:cs="Century Gothic"/>
          <w:color w:val="000000"/>
        </w:rPr>
        <w:t>Doliński. D., Grzyb. T., Folwarczny. M., Grzybała. P., Krzyszycha. K., Martynowska. K., &amp; Trojanowski. J. (2017). Would You Deliver an Electric Shock in 2015? Obedience in the Experimental Paradigm Developed by Stanley Milgram in the 50 Years Following the Original Studies. </w:t>
      </w:r>
      <w:r w:rsidRPr="00424F29">
        <w:rPr>
          <w:rFonts w:asciiTheme="majorHAnsi" w:hAnsiTheme="majorHAnsi" w:cs="Century Gothic"/>
          <w:i/>
          <w:iCs/>
          <w:color w:val="000000"/>
        </w:rPr>
        <w:t>Social Psychological and Personality Science,</w:t>
      </w:r>
      <w:r w:rsidRPr="00424F29">
        <w:rPr>
          <w:rFonts w:asciiTheme="majorHAnsi" w:hAnsiTheme="majorHAnsi" w:cs="Century Gothic"/>
          <w:color w:val="000000"/>
        </w:rPr>
        <w:t> </w:t>
      </w:r>
      <w:r w:rsidRPr="00424F29">
        <w:rPr>
          <w:rFonts w:asciiTheme="majorHAnsi" w:hAnsiTheme="majorHAnsi" w:cs="Century Gothic"/>
          <w:i/>
          <w:iCs/>
          <w:color w:val="000000"/>
        </w:rPr>
        <w:t>8</w:t>
      </w:r>
      <w:r w:rsidR="004E5740">
        <w:rPr>
          <w:rFonts w:asciiTheme="majorHAnsi" w:hAnsiTheme="majorHAnsi" w:cs="Century Gothic"/>
          <w:color w:val="000000"/>
        </w:rPr>
        <w:t>(8), 927-933.</w:t>
      </w:r>
    </w:p>
    <w:p w14:paraId="0FC64512" w14:textId="789198AC" w:rsidR="004E5740" w:rsidRDefault="004E5740" w:rsidP="004E5740">
      <w:pPr>
        <w:pStyle w:val="NormalWeb"/>
        <w:spacing w:line="360" w:lineRule="auto"/>
        <w:ind w:left="720" w:hanging="720"/>
        <w:rPr>
          <w:rFonts w:asciiTheme="majorHAnsi" w:hAnsiTheme="majorHAnsi"/>
        </w:rPr>
      </w:pPr>
      <w:r>
        <w:rPr>
          <w:rFonts w:asciiTheme="majorHAnsi" w:hAnsiTheme="majorHAnsi"/>
        </w:rPr>
        <w:t>Milgram,</w:t>
      </w:r>
      <w:r w:rsidRPr="004E5740">
        <w:rPr>
          <w:rFonts w:asciiTheme="majorHAnsi" w:hAnsiTheme="majorHAnsi"/>
        </w:rPr>
        <w:t xml:space="preserve"> S. (1963). Behavioral study of obedience. Journal of Abnormal and Social Psychology, 67, 371–378. doi:10.1037/ h0040525 </w:t>
      </w:r>
    </w:p>
    <w:p w14:paraId="73404498" w14:textId="77777777" w:rsidR="004E5740" w:rsidRDefault="004E5740" w:rsidP="004E5740">
      <w:pPr>
        <w:pStyle w:val="NormalWeb"/>
        <w:spacing w:line="360" w:lineRule="auto"/>
        <w:ind w:left="720" w:hanging="720"/>
        <w:rPr>
          <w:rFonts w:asciiTheme="majorHAnsi" w:hAnsiTheme="majorHAnsi"/>
        </w:rPr>
      </w:pPr>
      <w:r w:rsidRPr="004E5740">
        <w:rPr>
          <w:rFonts w:asciiTheme="majorHAnsi" w:hAnsiTheme="majorHAnsi"/>
        </w:rPr>
        <w:t xml:space="preserve">Milgram, S. (1965). Some conditions of obedience and disobedience to authority. Human Relations, 18, 57–76. doi:10.1177/ 001872676501800105 </w:t>
      </w:r>
    </w:p>
    <w:p w14:paraId="3A4DD407" w14:textId="03946BFD" w:rsidR="00424F29" w:rsidRPr="004E5740" w:rsidRDefault="004E5740" w:rsidP="004E5740">
      <w:pPr>
        <w:pStyle w:val="NormalWeb"/>
        <w:spacing w:line="360" w:lineRule="auto"/>
        <w:ind w:left="720" w:hanging="720"/>
        <w:rPr>
          <w:rFonts w:asciiTheme="majorHAnsi" w:hAnsiTheme="majorHAnsi"/>
        </w:rPr>
      </w:pPr>
      <w:r>
        <w:rPr>
          <w:rFonts w:asciiTheme="majorHAnsi" w:hAnsiTheme="majorHAnsi" w:cs="Century Gothic"/>
          <w:color w:val="000000"/>
        </w:rPr>
        <w:t xml:space="preserve">Pollock, C. L., Smith, S. D., Knowles, E. S. &amp; Bruce, H. J. (1998). Mindfulness limits compliance with the that’s-not-all technique. </w:t>
      </w:r>
      <w:r>
        <w:rPr>
          <w:rFonts w:asciiTheme="majorHAnsi" w:hAnsiTheme="majorHAnsi" w:cs="Century Gothic"/>
          <w:i/>
          <w:color w:val="000000"/>
        </w:rPr>
        <w:t xml:space="preserve">Personal. Soc. Psychol. Bull. </w:t>
      </w:r>
      <w:r>
        <w:rPr>
          <w:rFonts w:asciiTheme="majorHAnsi" w:hAnsiTheme="majorHAnsi" w:cs="Century Gothic"/>
          <w:color w:val="000000"/>
        </w:rPr>
        <w:t>24:1153-1157</w:t>
      </w:r>
    </w:p>
    <w:p w14:paraId="15CCB17C" w14:textId="77777777" w:rsidR="00407FD5" w:rsidRPr="00407FD5" w:rsidRDefault="00407FD5" w:rsidP="00407FD5">
      <w:pPr>
        <w:widowControl w:val="0"/>
        <w:autoSpaceDE w:val="0"/>
        <w:autoSpaceDN w:val="0"/>
        <w:adjustRightInd w:val="0"/>
        <w:spacing w:line="360" w:lineRule="auto"/>
        <w:rPr>
          <w:rFonts w:asciiTheme="majorHAnsi" w:hAnsiTheme="majorHAnsi" w:cs="Times"/>
          <w:color w:val="000000"/>
        </w:rPr>
      </w:pPr>
      <w:r w:rsidRPr="00407FD5">
        <w:rPr>
          <w:rFonts w:asciiTheme="majorHAnsi" w:hAnsiTheme="majorHAnsi" w:cs="Century Gothic"/>
          <w:color w:val="000000"/>
        </w:rPr>
        <w:t>Raven, B. H. (1964). </w:t>
      </w:r>
      <w:r w:rsidRPr="00407FD5">
        <w:rPr>
          <w:rFonts w:asciiTheme="majorHAnsi" w:hAnsiTheme="majorHAnsi" w:cs="Century Gothic"/>
          <w:i/>
          <w:iCs/>
          <w:color w:val="000000"/>
        </w:rPr>
        <w:t>Social influence and power</w:t>
      </w:r>
      <w:r w:rsidRPr="00407FD5">
        <w:rPr>
          <w:rFonts w:asciiTheme="majorHAnsi" w:hAnsiTheme="majorHAnsi" w:cs="Century Gothic"/>
          <w:color w:val="000000"/>
        </w:rPr>
        <w:t>. California University Los Angeles.</w:t>
      </w:r>
    </w:p>
    <w:p w14:paraId="68C1AD7F" w14:textId="77777777" w:rsidR="00407FD5" w:rsidRPr="00407FD5" w:rsidRDefault="00407FD5" w:rsidP="00407FD5">
      <w:pPr>
        <w:widowControl w:val="0"/>
        <w:autoSpaceDE w:val="0"/>
        <w:autoSpaceDN w:val="0"/>
        <w:adjustRightInd w:val="0"/>
        <w:spacing w:line="360" w:lineRule="auto"/>
        <w:rPr>
          <w:rFonts w:asciiTheme="majorHAnsi" w:hAnsiTheme="majorHAnsi" w:cs="Century Gothic"/>
          <w:color w:val="000000"/>
          <w:u w:val="single"/>
        </w:rPr>
      </w:pPr>
      <w:r>
        <w:rPr>
          <w:rFonts w:asciiTheme="majorHAnsi" w:hAnsiTheme="majorHAnsi" w:cs="Century Gothic"/>
          <w:color w:val="000000"/>
        </w:rPr>
        <w:t xml:space="preserve"> </w:t>
      </w:r>
    </w:p>
    <w:p w14:paraId="6929DDF7" w14:textId="77777777" w:rsidR="002A2CA5" w:rsidRPr="002A2CA5" w:rsidRDefault="002A2CA5" w:rsidP="002E4802">
      <w:pPr>
        <w:spacing w:line="360" w:lineRule="auto"/>
      </w:pPr>
    </w:p>
    <w:sectPr w:rsidR="002A2CA5" w:rsidRPr="002A2CA5" w:rsidSect="00C33C81">
      <w:headerReference w:type="default" r:id="rId6"/>
      <w:pgSz w:w="11900" w:h="16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52834C58" w14:textId="77777777" w:rsidR="00277D8B" w:rsidRDefault="00277D8B" w:rsidP="00E1056F">
      <w:r>
        <w:separator/>
      </w:r>
    </w:p>
  </w:endnote>
  <w:endnote w:type="continuationSeparator" w:id="0">
    <w:p w14:paraId="408DE0D1" w14:textId="77777777" w:rsidR="00277D8B" w:rsidRDefault="00277D8B" w:rsidP="00E1056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EF" w:usb1="C0007841"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Century Gothic">
    <w:panose1 w:val="020B0502020202020204"/>
    <w:charset w:val="00"/>
    <w:family w:val="roman"/>
    <w:pitch w:val="variable"/>
    <w:sig w:usb0="00000287" w:usb1="00000000" w:usb2="00000000" w:usb3="00000000" w:csb0="0000009F" w:csb1="00000000"/>
  </w:font>
  <w:font w:name="Times">
    <w:panose1 w:val="00000500000000020000"/>
    <w:charset w:val="00"/>
    <w:family w:val="roman"/>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s>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1F442ADD" w14:textId="77777777" w:rsidR="00277D8B" w:rsidRDefault="00277D8B" w:rsidP="00E1056F">
      <w:r>
        <w:separator/>
      </w:r>
    </w:p>
  </w:footnote>
  <w:footnote w:type="continuationSeparator" w:id="0">
    <w:p w14:paraId="00588F1D" w14:textId="77777777" w:rsidR="00277D8B" w:rsidRDefault="00277D8B" w:rsidP="00E1056F">
      <w:r>
        <w:continuationSeparator/>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DBFFBDF" w14:textId="77777777" w:rsidR="00E1056F" w:rsidRDefault="00E1056F" w:rsidP="002E4802">
    <w:pPr>
      <w:pStyle w:val="Header"/>
      <w:spacing w:line="360" w:lineRule="auto"/>
    </w:pPr>
    <w:r>
      <w:t xml:space="preserve">Chelsea Lauren Axon </w:t>
    </w:r>
  </w:p>
  <w:p w14:paraId="092E628C" w14:textId="77777777" w:rsidR="00E1056F" w:rsidRDefault="00E1056F" w:rsidP="002E4802">
    <w:pPr>
      <w:pStyle w:val="Header"/>
      <w:spacing w:line="360" w:lineRule="auto"/>
    </w:pPr>
    <w:r>
      <w:t>1300113</w:t>
    </w:r>
  </w:p>
  <w:p w14:paraId="538741BE" w14:textId="77777777" w:rsidR="00E1056F" w:rsidRDefault="00E1056F" w:rsidP="002E4802">
    <w:pPr>
      <w:pStyle w:val="Header"/>
      <w:spacing w:line="360" w:lineRule="auto"/>
    </w:pPr>
    <w:r>
      <w:t>SSAP4002</w:t>
    </w:r>
  </w:p>
  <w:p w14:paraId="06F1E84C" w14:textId="77777777" w:rsidR="00E1056F" w:rsidRDefault="00E1056F">
    <w:pPr>
      <w:pStyle w:val="Header"/>
    </w:pPr>
  </w:p>
  <w:p w14:paraId="09697006" w14:textId="77777777" w:rsidR="00E1056F" w:rsidRDefault="00E1056F">
    <w:pPr>
      <w:pStyle w:val="Header"/>
    </w:pPr>
  </w:p>
  <w:p w14:paraId="2CFB4370" w14:textId="77777777" w:rsidR="00E1056F" w:rsidRDefault="00E1056F">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39"/>
  <w:defaultTabStop w:val="720"/>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1056F"/>
    <w:rsid w:val="000170B2"/>
    <w:rsid w:val="0008073F"/>
    <w:rsid w:val="000B16AD"/>
    <w:rsid w:val="001E78C2"/>
    <w:rsid w:val="00231F6B"/>
    <w:rsid w:val="0024297E"/>
    <w:rsid w:val="00251678"/>
    <w:rsid w:val="00277D8B"/>
    <w:rsid w:val="00284180"/>
    <w:rsid w:val="002A2CA5"/>
    <w:rsid w:val="002D60AE"/>
    <w:rsid w:val="002E4802"/>
    <w:rsid w:val="00370196"/>
    <w:rsid w:val="003E2A02"/>
    <w:rsid w:val="00407FD5"/>
    <w:rsid w:val="00424F29"/>
    <w:rsid w:val="004470F0"/>
    <w:rsid w:val="00494603"/>
    <w:rsid w:val="004956B6"/>
    <w:rsid w:val="004A1ED8"/>
    <w:rsid w:val="004E5740"/>
    <w:rsid w:val="00515E5C"/>
    <w:rsid w:val="00554257"/>
    <w:rsid w:val="005F2A56"/>
    <w:rsid w:val="0067002E"/>
    <w:rsid w:val="007368C2"/>
    <w:rsid w:val="007F63E6"/>
    <w:rsid w:val="00805DC5"/>
    <w:rsid w:val="00873704"/>
    <w:rsid w:val="009F7507"/>
    <w:rsid w:val="00A039FC"/>
    <w:rsid w:val="00A258B9"/>
    <w:rsid w:val="00A52435"/>
    <w:rsid w:val="00A67B7C"/>
    <w:rsid w:val="00A72C0D"/>
    <w:rsid w:val="00AA3E48"/>
    <w:rsid w:val="00AC1F3D"/>
    <w:rsid w:val="00AE16EF"/>
    <w:rsid w:val="00B22EF3"/>
    <w:rsid w:val="00B94AD4"/>
    <w:rsid w:val="00C33C81"/>
    <w:rsid w:val="00C958D2"/>
    <w:rsid w:val="00CA282F"/>
    <w:rsid w:val="00CA7F8A"/>
    <w:rsid w:val="00CF08B4"/>
    <w:rsid w:val="00D416E1"/>
    <w:rsid w:val="00D51B66"/>
    <w:rsid w:val="00DD75B4"/>
    <w:rsid w:val="00E1056F"/>
    <w:rsid w:val="00E11E18"/>
    <w:rsid w:val="00E55286"/>
    <w:rsid w:val="00EF2A31"/>
    <w:rsid w:val="00F35F06"/>
    <w:rsid w:val="00F46C66"/>
    <w:rsid w:val="00FC0C73"/>
    <w:rsid w:val="00FC267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16F8353B"/>
  <w14:defaultImageDpi w14:val="32767"/>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8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1056F"/>
    <w:pPr>
      <w:tabs>
        <w:tab w:val="center" w:pos="4513"/>
        <w:tab w:val="right" w:pos="9026"/>
      </w:tabs>
    </w:pPr>
  </w:style>
  <w:style w:type="character" w:customStyle="1" w:styleId="HeaderChar">
    <w:name w:val="Header Char"/>
    <w:basedOn w:val="DefaultParagraphFont"/>
    <w:link w:val="Header"/>
    <w:uiPriority w:val="99"/>
    <w:rsid w:val="00E1056F"/>
  </w:style>
  <w:style w:type="paragraph" w:styleId="Footer">
    <w:name w:val="footer"/>
    <w:basedOn w:val="Normal"/>
    <w:link w:val="FooterChar"/>
    <w:uiPriority w:val="99"/>
    <w:unhideWhenUsed/>
    <w:rsid w:val="00E1056F"/>
    <w:pPr>
      <w:tabs>
        <w:tab w:val="center" w:pos="4513"/>
        <w:tab w:val="right" w:pos="9026"/>
      </w:tabs>
    </w:pPr>
  </w:style>
  <w:style w:type="character" w:customStyle="1" w:styleId="FooterChar">
    <w:name w:val="Footer Char"/>
    <w:basedOn w:val="DefaultParagraphFont"/>
    <w:link w:val="Footer"/>
    <w:uiPriority w:val="99"/>
    <w:rsid w:val="00E1056F"/>
  </w:style>
  <w:style w:type="paragraph" w:styleId="NormalWeb">
    <w:name w:val="Normal (Web)"/>
    <w:basedOn w:val="Normal"/>
    <w:uiPriority w:val="99"/>
    <w:unhideWhenUsed/>
    <w:rsid w:val="004E5740"/>
    <w:pPr>
      <w:spacing w:before="100" w:beforeAutospacing="1" w:after="100" w:afterAutospacing="1"/>
    </w:pPr>
    <w:rPr>
      <w:rFonts w:ascii="Times New Roman" w:hAnsi="Times New Roman" w:cs="Times New Roman"/>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987391935">
      <w:bodyDiv w:val="1"/>
      <w:marLeft w:val="0"/>
      <w:marRight w:val="0"/>
      <w:marTop w:val="0"/>
      <w:marBottom w:val="0"/>
      <w:divBdr>
        <w:top w:val="none" w:sz="0" w:space="0" w:color="auto"/>
        <w:left w:val="none" w:sz="0" w:space="0" w:color="auto"/>
        <w:bottom w:val="none" w:sz="0" w:space="0" w:color="auto"/>
        <w:right w:val="none" w:sz="0" w:space="0" w:color="auto"/>
      </w:divBdr>
      <w:divsChild>
        <w:div w:id="1709181325">
          <w:marLeft w:val="0"/>
          <w:marRight w:val="0"/>
          <w:marTop w:val="0"/>
          <w:marBottom w:val="0"/>
          <w:divBdr>
            <w:top w:val="none" w:sz="0" w:space="0" w:color="auto"/>
            <w:left w:val="none" w:sz="0" w:space="0" w:color="auto"/>
            <w:bottom w:val="none" w:sz="0" w:space="0" w:color="auto"/>
            <w:right w:val="none" w:sz="0" w:space="0" w:color="auto"/>
          </w:divBdr>
          <w:divsChild>
            <w:div w:id="849415578">
              <w:marLeft w:val="0"/>
              <w:marRight w:val="0"/>
              <w:marTop w:val="0"/>
              <w:marBottom w:val="0"/>
              <w:divBdr>
                <w:top w:val="none" w:sz="0" w:space="0" w:color="auto"/>
                <w:left w:val="none" w:sz="0" w:space="0" w:color="auto"/>
                <w:bottom w:val="none" w:sz="0" w:space="0" w:color="auto"/>
                <w:right w:val="none" w:sz="0" w:space="0" w:color="auto"/>
              </w:divBdr>
              <w:divsChild>
                <w:div w:id="1875731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07533599">
      <w:bodyDiv w:val="1"/>
      <w:marLeft w:val="0"/>
      <w:marRight w:val="0"/>
      <w:marTop w:val="0"/>
      <w:marBottom w:val="0"/>
      <w:divBdr>
        <w:top w:val="none" w:sz="0" w:space="0" w:color="auto"/>
        <w:left w:val="none" w:sz="0" w:space="0" w:color="auto"/>
        <w:bottom w:val="none" w:sz="0" w:space="0" w:color="auto"/>
        <w:right w:val="none" w:sz="0" w:space="0" w:color="auto"/>
      </w:divBdr>
      <w:divsChild>
        <w:div w:id="662051038">
          <w:marLeft w:val="0"/>
          <w:marRight w:val="0"/>
          <w:marTop w:val="0"/>
          <w:marBottom w:val="0"/>
          <w:divBdr>
            <w:top w:val="none" w:sz="0" w:space="0" w:color="auto"/>
            <w:left w:val="none" w:sz="0" w:space="0" w:color="auto"/>
            <w:bottom w:val="none" w:sz="0" w:space="0" w:color="auto"/>
            <w:right w:val="none" w:sz="0" w:space="0" w:color="auto"/>
          </w:divBdr>
          <w:divsChild>
            <w:div w:id="43143238">
              <w:marLeft w:val="0"/>
              <w:marRight w:val="0"/>
              <w:marTop w:val="0"/>
              <w:marBottom w:val="0"/>
              <w:divBdr>
                <w:top w:val="none" w:sz="0" w:space="0" w:color="auto"/>
                <w:left w:val="none" w:sz="0" w:space="0" w:color="auto"/>
                <w:bottom w:val="none" w:sz="0" w:space="0" w:color="auto"/>
                <w:right w:val="none" w:sz="0" w:space="0" w:color="auto"/>
              </w:divBdr>
              <w:divsChild>
                <w:div w:id="8151506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allowPNG/>
  <w:doNotSaveAsSingleFile/>
  <w:pixelsPerInch w:val="96"/>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4" Type="http://schemas.openxmlformats.org/officeDocument/2006/relationships/footnotes" Target="footnotes.xml"/><Relationship Id="rId5" Type="http://schemas.openxmlformats.org/officeDocument/2006/relationships/endnotes" Target="endnotes.xml"/><Relationship Id="rId6" Type="http://schemas.openxmlformats.org/officeDocument/2006/relationships/header" Target="header1.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styles" Target="styles.xml"/><Relationship Id="rId2"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159</TotalTime>
  <Pages>4</Pages>
  <Words>1129</Words>
  <Characters>6440</Characters>
  <Application>Microsoft Macintosh Word</Application>
  <DocSecurity>0</DocSecurity>
  <Lines>53</Lines>
  <Paragraphs>15</Paragraphs>
  <ScaleCrop>false</ScaleCrop>
  <HeadingPairs>
    <vt:vector size="2" baseType="variant">
      <vt:variant>
        <vt:lpstr>Title</vt:lpstr>
      </vt:variant>
      <vt:variant>
        <vt:i4>1</vt:i4>
      </vt:variant>
    </vt:vector>
  </HeadingPairs>
  <TitlesOfParts>
    <vt:vector size="1" baseType="lpstr">
      <vt:lpstr/>
    </vt:vector>
  </TitlesOfParts>
  <LinksUpToDate>false</LinksUpToDate>
  <CharactersWithSpaces>7554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Chelsea Axon (1300113)</dc:creator>
  <cp:keywords/>
  <dc:description/>
  <cp:lastModifiedBy>Chelsea Axon (1300113)</cp:lastModifiedBy>
  <cp:revision>3</cp:revision>
  <dcterms:created xsi:type="dcterms:W3CDTF">2018-05-15T10:37:00Z</dcterms:created>
  <dcterms:modified xsi:type="dcterms:W3CDTF">2018-05-16T06:19:00Z</dcterms:modified>
</cp:coreProperties>
</file>