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5B6AC" w14:textId="77777777" w:rsidR="0098105B" w:rsidRDefault="0098105B">
      <w:pPr>
        <w:pBdr>
          <w:top w:val="nil"/>
          <w:left w:val="nil"/>
          <w:bottom w:val="single" w:sz="4" w:space="1" w:color="000000"/>
          <w:right w:val="nil"/>
          <w:between w:val="nil"/>
        </w:pBdr>
        <w:spacing w:line="360" w:lineRule="auto"/>
        <w:jc w:val="center"/>
        <w:rPr>
          <w:rFonts w:ascii="Times New Roman" w:eastAsia="Times New Roman" w:hAnsi="Times New Roman" w:cs="Times New Roman"/>
          <w:b/>
          <w:color w:val="000000"/>
          <w:sz w:val="24"/>
          <w:szCs w:val="24"/>
        </w:rPr>
      </w:pPr>
    </w:p>
    <w:p w14:paraId="414D9E67" w14:textId="77777777" w:rsidR="0098105B" w:rsidRDefault="00000000">
      <w:pPr>
        <w:pBdr>
          <w:top w:val="nil"/>
          <w:left w:val="nil"/>
          <w:bottom w:val="single" w:sz="4" w:space="1" w:color="000000"/>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BA (Hons) Business Management</w:t>
      </w:r>
    </w:p>
    <w:p w14:paraId="59C2BEEA" w14:textId="77777777" w:rsidR="0098105B" w:rsidRDefault="00000000">
      <w:pPr>
        <w:pBdr>
          <w:top w:val="nil"/>
          <w:left w:val="nil"/>
          <w:bottom w:val="single" w:sz="4" w:space="1" w:color="000000"/>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8"/>
          <w:szCs w:val="28"/>
        </w:rPr>
        <w:t xml:space="preserve">Proposed research title: </w:t>
      </w:r>
      <w:r>
        <w:rPr>
          <w:rFonts w:ascii="Times New Roman" w:eastAsia="Times New Roman" w:hAnsi="Times New Roman" w:cs="Times New Roman"/>
          <w:b/>
          <w:i/>
          <w:color w:val="000000"/>
          <w:sz w:val="28"/>
          <w:szCs w:val="28"/>
        </w:rPr>
        <w:t>Concepts and issues of Gender Equality</w:t>
      </w:r>
      <w:r>
        <w:rPr>
          <w:rFonts w:ascii="Times New Roman" w:eastAsia="Times New Roman" w:hAnsi="Times New Roman" w:cs="Times New Roman"/>
          <w:b/>
          <w:color w:val="000000"/>
          <w:sz w:val="28"/>
          <w:szCs w:val="28"/>
        </w:rPr>
        <w:t xml:space="preserve"> </w:t>
      </w:r>
    </w:p>
    <w:p w14:paraId="1F230D9F" w14:textId="77777777" w:rsidR="0098105B" w:rsidRDefault="0098105B">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1ECE54D8" w14:textId="77777777" w:rsidR="0098105B" w:rsidRDefault="0000000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Name of the university: University of Wales Trinity Saint David (London Campus)</w:t>
      </w:r>
    </w:p>
    <w:p w14:paraId="6C99B244" w14:textId="77777777" w:rsidR="0098105B" w:rsidRDefault="0098105B">
      <w:pPr>
        <w:spacing w:line="360" w:lineRule="auto"/>
        <w:jc w:val="center"/>
        <w:rPr>
          <w:rFonts w:ascii="Times New Roman" w:eastAsia="Times New Roman" w:hAnsi="Times New Roman" w:cs="Times New Roman"/>
          <w:b/>
          <w:sz w:val="24"/>
          <w:szCs w:val="24"/>
        </w:rPr>
      </w:pPr>
    </w:p>
    <w:p w14:paraId="5F58C5B3" w14:textId="77777777" w:rsidR="0098105B" w:rsidRDefault="0098105B">
      <w:pPr>
        <w:spacing w:line="360" w:lineRule="auto"/>
        <w:jc w:val="center"/>
        <w:rPr>
          <w:rFonts w:ascii="Times New Roman" w:eastAsia="Times New Roman" w:hAnsi="Times New Roman" w:cs="Times New Roman"/>
          <w:b/>
          <w:sz w:val="24"/>
          <w:szCs w:val="24"/>
        </w:rPr>
      </w:pPr>
    </w:p>
    <w:p w14:paraId="6BA54C8D" w14:textId="77777777" w:rsidR="0098105B" w:rsidRDefault="0098105B">
      <w:pPr>
        <w:spacing w:line="360" w:lineRule="auto"/>
        <w:jc w:val="center"/>
        <w:rPr>
          <w:rFonts w:ascii="Times New Roman" w:eastAsia="Times New Roman" w:hAnsi="Times New Roman" w:cs="Times New Roman"/>
          <w:b/>
          <w:sz w:val="24"/>
          <w:szCs w:val="24"/>
        </w:rPr>
      </w:pPr>
    </w:p>
    <w:p w14:paraId="3F76A5F9" w14:textId="77777777" w:rsidR="0098105B" w:rsidRDefault="0098105B">
      <w:pPr>
        <w:spacing w:line="360" w:lineRule="auto"/>
        <w:jc w:val="center"/>
        <w:rPr>
          <w:rFonts w:ascii="Times New Roman" w:eastAsia="Times New Roman" w:hAnsi="Times New Roman" w:cs="Times New Roman"/>
          <w:b/>
          <w:sz w:val="24"/>
          <w:szCs w:val="24"/>
        </w:rPr>
      </w:pPr>
    </w:p>
    <w:p w14:paraId="45CA18C0" w14:textId="41922B33" w:rsidR="0098105B"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w:t>
      </w:r>
      <w:r w:rsidR="0080188A">
        <w:rPr>
          <w:rFonts w:ascii="Times New Roman" w:eastAsia="Times New Roman" w:hAnsi="Times New Roman" w:cs="Times New Roman"/>
          <w:b/>
          <w:sz w:val="24"/>
          <w:szCs w:val="24"/>
        </w:rPr>
        <w:t xml:space="preserve"> ALEXANDRA ALINA TINCA </w:t>
      </w:r>
    </w:p>
    <w:p w14:paraId="752448AD" w14:textId="4B926467" w:rsidR="0098105B" w:rsidRDefault="00000000">
      <w:pPr>
        <w:pBdr>
          <w:bottom w:val="single" w:sz="4" w:space="1" w:color="000000"/>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w:t>
      </w:r>
      <w:r w:rsidR="0080188A">
        <w:rPr>
          <w:rFonts w:ascii="Times New Roman" w:eastAsia="Times New Roman" w:hAnsi="Times New Roman" w:cs="Times New Roman"/>
          <w:b/>
          <w:sz w:val="24"/>
          <w:szCs w:val="24"/>
        </w:rPr>
        <w:t xml:space="preserve"> 2028610</w:t>
      </w:r>
    </w:p>
    <w:p w14:paraId="0C050744" w14:textId="277BEDD1" w:rsidR="0098105B" w:rsidRDefault="0098105B">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p>
    <w:p w14:paraId="37F47D44" w14:textId="6EA39566"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br w:type="page"/>
      </w:r>
      <w:r w:rsidR="0080188A">
        <w:rPr>
          <w:rFonts w:ascii="Times New Roman" w:eastAsia="Times New Roman" w:hAnsi="Times New Roman" w:cs="Times New Roman"/>
          <w:b/>
          <w:noProof/>
          <w:color w:val="000000"/>
          <w:sz w:val="24"/>
          <w:szCs w:val="24"/>
        </w:rPr>
        <w:lastRenderedPageBreak/>
        <w:drawing>
          <wp:inline distT="0" distB="0" distL="0" distR="0" wp14:anchorId="14A755F4" wp14:editId="7B6D9C52">
            <wp:extent cx="5715000" cy="2857500"/>
            <wp:effectExtent l="0" t="0" r="0" b="0"/>
            <wp:docPr id="65650778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507787" name="Picture 1" descr="A logo for a universit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5000" cy="2857500"/>
                    </a:xfrm>
                    <a:prstGeom prst="rect">
                      <a:avLst/>
                    </a:prstGeom>
                  </pic:spPr>
                </pic:pic>
              </a:graphicData>
            </a:graphic>
          </wp:inline>
        </w:drawing>
      </w:r>
    </w:p>
    <w:p w14:paraId="39767112" w14:textId="77777777" w:rsidR="0098105B" w:rsidRDefault="00000000">
      <w:pPr>
        <w:keepNext/>
        <w:keepLines/>
        <w:pBdr>
          <w:top w:val="nil"/>
          <w:left w:val="nil"/>
          <w:bottom w:val="nil"/>
          <w:right w:val="nil"/>
          <w:between w:val="nil"/>
        </w:pBdr>
        <w:spacing w:before="480"/>
        <w:jc w:val="center"/>
        <w:rPr>
          <w:rFonts w:ascii="Times New Roman" w:eastAsia="Times New Roman" w:hAnsi="Times New Roman" w:cs="Times New Roman"/>
          <w:b/>
          <w:color w:val="366091"/>
          <w:sz w:val="24"/>
          <w:szCs w:val="24"/>
        </w:rPr>
      </w:pPr>
      <w:bookmarkStart w:id="0" w:name="_heading=h.gjdgxs" w:colFirst="0" w:colLast="0"/>
      <w:bookmarkEnd w:id="0"/>
      <w:r>
        <w:rPr>
          <w:rFonts w:ascii="Times New Roman" w:eastAsia="Times New Roman" w:hAnsi="Times New Roman" w:cs="Times New Roman"/>
          <w:b/>
          <w:color w:val="000000"/>
          <w:sz w:val="24"/>
          <w:szCs w:val="24"/>
        </w:rPr>
        <w:t>Table of Contents</w:t>
      </w:r>
    </w:p>
    <w:sdt>
      <w:sdtPr>
        <w:id w:val="719871953"/>
        <w:docPartObj>
          <w:docPartGallery w:val="Table of Contents"/>
          <w:docPartUnique/>
        </w:docPartObj>
      </w:sdtPr>
      <w:sdtContent>
        <w:p w14:paraId="0FDC9170" w14:textId="77777777" w:rsidR="0098105B" w:rsidRDefault="00000000">
          <w:pPr>
            <w:pBdr>
              <w:top w:val="nil"/>
              <w:left w:val="nil"/>
              <w:bottom w:val="nil"/>
              <w:right w:val="nil"/>
              <w:between w:val="nil"/>
            </w:pBdr>
            <w:tabs>
              <w:tab w:val="right" w:leader="dot" w:pos="9019"/>
            </w:tabs>
            <w:spacing w:after="100"/>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30j0zll">
            <w:r>
              <w:rPr>
                <w:rFonts w:ascii="Times New Roman" w:eastAsia="Times New Roman" w:hAnsi="Times New Roman" w:cs="Times New Roman"/>
                <w:color w:val="000000"/>
                <w:sz w:val="24"/>
                <w:szCs w:val="24"/>
              </w:rPr>
              <w:t>Chapter 1: Introduction</w:t>
            </w:r>
            <w:r>
              <w:rPr>
                <w:rFonts w:ascii="Times New Roman" w:eastAsia="Times New Roman" w:hAnsi="Times New Roman" w:cs="Times New Roman"/>
                <w:color w:val="000000"/>
                <w:sz w:val="24"/>
                <w:szCs w:val="24"/>
              </w:rPr>
              <w:tab/>
              <w:t>3</w:t>
            </w:r>
          </w:hyperlink>
        </w:p>
        <w:p w14:paraId="1BC43D9F" w14:textId="77777777" w:rsidR="0098105B" w:rsidRDefault="00000000">
          <w:pPr>
            <w:pBdr>
              <w:top w:val="nil"/>
              <w:left w:val="nil"/>
              <w:bottom w:val="nil"/>
              <w:right w:val="nil"/>
              <w:between w:val="nil"/>
            </w:pBdr>
            <w:tabs>
              <w:tab w:val="right" w:leader="dot" w:pos="9019"/>
            </w:tabs>
            <w:spacing w:after="100"/>
            <w:jc w:val="both"/>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Chapter 2: Literature Review</w:t>
            </w:r>
            <w:r>
              <w:rPr>
                <w:rFonts w:ascii="Times New Roman" w:eastAsia="Times New Roman" w:hAnsi="Times New Roman" w:cs="Times New Roman"/>
                <w:color w:val="000000"/>
                <w:sz w:val="24"/>
                <w:szCs w:val="24"/>
              </w:rPr>
              <w:tab/>
              <w:t>3</w:t>
            </w:r>
          </w:hyperlink>
        </w:p>
        <w:p w14:paraId="527CBE9F" w14:textId="77777777" w:rsidR="0098105B" w:rsidRDefault="00000000">
          <w:pPr>
            <w:pBdr>
              <w:top w:val="nil"/>
              <w:left w:val="nil"/>
              <w:bottom w:val="nil"/>
              <w:right w:val="nil"/>
              <w:between w:val="nil"/>
            </w:pBdr>
            <w:tabs>
              <w:tab w:val="right" w:leader="dot" w:pos="9019"/>
            </w:tabs>
            <w:spacing w:after="100"/>
            <w:jc w:val="both"/>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Chapter 3: Research Methods and Methodology</w:t>
            </w:r>
            <w:r>
              <w:rPr>
                <w:rFonts w:ascii="Times New Roman" w:eastAsia="Times New Roman" w:hAnsi="Times New Roman" w:cs="Times New Roman"/>
                <w:color w:val="000000"/>
                <w:sz w:val="24"/>
                <w:szCs w:val="24"/>
              </w:rPr>
              <w:tab/>
              <w:t>6</w:t>
            </w:r>
          </w:hyperlink>
        </w:p>
        <w:p w14:paraId="16A9CD01" w14:textId="77777777" w:rsidR="0098105B" w:rsidRDefault="00000000">
          <w:pPr>
            <w:pBdr>
              <w:top w:val="nil"/>
              <w:left w:val="nil"/>
              <w:bottom w:val="nil"/>
              <w:right w:val="nil"/>
              <w:between w:val="nil"/>
            </w:pBdr>
            <w:tabs>
              <w:tab w:val="right" w:leader="dot" w:pos="9019"/>
            </w:tabs>
            <w:spacing w:after="100"/>
            <w:jc w:val="both"/>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Chapter 4: Conclusion</w:t>
            </w:r>
            <w:r>
              <w:rPr>
                <w:rFonts w:ascii="Times New Roman" w:eastAsia="Times New Roman" w:hAnsi="Times New Roman" w:cs="Times New Roman"/>
                <w:color w:val="000000"/>
                <w:sz w:val="24"/>
                <w:szCs w:val="24"/>
              </w:rPr>
              <w:tab/>
              <w:t>8</w:t>
            </w:r>
          </w:hyperlink>
        </w:p>
        <w:p w14:paraId="0B2A60C7" w14:textId="77777777" w:rsidR="0098105B" w:rsidRDefault="00000000">
          <w:pPr>
            <w:pBdr>
              <w:top w:val="nil"/>
              <w:left w:val="nil"/>
              <w:bottom w:val="nil"/>
              <w:right w:val="nil"/>
              <w:between w:val="nil"/>
            </w:pBdr>
            <w:tabs>
              <w:tab w:val="right" w:leader="dot" w:pos="9019"/>
            </w:tabs>
            <w:spacing w:after="100"/>
            <w:jc w:val="both"/>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Chapter 5: References and Bibliography</w:t>
            </w:r>
            <w:r>
              <w:rPr>
                <w:rFonts w:ascii="Times New Roman" w:eastAsia="Times New Roman" w:hAnsi="Times New Roman" w:cs="Times New Roman"/>
                <w:color w:val="000000"/>
                <w:sz w:val="24"/>
                <w:szCs w:val="24"/>
              </w:rPr>
              <w:tab/>
              <w:t>10</w:t>
            </w:r>
          </w:hyperlink>
        </w:p>
        <w:p w14:paraId="73CF7BB8" w14:textId="77777777" w:rsidR="0098105B" w:rsidRDefault="00000000">
          <w:pPr>
            <w:jc w:val="both"/>
            <w:rPr>
              <w:rFonts w:ascii="Times New Roman" w:eastAsia="Times New Roman" w:hAnsi="Times New Roman" w:cs="Times New Roman"/>
              <w:sz w:val="24"/>
              <w:szCs w:val="24"/>
            </w:rPr>
          </w:pPr>
          <w:r>
            <w:fldChar w:fldCharType="end"/>
          </w:r>
        </w:p>
      </w:sdtContent>
    </w:sdt>
    <w:p w14:paraId="79CA4258" w14:textId="77777777" w:rsidR="0098105B" w:rsidRDefault="00000000">
      <w:pPr>
        <w:jc w:val="both"/>
        <w:rPr>
          <w:rFonts w:ascii="Times New Roman" w:eastAsia="Times New Roman" w:hAnsi="Times New Roman" w:cs="Times New Roman"/>
          <w:b/>
          <w:sz w:val="24"/>
          <w:szCs w:val="24"/>
        </w:rPr>
      </w:pPr>
      <w:r>
        <w:br w:type="page"/>
      </w:r>
    </w:p>
    <w:p w14:paraId="5F601796" w14:textId="77777777" w:rsidR="0098105B" w:rsidRDefault="00000000">
      <w:pPr>
        <w:pStyle w:val="Heading1"/>
        <w:jc w:val="both"/>
      </w:pPr>
      <w:bookmarkStart w:id="1" w:name="_heading=h.30j0zll" w:colFirst="0" w:colLast="0"/>
      <w:bookmarkEnd w:id="1"/>
      <w:r>
        <w:lastRenderedPageBreak/>
        <w:t xml:space="preserve">Chapter 1: Introduction </w:t>
      </w:r>
    </w:p>
    <w:p w14:paraId="0475CBCF"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following research is based on Gender Equality that is a crucial aspect of Corporate Social Responsibility practice in the modern world. Gender equality helps to avoid violence against women and girls (</w:t>
      </w:r>
      <w:r>
        <w:rPr>
          <w:rFonts w:ascii="Times New Roman" w:eastAsia="Times New Roman" w:hAnsi="Times New Roman" w:cs="Times New Roman"/>
          <w:color w:val="000000"/>
          <w:sz w:val="24"/>
          <w:szCs w:val="24"/>
          <w:highlight w:val="white"/>
        </w:rPr>
        <w:t>Brush and Miller, 2019</w:t>
      </w:r>
      <w:r>
        <w:rPr>
          <w:rFonts w:ascii="Times New Roman" w:eastAsia="Times New Roman" w:hAnsi="Times New Roman" w:cs="Times New Roman"/>
          <w:color w:val="000000"/>
          <w:sz w:val="24"/>
          <w:szCs w:val="24"/>
        </w:rPr>
        <w:t xml:space="preserve">). It is crucial for economic prosperity. Societies that regard men and women equally are more secure and beneficial. The purpose of the research is to evaluate the concept, advantages and issues related with Gender Equality that needs to be emphasised by organisations and individuals. </w:t>
      </w:r>
    </w:p>
    <w:p w14:paraId="36187068"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Aims</w:t>
      </w:r>
    </w:p>
    <w:p w14:paraId="629D2610"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aim of the research is to evaluate different aspects and issues related with Gender Equality. </w:t>
      </w:r>
    </w:p>
    <w:p w14:paraId="41CA1D50"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Objectives</w:t>
      </w:r>
    </w:p>
    <w:p w14:paraId="01D35651" w14:textId="77777777" w:rsidR="0098105B"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demonstrate the Concept and characteristics of Gender Equality</w:t>
      </w:r>
    </w:p>
    <w:p w14:paraId="23A30325" w14:textId="77777777" w:rsidR="0098105B"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evaluate different Models and Theories regarding Gender Equality</w:t>
      </w:r>
      <w:r>
        <w:rPr>
          <w:rFonts w:ascii="Times New Roman" w:eastAsia="Times New Roman" w:hAnsi="Times New Roman" w:cs="Times New Roman"/>
          <w:b/>
          <w:color w:val="000000"/>
          <w:sz w:val="24"/>
          <w:szCs w:val="24"/>
        </w:rPr>
        <w:t xml:space="preserve"> </w:t>
      </w:r>
    </w:p>
    <w:p w14:paraId="3FBC723E" w14:textId="77777777" w:rsidR="0098105B"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assess the advantages, disadvantages and challenges of Gender Equality</w:t>
      </w:r>
    </w:p>
    <w:p w14:paraId="3B779029"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Research Question </w:t>
      </w:r>
    </w:p>
    <w:p w14:paraId="74E2545A" w14:textId="77777777" w:rsidR="0098105B"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is the concept and characteristics of Gender Equality?</w:t>
      </w:r>
    </w:p>
    <w:p w14:paraId="29CAEA45" w14:textId="77777777" w:rsidR="0098105B"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are the Models and Theories regarding Gender Equality?</w:t>
      </w:r>
      <w:r>
        <w:rPr>
          <w:rFonts w:ascii="Times New Roman" w:eastAsia="Times New Roman" w:hAnsi="Times New Roman" w:cs="Times New Roman"/>
          <w:b/>
          <w:color w:val="000000"/>
          <w:sz w:val="24"/>
          <w:szCs w:val="24"/>
        </w:rPr>
        <w:t xml:space="preserve"> </w:t>
      </w:r>
    </w:p>
    <w:p w14:paraId="688A305B" w14:textId="77777777" w:rsidR="0098105B" w:rsidRDefault="00000000">
      <w:pPr>
        <w:numPr>
          <w:ilvl w:val="0"/>
          <w:numId w:val="1"/>
        </w:num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What are advantages, disadvantages and challenges of Gender Equality?</w:t>
      </w:r>
    </w:p>
    <w:p w14:paraId="186E045A" w14:textId="77777777" w:rsidR="0098105B" w:rsidRDefault="00000000">
      <w:pPr>
        <w:pStyle w:val="Heading1"/>
        <w:jc w:val="both"/>
      </w:pPr>
      <w:bookmarkStart w:id="2" w:name="_heading=h.1fob9te" w:colFirst="0" w:colLast="0"/>
      <w:bookmarkEnd w:id="2"/>
      <w:r>
        <w:t>Chapter 2: Literature Review</w:t>
      </w:r>
    </w:p>
    <w:p w14:paraId="4FA9BCBF"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Definition and Characteristics of Gender Equality </w:t>
      </w:r>
    </w:p>
    <w:p w14:paraId="3DBAD33D"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According to </w:t>
      </w:r>
      <w:r>
        <w:rPr>
          <w:rFonts w:ascii="Times New Roman" w:eastAsia="Times New Roman" w:hAnsi="Times New Roman" w:cs="Times New Roman"/>
          <w:color w:val="000000"/>
          <w:sz w:val="24"/>
          <w:szCs w:val="24"/>
          <w:highlight w:val="white"/>
        </w:rPr>
        <w:t xml:space="preserve">Arun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(2023</w:t>
      </w:r>
      <w:r>
        <w:rPr>
          <w:rFonts w:ascii="Times New Roman" w:eastAsia="Times New Roman" w:hAnsi="Times New Roman" w:cs="Times New Roman"/>
          <w:color w:val="000000"/>
          <w:sz w:val="24"/>
          <w:szCs w:val="24"/>
        </w:rPr>
        <w:t>), Gender equality is the concept that both genders should have equal access to opportunities and resources. It extends beyond being only a social issue and has become a cornerstone of corporate social responsibility. Companies with greater gender diversity perform better than their less diverse competitors, which renders this idea not just morally acceptable but also strategically effective.</w:t>
      </w:r>
    </w:p>
    <w:p w14:paraId="43469B8F"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Gender equality promotes equity and fairness in the workplace. It includes obtaining elimination of gender discrimination in hiring, pay, opportunity for progression and leadership. UN Women and Catalyst offer programmes such as mentorship, flexible work schedules and training on unconscious bias as ways to break down structural barriers (</w:t>
      </w:r>
      <w:r>
        <w:rPr>
          <w:rFonts w:ascii="Times New Roman" w:eastAsia="Times New Roman" w:hAnsi="Times New Roman" w:cs="Times New Roman"/>
          <w:color w:val="000000"/>
          <w:sz w:val="24"/>
          <w:szCs w:val="24"/>
          <w:highlight w:val="white"/>
        </w:rPr>
        <w:t>King, 2020</w:t>
      </w:r>
      <w:r>
        <w:rPr>
          <w:rFonts w:ascii="Times New Roman" w:eastAsia="Times New Roman" w:hAnsi="Times New Roman" w:cs="Times New Roman"/>
          <w:color w:val="000000"/>
          <w:sz w:val="24"/>
          <w:szCs w:val="24"/>
        </w:rPr>
        <w:t>). Effective maternity leave laws and reasonably priced child care decisions are crucial for ensuring women’s equal participation in the workforce.</w:t>
      </w:r>
    </w:p>
    <w:p w14:paraId="06CA92F9"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Gender equality supports optimal utilisation of talent. By harnessing the complete capabilities of a diverse staff, firms acquire a wider array of viewpoints, abilities, and backgrounds. It results in improved innovation, decision-making, and eventually, financial gain. By removing the gender disparity in the workforce, the global economy might expand by $2.5 trillion by </w:t>
      </w:r>
      <w:r>
        <w:rPr>
          <w:rFonts w:ascii="Times New Roman" w:eastAsia="Times New Roman" w:hAnsi="Times New Roman" w:cs="Times New Roman"/>
          <w:color w:val="000000"/>
          <w:sz w:val="24"/>
          <w:szCs w:val="24"/>
        </w:rPr>
        <w:lastRenderedPageBreak/>
        <w:t>2025 (</w:t>
      </w:r>
      <w:proofErr w:type="spellStart"/>
      <w:r>
        <w:rPr>
          <w:rFonts w:ascii="Times New Roman" w:eastAsia="Times New Roman" w:hAnsi="Times New Roman" w:cs="Times New Roman"/>
          <w:color w:val="000000"/>
          <w:sz w:val="24"/>
          <w:szCs w:val="24"/>
          <w:highlight w:val="white"/>
        </w:rPr>
        <w:t>Bigio</w:t>
      </w:r>
      <w:proofErr w:type="spellEnd"/>
      <w:r>
        <w:rPr>
          <w:rFonts w:ascii="Times New Roman" w:eastAsia="Times New Roman" w:hAnsi="Times New Roman" w:cs="Times New Roman"/>
          <w:color w:val="000000"/>
          <w:sz w:val="24"/>
          <w:szCs w:val="24"/>
          <w:highlight w:val="white"/>
        </w:rPr>
        <w:t xml:space="preserve"> and Vogelstein, 2020</w:t>
      </w:r>
      <w:r>
        <w:rPr>
          <w:rFonts w:ascii="Times New Roman" w:eastAsia="Times New Roman" w:hAnsi="Times New Roman" w:cs="Times New Roman"/>
          <w:color w:val="000000"/>
          <w:sz w:val="24"/>
          <w:szCs w:val="24"/>
        </w:rPr>
        <w:t>). Organisations that maintain a minimum of 30% female involvement in senior management positions perceive a return on equity increase of 1%.</w:t>
      </w:r>
    </w:p>
    <w:p w14:paraId="2474FBA7"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Promoting gender equality enhances the firm reputation and brand image. Consumers are becoming more aware of a company’s social and ethical practices. Adopting gender equality showcases a dedication to inclusiveness and sustainability, which in turn attracts and retains highly skilled individuals and cultivates consumer loyalty. Businesses with an exceptional level of gender diversity ratio beat other companies when it comes to stock market returns.</w:t>
      </w:r>
    </w:p>
    <w:p w14:paraId="36E6FB0D"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Prioritising gender equality complies with the United Nations Sustainable Development Goals. The fifth goal demonstrates the importance of women’s empowerment and gender equality in achieving the other SDGs such as reducing poverty to high-quality education (</w:t>
      </w:r>
      <w:r>
        <w:rPr>
          <w:rFonts w:ascii="Times New Roman" w:eastAsia="Times New Roman" w:hAnsi="Times New Roman" w:cs="Times New Roman"/>
          <w:color w:val="000000"/>
          <w:sz w:val="24"/>
          <w:szCs w:val="24"/>
          <w:highlight w:val="white"/>
        </w:rPr>
        <w:t xml:space="preserve">Roy and </w:t>
      </w:r>
      <w:proofErr w:type="spellStart"/>
      <w:r>
        <w:rPr>
          <w:rFonts w:ascii="Times New Roman" w:eastAsia="Times New Roman" w:hAnsi="Times New Roman" w:cs="Times New Roman"/>
          <w:color w:val="000000"/>
          <w:sz w:val="24"/>
          <w:szCs w:val="24"/>
          <w:highlight w:val="white"/>
        </w:rPr>
        <w:t>Xiaoling</w:t>
      </w:r>
      <w:proofErr w:type="spellEnd"/>
      <w:r>
        <w:rPr>
          <w:rFonts w:ascii="Times New Roman" w:eastAsia="Times New Roman" w:hAnsi="Times New Roman" w:cs="Times New Roman"/>
          <w:color w:val="000000"/>
          <w:sz w:val="24"/>
          <w:szCs w:val="24"/>
          <w:highlight w:val="white"/>
        </w:rPr>
        <w:t>, 2022</w:t>
      </w:r>
      <w:r>
        <w:rPr>
          <w:rFonts w:ascii="Times New Roman" w:eastAsia="Times New Roman" w:hAnsi="Times New Roman" w:cs="Times New Roman"/>
          <w:color w:val="000000"/>
          <w:sz w:val="24"/>
          <w:szCs w:val="24"/>
        </w:rPr>
        <w:t>). Companies contribute to developing a world with greater equity and justice by supporting gender equality. The “Progress on the Sustainable Development Goals: Gender Equality” report from UN Women for 2020 argues that attaining gender equality is crucial for rapid and sustainable development along with being fundamentally equitable.</w:t>
      </w:r>
    </w:p>
    <w:p w14:paraId="563A0334"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Models and Theories regarding Gender Equality </w:t>
      </w:r>
    </w:p>
    <w:p w14:paraId="0A99C7CC"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Liberal feminism was the first and most widely implemented, promoting the pursuit of equitable rights and opportunities for everyone. As stated by Nussbaum (2021), it supports educational programmes, promotes legal reforms such as suffrage and rejects discriminatory policies, operating under the conviction that women will inherently attain equal status once obstacles are eliminated. However, detractors contend that it fails to recognise pervasive societal conventions and inequality of power that may result in apparent harmony between both genders without confronting the fundamental factors that contribute to gender inequality.</w:t>
      </w:r>
    </w:p>
    <w:p w14:paraId="489291C9"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Radical feminism considers gender inequality to be the most fundamental form of oppression in society, embracing a more revolutionary approach. It is argued the racial economic and governmental system that offers males preferential treatment is pervasive across every aspect of life, including language and family hierarchies. According to </w:t>
      </w:r>
      <w:r>
        <w:rPr>
          <w:rFonts w:ascii="Times New Roman" w:eastAsia="Times New Roman" w:hAnsi="Times New Roman" w:cs="Times New Roman"/>
          <w:color w:val="000000"/>
          <w:sz w:val="24"/>
          <w:szCs w:val="24"/>
          <w:highlight w:val="white"/>
        </w:rPr>
        <w:t>Fahs (2024</w:t>
      </w:r>
      <w:r>
        <w:rPr>
          <w:rFonts w:ascii="Times New Roman" w:eastAsia="Times New Roman" w:hAnsi="Times New Roman" w:cs="Times New Roman"/>
          <w:color w:val="000000"/>
          <w:sz w:val="24"/>
          <w:szCs w:val="24"/>
        </w:rPr>
        <w:t>), Radical feminists argue for the deconstruction of this system through the formation of women-only locations and the elimination of the traditional family unit, among other radical solutions that disrupt the current framework.</w:t>
      </w:r>
    </w:p>
    <w:p w14:paraId="39EF9A18"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foundational economic aspects of gender inequality are the focal point of socialist feminism. It contends that the exploitation of women within the capitalist system, explicitly their unpaid domestic labour and undervalued contributions in the marketplace is the fundamental cause of their oppression (</w:t>
      </w:r>
      <w:r>
        <w:rPr>
          <w:rFonts w:ascii="Times New Roman" w:eastAsia="Times New Roman" w:hAnsi="Times New Roman" w:cs="Times New Roman"/>
          <w:color w:val="000000"/>
          <w:sz w:val="24"/>
          <w:szCs w:val="24"/>
          <w:highlight w:val="white"/>
        </w:rPr>
        <w:t>Luxton, 2022</w:t>
      </w:r>
      <w:r>
        <w:rPr>
          <w:rFonts w:ascii="Times New Roman" w:eastAsia="Times New Roman" w:hAnsi="Times New Roman" w:cs="Times New Roman"/>
          <w:color w:val="000000"/>
          <w:sz w:val="24"/>
          <w:szCs w:val="24"/>
        </w:rPr>
        <w:t xml:space="preserve">). To make a society where women’s </w:t>
      </w:r>
      <w:r>
        <w:rPr>
          <w:rFonts w:ascii="Times New Roman" w:eastAsia="Times New Roman" w:hAnsi="Times New Roman" w:cs="Times New Roman"/>
          <w:color w:val="000000"/>
          <w:sz w:val="24"/>
          <w:szCs w:val="24"/>
        </w:rPr>
        <w:lastRenderedPageBreak/>
        <w:t>contributions are valued and their work is fairly paid, socialist changes are required to achieve equality. Such changes embrace giving up private property and redistributing wealth.</w:t>
      </w:r>
    </w:p>
    <w:p w14:paraId="37F76EE6"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According to </w:t>
      </w:r>
      <w:proofErr w:type="spellStart"/>
      <w:r>
        <w:rPr>
          <w:rFonts w:ascii="Times New Roman" w:eastAsia="Times New Roman" w:hAnsi="Times New Roman" w:cs="Times New Roman"/>
          <w:color w:val="000000"/>
          <w:sz w:val="24"/>
          <w:szCs w:val="24"/>
          <w:highlight w:val="white"/>
        </w:rPr>
        <w:t>Wilchins</w:t>
      </w:r>
      <w:proofErr w:type="spellEnd"/>
      <w:r>
        <w:rPr>
          <w:rFonts w:ascii="Times New Roman" w:eastAsia="Times New Roman" w:hAnsi="Times New Roman" w:cs="Times New Roman"/>
          <w:color w:val="000000"/>
          <w:sz w:val="24"/>
          <w:szCs w:val="24"/>
          <w:highlight w:val="white"/>
        </w:rPr>
        <w:t xml:space="preserve"> (2019), </w:t>
      </w:r>
      <w:r>
        <w:rPr>
          <w:rFonts w:ascii="Times New Roman" w:eastAsia="Times New Roman" w:hAnsi="Times New Roman" w:cs="Times New Roman"/>
          <w:color w:val="000000"/>
          <w:sz w:val="24"/>
          <w:szCs w:val="24"/>
        </w:rPr>
        <w:t>intersectional feminism relies on these previous conceptions emphasising that gender intersects with other dimensions of identification, including race, class, sexuality and curves distinctive experiences of success and failure. It highlights the need for inclusive solutions that specifically deal with the difficulties faced by women from varied backgrounds and criticises the “one-size-fits-all” approach of previous models. Important discussions regarding the close connections between the larger struggle for gender equality and topics like migrant women’s experiences, sex work and trans rights have been spurred by this aspect of feminism.</w:t>
      </w:r>
    </w:p>
    <w:p w14:paraId="2A6641C7"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Advantages, disadvantages, challenges of Gender Equality</w:t>
      </w:r>
    </w:p>
    <w:p w14:paraId="2FF62910"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equality of genders and economic prosperity are strongly associated. By 2025 reducing the gender disparity in labour force participation may increase global GDP by 28% (</w:t>
      </w:r>
      <w:proofErr w:type="spellStart"/>
      <w:r>
        <w:rPr>
          <w:rFonts w:ascii="Times New Roman" w:eastAsia="Times New Roman" w:hAnsi="Times New Roman" w:cs="Times New Roman"/>
          <w:color w:val="000000"/>
          <w:sz w:val="24"/>
          <w:szCs w:val="24"/>
          <w:highlight w:val="white"/>
        </w:rPr>
        <w:t>Pimkina</w:t>
      </w:r>
      <w:proofErr w:type="spellEnd"/>
      <w:r>
        <w:rPr>
          <w:rFonts w:ascii="Times New Roman" w:eastAsia="Times New Roman" w:hAnsi="Times New Roman" w:cs="Times New Roman"/>
          <w:color w:val="000000"/>
          <w:sz w:val="24"/>
          <w:szCs w:val="24"/>
          <w:highlight w:val="white"/>
        </w:rPr>
        <w:t xml:space="preserve"> and de La </w:t>
      </w:r>
      <w:proofErr w:type="spellStart"/>
      <w:r>
        <w:rPr>
          <w:rFonts w:ascii="Times New Roman" w:eastAsia="Times New Roman" w:hAnsi="Times New Roman" w:cs="Times New Roman"/>
          <w:color w:val="000000"/>
          <w:sz w:val="24"/>
          <w:szCs w:val="24"/>
          <w:highlight w:val="white"/>
        </w:rPr>
        <w:t>Flor</w:t>
      </w:r>
      <w:proofErr w:type="spellEnd"/>
      <w:r>
        <w:rPr>
          <w:rFonts w:ascii="Times New Roman" w:eastAsia="Times New Roman" w:hAnsi="Times New Roman" w:cs="Times New Roman"/>
          <w:color w:val="000000"/>
          <w:sz w:val="24"/>
          <w:szCs w:val="24"/>
          <w:highlight w:val="white"/>
        </w:rPr>
        <w:t>, 2020</w:t>
      </w:r>
      <w:r>
        <w:rPr>
          <w:rFonts w:ascii="Times New Roman" w:eastAsia="Times New Roman" w:hAnsi="Times New Roman" w:cs="Times New Roman"/>
          <w:color w:val="000000"/>
          <w:sz w:val="24"/>
          <w:szCs w:val="24"/>
        </w:rPr>
        <w:t xml:space="preserve">). A rise in the number of female participants encourages creativity and entrepreneurship by introducing various kinds of opinions, skills and experiences. Supporting equality between men and women will lead to better social growth by improving health, lowering poverty and raising social well-being. Women can make informed decisions about their families, schooling and health when they receive the information they need. Highly educated women are more likely to break out of poverty, join the job and make important contributions to the economy. </w:t>
      </w:r>
    </w:p>
    <w:p w14:paraId="11922661"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The protection of fundamental human rights is at the basis of the concept of gender equality. Consequently, it promotes independence, dignity and self-actualization for all individuals by deconstructing discriminatory systems that restrict gender possibilities and potential (</w:t>
      </w:r>
      <w:proofErr w:type="spellStart"/>
      <w:r>
        <w:rPr>
          <w:rFonts w:ascii="Times New Roman" w:eastAsia="Times New Roman" w:hAnsi="Times New Roman" w:cs="Times New Roman"/>
          <w:color w:val="000000"/>
          <w:sz w:val="24"/>
          <w:szCs w:val="24"/>
          <w:highlight w:val="white"/>
        </w:rPr>
        <w:t>Kılıç</w:t>
      </w:r>
      <w:proofErr w:type="spellEnd"/>
      <w:r>
        <w:rPr>
          <w:rFonts w:ascii="Times New Roman" w:eastAsia="Times New Roman" w:hAnsi="Times New Roman" w:cs="Times New Roman"/>
          <w:color w:val="000000"/>
          <w:sz w:val="24"/>
          <w:szCs w:val="24"/>
          <w:highlight w:val="white"/>
        </w:rPr>
        <w:t>, 2023</w:t>
      </w:r>
      <w:r>
        <w:rPr>
          <w:rFonts w:ascii="Times New Roman" w:eastAsia="Times New Roman" w:hAnsi="Times New Roman" w:cs="Times New Roman"/>
          <w:color w:val="000000"/>
          <w:sz w:val="24"/>
          <w:szCs w:val="24"/>
        </w:rPr>
        <w:t>). Leaders who value and embrace different perspectives tend to be more capable of making decisions that are well-informed and full of new ideas. Equality between men and women awakens the potential of a larger talent pool, leading to more creative solutions and more diverse leadership in various industries.</w:t>
      </w:r>
    </w:p>
    <w:p w14:paraId="2ED7095E"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main reasons people are reluctant to change are often deeply ingrained social rules and unequal power relationships. As stated by </w:t>
      </w:r>
      <w:r>
        <w:rPr>
          <w:rFonts w:ascii="Times New Roman" w:eastAsia="Times New Roman" w:hAnsi="Times New Roman" w:cs="Times New Roman"/>
          <w:color w:val="000000"/>
          <w:sz w:val="24"/>
          <w:szCs w:val="24"/>
          <w:highlight w:val="white"/>
        </w:rPr>
        <w:t xml:space="preserve">Allen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(2019</w:t>
      </w:r>
      <w:r>
        <w:rPr>
          <w:rFonts w:ascii="Times New Roman" w:eastAsia="Times New Roman" w:hAnsi="Times New Roman" w:cs="Times New Roman"/>
          <w:color w:val="000000"/>
          <w:sz w:val="24"/>
          <w:szCs w:val="24"/>
        </w:rPr>
        <w:t>), Redistributing power and resources in a way that promotes gender equality could make people who gain from the status quo feel threatened. It could lead to resistance and efforts to keep things unchanged. Changing to a more fair society can cause problems and delays for a short time. As people and organisations get used to the new rules and standards, reorganising workplaces, transferring resources and terminating discriminatory practices could lead to some problems initially.</w:t>
      </w:r>
    </w:p>
    <w:p w14:paraId="0A8F227C"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lastRenderedPageBreak/>
        <w:t>For attaining gender equality, policies may have unexpected effects if they are not carefully planned and put into action. One example of a policy that encourages women to be represented is quotas (</w:t>
      </w:r>
      <w:r>
        <w:rPr>
          <w:rFonts w:ascii="Times New Roman" w:eastAsia="Times New Roman" w:hAnsi="Times New Roman" w:cs="Times New Roman"/>
          <w:color w:val="000000"/>
          <w:sz w:val="24"/>
          <w:szCs w:val="24"/>
          <w:highlight w:val="white"/>
        </w:rPr>
        <w:t>Barnes and Holman, 2020</w:t>
      </w:r>
      <w:r>
        <w:rPr>
          <w:rFonts w:ascii="Times New Roman" w:eastAsia="Times New Roman" w:hAnsi="Times New Roman" w:cs="Times New Roman"/>
          <w:color w:val="000000"/>
          <w:sz w:val="24"/>
          <w:szCs w:val="24"/>
        </w:rPr>
        <w:t>). However, these may be seen as empty actions or cause qualified candidates to be overlooked. The emphasis on gender equality can be manipulated by individuals with harmful intentions. Claiming to be pro-equality, they might support negative intentions that take benefits associated with less fortunate individuals or misinterpret the movement’s initial objective.</w:t>
      </w:r>
    </w:p>
    <w:p w14:paraId="302A9F87"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is necessary to recognise and resolve the intersecting inequalities that people experience because of their sexual orientation, race, class and other characteristics to achieve gender equality. Adopting an approach that fits all raises the risk of ignoring the specific challenges and constraints encountered by marginalised populations within the wider “women” category (</w:t>
      </w:r>
      <w:r>
        <w:rPr>
          <w:rFonts w:ascii="Times New Roman" w:eastAsia="Times New Roman" w:hAnsi="Times New Roman" w:cs="Times New Roman"/>
          <w:color w:val="000000"/>
          <w:sz w:val="24"/>
          <w:szCs w:val="24"/>
          <w:highlight w:val="white"/>
        </w:rPr>
        <w:t xml:space="preserve">Ceia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2021</w:t>
      </w:r>
      <w:r>
        <w:rPr>
          <w:rFonts w:ascii="Times New Roman" w:eastAsia="Times New Roman" w:hAnsi="Times New Roman" w:cs="Times New Roman"/>
          <w:color w:val="000000"/>
          <w:sz w:val="24"/>
          <w:szCs w:val="24"/>
        </w:rPr>
        <w:t xml:space="preserve">). Globally, there has been inconsistent progress towards gender equality. Women in different regions face quite distinct experiences and problems due to cultural norms, political institutions and economic progress. Isolating these differences and promoting international cooperation is necessary for a broad response. </w:t>
      </w:r>
    </w:p>
    <w:p w14:paraId="6E36C586" w14:textId="77777777" w:rsidR="0098105B" w:rsidRDefault="00000000">
      <w:pPr>
        <w:pStyle w:val="Heading1"/>
        <w:jc w:val="both"/>
      </w:pPr>
      <w:bookmarkStart w:id="3" w:name="_heading=h.3znysh7" w:colFirst="0" w:colLast="0"/>
      <w:bookmarkEnd w:id="3"/>
      <w:r>
        <w:t xml:space="preserve">Chapter 3: Research Methods and Methodology </w:t>
      </w:r>
    </w:p>
    <w:p w14:paraId="46448A75"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Research Philosophy</w:t>
      </w:r>
    </w:p>
    <w:p w14:paraId="4E80902E"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Pragmatism is the suitable research philosophy for the research as it will be based on a mixed research method with both qualitative and quantitative approach. Pragmatism is a practical approach to a problem and strongly correlates with mixed-methods research. Pragmatism can be recognised as an intermediary between paradigm and methodology or as an ideology at the interface of philosophy and methodology. Pragmatism emphasises the relevance of practicability and usefulness. It supports a problem-solving strategy that is flexible and versatile.</w:t>
      </w:r>
    </w:p>
    <w:p w14:paraId="35282135"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Research Paradigm</w:t>
      </w:r>
    </w:p>
    <w:p w14:paraId="5F8EC8B1"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following research will be based on the</w:t>
      </w:r>
      <w:r>
        <w:rPr>
          <w:rFonts w:ascii="Times New Roman" w:eastAsia="Times New Roman" w:hAnsi="Times New Roman" w:cs="Times New Roman"/>
          <w:b/>
          <w:i/>
          <w:color w:val="000000"/>
          <w:sz w:val="24"/>
          <w:szCs w:val="24"/>
        </w:rPr>
        <w:t xml:space="preserve"> Paradigmatic pluralism </w:t>
      </w:r>
      <w:r>
        <w:rPr>
          <w:rFonts w:ascii="Times New Roman" w:eastAsia="Times New Roman" w:hAnsi="Times New Roman" w:cs="Times New Roman"/>
          <w:color w:val="000000"/>
          <w:sz w:val="24"/>
          <w:szCs w:val="24"/>
        </w:rPr>
        <w:t>combination of several research paradigms that offers the most extensive and nuanced approach to research. Pluralism supports the integration of paradigms, data and analysis methods to encourage engagement with diverse opinions, comprehend across areas of differentiation and get involved in personal and methodological dialogue to improve and cultivate comprehension of research queries and results. By employing a pragmatic approach to mixed methods research, researchers obtain autonomy to select methods that effectively deal with the problems of the research (</w:t>
      </w:r>
      <w:proofErr w:type="spellStart"/>
      <w:r>
        <w:rPr>
          <w:rFonts w:ascii="Times New Roman" w:eastAsia="Times New Roman" w:hAnsi="Times New Roman" w:cs="Times New Roman"/>
          <w:color w:val="000000"/>
          <w:sz w:val="24"/>
          <w:szCs w:val="24"/>
          <w:highlight w:val="white"/>
        </w:rPr>
        <w:t>Timans</w:t>
      </w:r>
      <w:proofErr w:type="spellEnd"/>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et al</w:t>
      </w:r>
      <w:r>
        <w:rPr>
          <w:rFonts w:ascii="Times New Roman" w:eastAsia="Times New Roman" w:hAnsi="Times New Roman" w:cs="Times New Roman"/>
          <w:color w:val="000000"/>
          <w:sz w:val="24"/>
          <w:szCs w:val="24"/>
          <w:highlight w:val="white"/>
        </w:rPr>
        <w:t>., 2019</w:t>
      </w:r>
      <w:r>
        <w:rPr>
          <w:rFonts w:ascii="Times New Roman" w:eastAsia="Times New Roman" w:hAnsi="Times New Roman" w:cs="Times New Roman"/>
          <w:color w:val="000000"/>
          <w:sz w:val="24"/>
          <w:szCs w:val="24"/>
        </w:rPr>
        <w:t>).</w:t>
      </w:r>
    </w:p>
    <w:p w14:paraId="03B6115C"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Research Approach</w:t>
      </w:r>
    </w:p>
    <w:p w14:paraId="7AC4AED7"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There are three types of research approaches used by researchers such as inductive, deductive and abductive. The following research will be based on the inductive research approach that effectively suits the basis of mixed research methods. The researcher could acquire primary knowledge and information through direct observation by employing the inductive method. It collects specific data before deriving an overall conclusion that anticipates potential outcomes by the researcher.</w:t>
      </w:r>
    </w:p>
    <w:p w14:paraId="667465B0"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Research Methodology</w:t>
      </w:r>
    </w:p>
    <w:p w14:paraId="1A6E0D3F"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following research will be based on mixed method research. The mixed research approach will reduce the time and cost of the research. Utilisation of the mixed research approach will offer detailed understanding of any topic. The method also assures better collaboration of the outcomes that may help to derive a precise conclusion of the research. </w:t>
      </w:r>
    </w:p>
    <w:p w14:paraId="0AFEEA7A"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Research strategy</w:t>
      </w:r>
    </w:p>
    <w:p w14:paraId="707613D3"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following research will be based on experimental research strategy. The implementation of experimental research strategies grants researchers greater control over variables, enabling them to attain the intended outcomes (</w:t>
      </w:r>
      <w:r>
        <w:rPr>
          <w:rFonts w:ascii="Times New Roman" w:eastAsia="Times New Roman" w:hAnsi="Times New Roman" w:cs="Times New Roman"/>
          <w:color w:val="000000"/>
          <w:sz w:val="24"/>
          <w:szCs w:val="24"/>
          <w:highlight w:val="white"/>
        </w:rPr>
        <w:t>Pandey and Pandey, 2021</w:t>
      </w:r>
      <w:r>
        <w:rPr>
          <w:rFonts w:ascii="Times New Roman" w:eastAsia="Times New Roman" w:hAnsi="Times New Roman" w:cs="Times New Roman"/>
          <w:color w:val="000000"/>
          <w:sz w:val="24"/>
          <w:szCs w:val="24"/>
        </w:rPr>
        <w:t>). Experimental research remains efficacious irrespective of the subject matter or industry involved. The researcher may apply findings to parallel concepts or circumstances once the results have been analysed.</w:t>
      </w:r>
    </w:p>
    <w:p w14:paraId="7CE366C2"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Sampling methods</w:t>
      </w:r>
    </w:p>
    <w:p w14:paraId="3AEA09E7"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There are several sampling methods such as random sampling, purposive sampling, snowball sampling mostly used by researchers. For the particular research the purposive sampling method will be most suitable as it requires accurate findings from primary and secondary sources. By utilising purposive sampling, the researcher can collect qualitative responses that may result in more insightful and accurate findings. The results obtained are pertinent to the research context due to the researcher’s selection of remarkably suitable participants from the sample.</w:t>
      </w:r>
    </w:p>
    <w:p w14:paraId="3F8AAC46"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Data collection methods</w:t>
      </w:r>
    </w:p>
    <w:p w14:paraId="45FFCC9A"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following research will be a mixed method research therefore the data of the research will be collected using both primary and secondary data collection methods.</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 xml:space="preserve">The researcher will collect qualitative data from authentic reliable secondary sources and collect quantitative data through conducting a survey with participants to collect their responses regarding the research topic. The researcher has selected the mixed data collection method as it will enhance the credibility and accuracy of the research while also aligning the research findings with previously established concepts. </w:t>
      </w:r>
    </w:p>
    <w:p w14:paraId="0158FB41"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Ways of interpreting data</w:t>
      </w:r>
    </w:p>
    <w:p w14:paraId="4DAB8EC8"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The research will include both quantitative and qualitative data interpretation methods. The qualitative data collected from different books, journals, reports will be interpreted through thematic analysis. Consequently, the data collected from research participants will be interpreted through representing graph, charts. </w:t>
      </w:r>
    </w:p>
    <w:p w14:paraId="499161E7"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Time prospects of the research</w:t>
      </w:r>
    </w:p>
    <w:tbl>
      <w:tblPr>
        <w:tblStyle w:val="a"/>
        <w:tblW w:w="901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945"/>
        <w:gridCol w:w="1020"/>
        <w:gridCol w:w="1020"/>
        <w:gridCol w:w="1005"/>
        <w:gridCol w:w="1050"/>
        <w:gridCol w:w="975"/>
      </w:tblGrid>
      <w:tr w:rsidR="0098105B" w14:paraId="1DECA76E" w14:textId="77777777">
        <w:trPr>
          <w:cantSplit/>
          <w:tblHeader/>
        </w:trPr>
        <w:tc>
          <w:tcPr>
            <w:tcW w:w="3945" w:type="dxa"/>
            <w:shd w:val="clear" w:color="auto" w:fill="auto"/>
            <w:tcMar>
              <w:top w:w="100" w:type="dxa"/>
              <w:left w:w="100" w:type="dxa"/>
              <w:bottom w:w="100" w:type="dxa"/>
              <w:right w:w="100" w:type="dxa"/>
            </w:tcMar>
          </w:tcPr>
          <w:p w14:paraId="6965B8A7" w14:textId="77777777" w:rsidR="0098105B"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Activities</w:t>
            </w:r>
          </w:p>
        </w:tc>
        <w:tc>
          <w:tcPr>
            <w:tcW w:w="1020" w:type="dxa"/>
            <w:shd w:val="clear" w:color="auto" w:fill="auto"/>
            <w:tcMar>
              <w:top w:w="100" w:type="dxa"/>
              <w:left w:w="100" w:type="dxa"/>
              <w:bottom w:w="100" w:type="dxa"/>
              <w:right w:w="100" w:type="dxa"/>
            </w:tcMar>
          </w:tcPr>
          <w:p w14:paraId="7E69C16C" w14:textId="77777777" w:rsidR="0098105B"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Week 1</w:t>
            </w:r>
          </w:p>
        </w:tc>
        <w:tc>
          <w:tcPr>
            <w:tcW w:w="1020" w:type="dxa"/>
            <w:shd w:val="clear" w:color="auto" w:fill="auto"/>
            <w:tcMar>
              <w:top w:w="100" w:type="dxa"/>
              <w:left w:w="100" w:type="dxa"/>
              <w:bottom w:w="100" w:type="dxa"/>
              <w:right w:w="100" w:type="dxa"/>
            </w:tcMar>
          </w:tcPr>
          <w:p w14:paraId="3A2E3582" w14:textId="77777777" w:rsidR="0098105B"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Week 2</w:t>
            </w:r>
          </w:p>
        </w:tc>
        <w:tc>
          <w:tcPr>
            <w:tcW w:w="1005" w:type="dxa"/>
            <w:shd w:val="clear" w:color="auto" w:fill="auto"/>
            <w:tcMar>
              <w:top w:w="100" w:type="dxa"/>
              <w:left w:w="100" w:type="dxa"/>
              <w:bottom w:w="100" w:type="dxa"/>
              <w:right w:w="100" w:type="dxa"/>
            </w:tcMar>
          </w:tcPr>
          <w:p w14:paraId="19C79E03" w14:textId="77777777" w:rsidR="0098105B"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Week 3</w:t>
            </w:r>
          </w:p>
        </w:tc>
        <w:tc>
          <w:tcPr>
            <w:tcW w:w="1050" w:type="dxa"/>
            <w:shd w:val="clear" w:color="auto" w:fill="auto"/>
            <w:tcMar>
              <w:top w:w="100" w:type="dxa"/>
              <w:left w:w="100" w:type="dxa"/>
              <w:bottom w:w="100" w:type="dxa"/>
              <w:right w:w="100" w:type="dxa"/>
            </w:tcMar>
          </w:tcPr>
          <w:p w14:paraId="1A058E24" w14:textId="77777777" w:rsidR="0098105B"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Week 4</w:t>
            </w:r>
          </w:p>
        </w:tc>
        <w:tc>
          <w:tcPr>
            <w:tcW w:w="975" w:type="dxa"/>
            <w:shd w:val="clear" w:color="auto" w:fill="auto"/>
            <w:tcMar>
              <w:top w:w="100" w:type="dxa"/>
              <w:left w:w="100" w:type="dxa"/>
              <w:bottom w:w="100" w:type="dxa"/>
              <w:right w:w="100" w:type="dxa"/>
            </w:tcMar>
          </w:tcPr>
          <w:p w14:paraId="622AC5A1" w14:textId="77777777" w:rsidR="0098105B"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Week 5</w:t>
            </w:r>
          </w:p>
        </w:tc>
      </w:tr>
      <w:tr w:rsidR="0098105B" w14:paraId="5F4CD575" w14:textId="77777777">
        <w:trPr>
          <w:cantSplit/>
          <w:tblHeader/>
        </w:trPr>
        <w:tc>
          <w:tcPr>
            <w:tcW w:w="3945" w:type="dxa"/>
            <w:shd w:val="clear" w:color="auto" w:fill="auto"/>
            <w:tcMar>
              <w:top w:w="100" w:type="dxa"/>
              <w:left w:w="100" w:type="dxa"/>
              <w:bottom w:w="100" w:type="dxa"/>
              <w:right w:w="100" w:type="dxa"/>
            </w:tcMar>
          </w:tcPr>
          <w:p w14:paraId="1ADFD6B1" w14:textId="77777777" w:rsidR="0098105B"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Selecting the topic</w:t>
            </w:r>
          </w:p>
        </w:tc>
        <w:tc>
          <w:tcPr>
            <w:tcW w:w="1020" w:type="dxa"/>
            <w:shd w:val="clear" w:color="auto" w:fill="4A86E8"/>
            <w:tcMar>
              <w:top w:w="100" w:type="dxa"/>
              <w:left w:w="100" w:type="dxa"/>
              <w:bottom w:w="100" w:type="dxa"/>
              <w:right w:w="100" w:type="dxa"/>
            </w:tcMar>
          </w:tcPr>
          <w:p w14:paraId="183C12D4"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20" w:type="dxa"/>
            <w:shd w:val="clear" w:color="auto" w:fill="auto"/>
            <w:tcMar>
              <w:top w:w="100" w:type="dxa"/>
              <w:left w:w="100" w:type="dxa"/>
              <w:bottom w:w="100" w:type="dxa"/>
              <w:right w:w="100" w:type="dxa"/>
            </w:tcMar>
          </w:tcPr>
          <w:p w14:paraId="53AB1047"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05" w:type="dxa"/>
            <w:shd w:val="clear" w:color="auto" w:fill="auto"/>
            <w:tcMar>
              <w:top w:w="100" w:type="dxa"/>
              <w:left w:w="100" w:type="dxa"/>
              <w:bottom w:w="100" w:type="dxa"/>
              <w:right w:w="100" w:type="dxa"/>
            </w:tcMar>
          </w:tcPr>
          <w:p w14:paraId="649C55A6"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50" w:type="dxa"/>
            <w:shd w:val="clear" w:color="auto" w:fill="auto"/>
            <w:tcMar>
              <w:top w:w="100" w:type="dxa"/>
              <w:left w:w="100" w:type="dxa"/>
              <w:bottom w:w="100" w:type="dxa"/>
              <w:right w:w="100" w:type="dxa"/>
            </w:tcMar>
          </w:tcPr>
          <w:p w14:paraId="5C8EA3AF"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975" w:type="dxa"/>
            <w:shd w:val="clear" w:color="auto" w:fill="auto"/>
            <w:tcMar>
              <w:top w:w="100" w:type="dxa"/>
              <w:left w:w="100" w:type="dxa"/>
              <w:bottom w:w="100" w:type="dxa"/>
              <w:right w:w="100" w:type="dxa"/>
            </w:tcMar>
          </w:tcPr>
          <w:p w14:paraId="672A5D5E"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r>
      <w:tr w:rsidR="0098105B" w14:paraId="47161BF0" w14:textId="77777777">
        <w:trPr>
          <w:cantSplit/>
          <w:tblHeader/>
        </w:trPr>
        <w:tc>
          <w:tcPr>
            <w:tcW w:w="3945" w:type="dxa"/>
            <w:shd w:val="clear" w:color="auto" w:fill="auto"/>
            <w:tcMar>
              <w:top w:w="100" w:type="dxa"/>
              <w:left w:w="100" w:type="dxa"/>
              <w:bottom w:w="100" w:type="dxa"/>
              <w:right w:w="100" w:type="dxa"/>
            </w:tcMar>
          </w:tcPr>
          <w:p w14:paraId="21A5E271" w14:textId="77777777" w:rsidR="0098105B"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Carrying background research on the topic </w:t>
            </w:r>
          </w:p>
        </w:tc>
        <w:tc>
          <w:tcPr>
            <w:tcW w:w="1020" w:type="dxa"/>
            <w:shd w:val="clear" w:color="auto" w:fill="4A86E8"/>
            <w:tcMar>
              <w:top w:w="100" w:type="dxa"/>
              <w:left w:w="100" w:type="dxa"/>
              <w:bottom w:w="100" w:type="dxa"/>
              <w:right w:w="100" w:type="dxa"/>
            </w:tcMar>
          </w:tcPr>
          <w:p w14:paraId="73ECC2F8"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20" w:type="dxa"/>
            <w:shd w:val="clear" w:color="auto" w:fill="auto"/>
            <w:tcMar>
              <w:top w:w="100" w:type="dxa"/>
              <w:left w:w="100" w:type="dxa"/>
              <w:bottom w:w="100" w:type="dxa"/>
              <w:right w:w="100" w:type="dxa"/>
            </w:tcMar>
          </w:tcPr>
          <w:p w14:paraId="5D008D97"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05" w:type="dxa"/>
            <w:shd w:val="clear" w:color="auto" w:fill="auto"/>
            <w:tcMar>
              <w:top w:w="100" w:type="dxa"/>
              <w:left w:w="100" w:type="dxa"/>
              <w:bottom w:w="100" w:type="dxa"/>
              <w:right w:w="100" w:type="dxa"/>
            </w:tcMar>
          </w:tcPr>
          <w:p w14:paraId="7944D077"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50" w:type="dxa"/>
            <w:shd w:val="clear" w:color="auto" w:fill="auto"/>
            <w:tcMar>
              <w:top w:w="100" w:type="dxa"/>
              <w:left w:w="100" w:type="dxa"/>
              <w:bottom w:w="100" w:type="dxa"/>
              <w:right w:w="100" w:type="dxa"/>
            </w:tcMar>
          </w:tcPr>
          <w:p w14:paraId="5FFE53AC"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975" w:type="dxa"/>
            <w:shd w:val="clear" w:color="auto" w:fill="auto"/>
            <w:tcMar>
              <w:top w:w="100" w:type="dxa"/>
              <w:left w:w="100" w:type="dxa"/>
              <w:bottom w:w="100" w:type="dxa"/>
              <w:right w:w="100" w:type="dxa"/>
            </w:tcMar>
          </w:tcPr>
          <w:p w14:paraId="3ADCE3A6"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r>
      <w:tr w:rsidR="0098105B" w14:paraId="0D1B5714" w14:textId="77777777">
        <w:trPr>
          <w:cantSplit/>
          <w:tblHeader/>
        </w:trPr>
        <w:tc>
          <w:tcPr>
            <w:tcW w:w="3945" w:type="dxa"/>
            <w:shd w:val="clear" w:color="auto" w:fill="auto"/>
            <w:tcMar>
              <w:top w:w="100" w:type="dxa"/>
              <w:left w:w="100" w:type="dxa"/>
              <w:bottom w:w="100" w:type="dxa"/>
              <w:right w:w="100" w:type="dxa"/>
            </w:tcMar>
          </w:tcPr>
          <w:p w14:paraId="363AAEB7" w14:textId="77777777" w:rsidR="0098105B"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Identify Themes for secondary analysis</w:t>
            </w:r>
          </w:p>
        </w:tc>
        <w:tc>
          <w:tcPr>
            <w:tcW w:w="1020" w:type="dxa"/>
            <w:shd w:val="clear" w:color="auto" w:fill="4A86E8"/>
            <w:tcMar>
              <w:top w:w="100" w:type="dxa"/>
              <w:left w:w="100" w:type="dxa"/>
              <w:bottom w:w="100" w:type="dxa"/>
              <w:right w:w="100" w:type="dxa"/>
            </w:tcMar>
          </w:tcPr>
          <w:p w14:paraId="044D64DF"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20" w:type="dxa"/>
            <w:shd w:val="clear" w:color="auto" w:fill="auto"/>
            <w:tcMar>
              <w:top w:w="100" w:type="dxa"/>
              <w:left w:w="100" w:type="dxa"/>
              <w:bottom w:w="100" w:type="dxa"/>
              <w:right w:w="100" w:type="dxa"/>
            </w:tcMar>
          </w:tcPr>
          <w:p w14:paraId="28236FF1"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05" w:type="dxa"/>
            <w:shd w:val="clear" w:color="auto" w:fill="auto"/>
            <w:tcMar>
              <w:top w:w="100" w:type="dxa"/>
              <w:left w:w="100" w:type="dxa"/>
              <w:bottom w:w="100" w:type="dxa"/>
              <w:right w:w="100" w:type="dxa"/>
            </w:tcMar>
          </w:tcPr>
          <w:p w14:paraId="728A3B7A"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50" w:type="dxa"/>
            <w:shd w:val="clear" w:color="auto" w:fill="auto"/>
            <w:tcMar>
              <w:top w:w="100" w:type="dxa"/>
              <w:left w:w="100" w:type="dxa"/>
              <w:bottom w:w="100" w:type="dxa"/>
              <w:right w:w="100" w:type="dxa"/>
            </w:tcMar>
          </w:tcPr>
          <w:p w14:paraId="3C18A9BD"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975" w:type="dxa"/>
            <w:shd w:val="clear" w:color="auto" w:fill="auto"/>
            <w:tcMar>
              <w:top w:w="100" w:type="dxa"/>
              <w:left w:w="100" w:type="dxa"/>
              <w:bottom w:w="100" w:type="dxa"/>
              <w:right w:w="100" w:type="dxa"/>
            </w:tcMar>
          </w:tcPr>
          <w:p w14:paraId="1934793A"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r>
      <w:tr w:rsidR="0098105B" w14:paraId="62CB6F6D" w14:textId="77777777">
        <w:trPr>
          <w:cantSplit/>
          <w:tblHeader/>
        </w:trPr>
        <w:tc>
          <w:tcPr>
            <w:tcW w:w="3945" w:type="dxa"/>
            <w:shd w:val="clear" w:color="auto" w:fill="auto"/>
            <w:tcMar>
              <w:top w:w="100" w:type="dxa"/>
              <w:left w:w="100" w:type="dxa"/>
              <w:bottom w:w="100" w:type="dxa"/>
              <w:right w:w="100" w:type="dxa"/>
            </w:tcMar>
          </w:tcPr>
          <w:p w14:paraId="6CE845CC" w14:textId="77777777" w:rsidR="0098105B"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Collect information from secondary sources</w:t>
            </w:r>
          </w:p>
        </w:tc>
        <w:tc>
          <w:tcPr>
            <w:tcW w:w="1020" w:type="dxa"/>
            <w:shd w:val="clear" w:color="auto" w:fill="auto"/>
            <w:tcMar>
              <w:top w:w="100" w:type="dxa"/>
              <w:left w:w="100" w:type="dxa"/>
              <w:bottom w:w="100" w:type="dxa"/>
              <w:right w:w="100" w:type="dxa"/>
            </w:tcMar>
          </w:tcPr>
          <w:p w14:paraId="25CA9168"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20" w:type="dxa"/>
            <w:shd w:val="clear" w:color="auto" w:fill="4A86E8"/>
            <w:tcMar>
              <w:top w:w="100" w:type="dxa"/>
              <w:left w:w="100" w:type="dxa"/>
              <w:bottom w:w="100" w:type="dxa"/>
              <w:right w:w="100" w:type="dxa"/>
            </w:tcMar>
          </w:tcPr>
          <w:p w14:paraId="673904A4"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05" w:type="dxa"/>
            <w:shd w:val="clear" w:color="auto" w:fill="auto"/>
            <w:tcMar>
              <w:top w:w="100" w:type="dxa"/>
              <w:left w:w="100" w:type="dxa"/>
              <w:bottom w:w="100" w:type="dxa"/>
              <w:right w:w="100" w:type="dxa"/>
            </w:tcMar>
          </w:tcPr>
          <w:p w14:paraId="1173FAD2"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50" w:type="dxa"/>
            <w:shd w:val="clear" w:color="auto" w:fill="auto"/>
            <w:tcMar>
              <w:top w:w="100" w:type="dxa"/>
              <w:left w:w="100" w:type="dxa"/>
              <w:bottom w:w="100" w:type="dxa"/>
              <w:right w:w="100" w:type="dxa"/>
            </w:tcMar>
          </w:tcPr>
          <w:p w14:paraId="296A0BB4"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975" w:type="dxa"/>
            <w:shd w:val="clear" w:color="auto" w:fill="auto"/>
            <w:tcMar>
              <w:top w:w="100" w:type="dxa"/>
              <w:left w:w="100" w:type="dxa"/>
              <w:bottom w:w="100" w:type="dxa"/>
              <w:right w:w="100" w:type="dxa"/>
            </w:tcMar>
          </w:tcPr>
          <w:p w14:paraId="644FC1D2"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r>
      <w:tr w:rsidR="0098105B" w14:paraId="41AA2DCE" w14:textId="77777777">
        <w:trPr>
          <w:cantSplit/>
          <w:tblHeader/>
        </w:trPr>
        <w:tc>
          <w:tcPr>
            <w:tcW w:w="3945" w:type="dxa"/>
            <w:shd w:val="clear" w:color="auto" w:fill="auto"/>
            <w:tcMar>
              <w:top w:w="100" w:type="dxa"/>
              <w:left w:w="100" w:type="dxa"/>
              <w:bottom w:w="100" w:type="dxa"/>
              <w:right w:w="100" w:type="dxa"/>
            </w:tcMar>
          </w:tcPr>
          <w:p w14:paraId="317E9625" w14:textId="77777777" w:rsidR="0098105B"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Executing Methodology </w:t>
            </w:r>
          </w:p>
        </w:tc>
        <w:tc>
          <w:tcPr>
            <w:tcW w:w="1020" w:type="dxa"/>
            <w:shd w:val="clear" w:color="auto" w:fill="auto"/>
            <w:tcMar>
              <w:top w:w="100" w:type="dxa"/>
              <w:left w:w="100" w:type="dxa"/>
              <w:bottom w:w="100" w:type="dxa"/>
              <w:right w:w="100" w:type="dxa"/>
            </w:tcMar>
          </w:tcPr>
          <w:p w14:paraId="6052D258"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20" w:type="dxa"/>
            <w:shd w:val="clear" w:color="auto" w:fill="auto"/>
            <w:tcMar>
              <w:top w:w="100" w:type="dxa"/>
              <w:left w:w="100" w:type="dxa"/>
              <w:bottom w:w="100" w:type="dxa"/>
              <w:right w:w="100" w:type="dxa"/>
            </w:tcMar>
          </w:tcPr>
          <w:p w14:paraId="645C700E"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05" w:type="dxa"/>
            <w:shd w:val="clear" w:color="auto" w:fill="4A86E8"/>
            <w:tcMar>
              <w:top w:w="100" w:type="dxa"/>
              <w:left w:w="100" w:type="dxa"/>
              <w:bottom w:w="100" w:type="dxa"/>
              <w:right w:w="100" w:type="dxa"/>
            </w:tcMar>
          </w:tcPr>
          <w:p w14:paraId="4943AD1D"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50" w:type="dxa"/>
            <w:shd w:val="clear" w:color="auto" w:fill="auto"/>
            <w:tcMar>
              <w:top w:w="100" w:type="dxa"/>
              <w:left w:w="100" w:type="dxa"/>
              <w:bottom w:w="100" w:type="dxa"/>
              <w:right w:w="100" w:type="dxa"/>
            </w:tcMar>
          </w:tcPr>
          <w:p w14:paraId="44551E2E"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975" w:type="dxa"/>
            <w:shd w:val="clear" w:color="auto" w:fill="auto"/>
            <w:tcMar>
              <w:top w:w="100" w:type="dxa"/>
              <w:left w:w="100" w:type="dxa"/>
              <w:bottom w:w="100" w:type="dxa"/>
              <w:right w:w="100" w:type="dxa"/>
            </w:tcMar>
          </w:tcPr>
          <w:p w14:paraId="1073B317"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r>
      <w:tr w:rsidR="0098105B" w14:paraId="18075DE2" w14:textId="77777777">
        <w:trPr>
          <w:cantSplit/>
          <w:tblHeader/>
        </w:trPr>
        <w:tc>
          <w:tcPr>
            <w:tcW w:w="3945" w:type="dxa"/>
            <w:shd w:val="clear" w:color="auto" w:fill="auto"/>
            <w:tcMar>
              <w:top w:w="100" w:type="dxa"/>
              <w:left w:w="100" w:type="dxa"/>
              <w:bottom w:w="100" w:type="dxa"/>
              <w:right w:w="100" w:type="dxa"/>
            </w:tcMar>
          </w:tcPr>
          <w:p w14:paraId="38AC175F" w14:textId="77777777" w:rsidR="0098105B"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Conducting Survey</w:t>
            </w:r>
          </w:p>
        </w:tc>
        <w:tc>
          <w:tcPr>
            <w:tcW w:w="1020" w:type="dxa"/>
            <w:shd w:val="clear" w:color="auto" w:fill="auto"/>
            <w:tcMar>
              <w:top w:w="100" w:type="dxa"/>
              <w:left w:w="100" w:type="dxa"/>
              <w:bottom w:w="100" w:type="dxa"/>
              <w:right w:w="100" w:type="dxa"/>
            </w:tcMar>
          </w:tcPr>
          <w:p w14:paraId="3D0961B1"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20" w:type="dxa"/>
            <w:shd w:val="clear" w:color="auto" w:fill="auto"/>
            <w:tcMar>
              <w:top w:w="100" w:type="dxa"/>
              <w:left w:w="100" w:type="dxa"/>
              <w:bottom w:w="100" w:type="dxa"/>
              <w:right w:w="100" w:type="dxa"/>
            </w:tcMar>
          </w:tcPr>
          <w:p w14:paraId="2BF59666"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05" w:type="dxa"/>
            <w:shd w:val="clear" w:color="auto" w:fill="4A86E8"/>
            <w:tcMar>
              <w:top w:w="100" w:type="dxa"/>
              <w:left w:w="100" w:type="dxa"/>
              <w:bottom w:w="100" w:type="dxa"/>
              <w:right w:w="100" w:type="dxa"/>
            </w:tcMar>
          </w:tcPr>
          <w:p w14:paraId="07978B65"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50" w:type="dxa"/>
            <w:shd w:val="clear" w:color="auto" w:fill="auto"/>
            <w:tcMar>
              <w:top w:w="100" w:type="dxa"/>
              <w:left w:w="100" w:type="dxa"/>
              <w:bottom w:w="100" w:type="dxa"/>
              <w:right w:w="100" w:type="dxa"/>
            </w:tcMar>
          </w:tcPr>
          <w:p w14:paraId="5BCB47FA"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975" w:type="dxa"/>
            <w:shd w:val="clear" w:color="auto" w:fill="auto"/>
            <w:tcMar>
              <w:top w:w="100" w:type="dxa"/>
              <w:left w:w="100" w:type="dxa"/>
              <w:bottom w:w="100" w:type="dxa"/>
              <w:right w:w="100" w:type="dxa"/>
            </w:tcMar>
          </w:tcPr>
          <w:p w14:paraId="20953B0E"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r>
      <w:tr w:rsidR="0098105B" w14:paraId="3695B65F" w14:textId="77777777">
        <w:trPr>
          <w:cantSplit/>
          <w:tblHeader/>
        </w:trPr>
        <w:tc>
          <w:tcPr>
            <w:tcW w:w="3945" w:type="dxa"/>
            <w:shd w:val="clear" w:color="auto" w:fill="auto"/>
            <w:tcMar>
              <w:top w:w="100" w:type="dxa"/>
              <w:left w:w="100" w:type="dxa"/>
              <w:bottom w:w="100" w:type="dxa"/>
              <w:right w:w="100" w:type="dxa"/>
            </w:tcMar>
          </w:tcPr>
          <w:p w14:paraId="6DA959C0" w14:textId="77777777" w:rsidR="0098105B"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Compare the findings of primary and secondary data  </w:t>
            </w:r>
          </w:p>
        </w:tc>
        <w:tc>
          <w:tcPr>
            <w:tcW w:w="1020" w:type="dxa"/>
            <w:shd w:val="clear" w:color="auto" w:fill="auto"/>
            <w:tcMar>
              <w:top w:w="100" w:type="dxa"/>
              <w:left w:w="100" w:type="dxa"/>
              <w:bottom w:w="100" w:type="dxa"/>
              <w:right w:w="100" w:type="dxa"/>
            </w:tcMar>
          </w:tcPr>
          <w:p w14:paraId="14E512DD"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20" w:type="dxa"/>
            <w:shd w:val="clear" w:color="auto" w:fill="auto"/>
            <w:tcMar>
              <w:top w:w="100" w:type="dxa"/>
              <w:left w:w="100" w:type="dxa"/>
              <w:bottom w:w="100" w:type="dxa"/>
              <w:right w:w="100" w:type="dxa"/>
            </w:tcMar>
          </w:tcPr>
          <w:p w14:paraId="3311625B"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05" w:type="dxa"/>
            <w:shd w:val="clear" w:color="auto" w:fill="auto"/>
            <w:tcMar>
              <w:top w:w="100" w:type="dxa"/>
              <w:left w:w="100" w:type="dxa"/>
              <w:bottom w:w="100" w:type="dxa"/>
              <w:right w:w="100" w:type="dxa"/>
            </w:tcMar>
          </w:tcPr>
          <w:p w14:paraId="3CF70E22"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50" w:type="dxa"/>
            <w:shd w:val="clear" w:color="auto" w:fill="4A86E8"/>
            <w:tcMar>
              <w:top w:w="100" w:type="dxa"/>
              <w:left w:w="100" w:type="dxa"/>
              <w:bottom w:w="100" w:type="dxa"/>
              <w:right w:w="100" w:type="dxa"/>
            </w:tcMar>
          </w:tcPr>
          <w:p w14:paraId="6CE5F65B"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975" w:type="dxa"/>
            <w:shd w:val="clear" w:color="auto" w:fill="auto"/>
            <w:tcMar>
              <w:top w:w="100" w:type="dxa"/>
              <w:left w:w="100" w:type="dxa"/>
              <w:bottom w:w="100" w:type="dxa"/>
              <w:right w:w="100" w:type="dxa"/>
            </w:tcMar>
          </w:tcPr>
          <w:p w14:paraId="4D28F040"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r>
      <w:tr w:rsidR="0098105B" w14:paraId="00D05388" w14:textId="77777777">
        <w:trPr>
          <w:cantSplit/>
          <w:tblHeader/>
        </w:trPr>
        <w:tc>
          <w:tcPr>
            <w:tcW w:w="3945" w:type="dxa"/>
            <w:shd w:val="clear" w:color="auto" w:fill="auto"/>
            <w:tcMar>
              <w:top w:w="100" w:type="dxa"/>
              <w:left w:w="100" w:type="dxa"/>
              <w:bottom w:w="100" w:type="dxa"/>
              <w:right w:w="100" w:type="dxa"/>
            </w:tcMar>
          </w:tcPr>
          <w:p w14:paraId="28821C4D" w14:textId="77777777" w:rsidR="0098105B"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Deriving Conclusion </w:t>
            </w:r>
          </w:p>
        </w:tc>
        <w:tc>
          <w:tcPr>
            <w:tcW w:w="1020" w:type="dxa"/>
            <w:shd w:val="clear" w:color="auto" w:fill="auto"/>
            <w:tcMar>
              <w:top w:w="100" w:type="dxa"/>
              <w:left w:w="100" w:type="dxa"/>
              <w:bottom w:w="100" w:type="dxa"/>
              <w:right w:w="100" w:type="dxa"/>
            </w:tcMar>
          </w:tcPr>
          <w:p w14:paraId="22847BE2"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20" w:type="dxa"/>
            <w:shd w:val="clear" w:color="auto" w:fill="auto"/>
            <w:tcMar>
              <w:top w:w="100" w:type="dxa"/>
              <w:left w:w="100" w:type="dxa"/>
              <w:bottom w:w="100" w:type="dxa"/>
              <w:right w:w="100" w:type="dxa"/>
            </w:tcMar>
          </w:tcPr>
          <w:p w14:paraId="4F9152A2"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05" w:type="dxa"/>
            <w:shd w:val="clear" w:color="auto" w:fill="auto"/>
            <w:tcMar>
              <w:top w:w="100" w:type="dxa"/>
              <w:left w:w="100" w:type="dxa"/>
              <w:bottom w:w="100" w:type="dxa"/>
              <w:right w:w="100" w:type="dxa"/>
            </w:tcMar>
          </w:tcPr>
          <w:p w14:paraId="151C0046"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1050" w:type="dxa"/>
            <w:shd w:val="clear" w:color="auto" w:fill="auto"/>
            <w:tcMar>
              <w:top w:w="100" w:type="dxa"/>
              <w:left w:w="100" w:type="dxa"/>
              <w:bottom w:w="100" w:type="dxa"/>
              <w:right w:w="100" w:type="dxa"/>
            </w:tcMar>
          </w:tcPr>
          <w:p w14:paraId="6E4334B9"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c>
          <w:tcPr>
            <w:tcW w:w="975" w:type="dxa"/>
            <w:shd w:val="clear" w:color="auto" w:fill="4A86E8"/>
            <w:tcMar>
              <w:top w:w="100" w:type="dxa"/>
              <w:left w:w="100" w:type="dxa"/>
              <w:bottom w:w="100" w:type="dxa"/>
              <w:right w:w="100" w:type="dxa"/>
            </w:tcMar>
          </w:tcPr>
          <w:p w14:paraId="234A9F5C" w14:textId="77777777" w:rsidR="0098105B" w:rsidRDefault="0098105B">
            <w:pPr>
              <w:widowControl w:val="0"/>
              <w:pBdr>
                <w:top w:val="nil"/>
                <w:left w:val="nil"/>
                <w:bottom w:val="nil"/>
                <w:right w:val="nil"/>
                <w:between w:val="nil"/>
              </w:pBdr>
              <w:spacing w:line="240" w:lineRule="auto"/>
              <w:rPr>
                <w:rFonts w:ascii="Times New Roman" w:eastAsia="Times New Roman" w:hAnsi="Times New Roman" w:cs="Times New Roman"/>
                <w:b/>
                <w:color w:val="000000"/>
                <w:sz w:val="24"/>
                <w:szCs w:val="24"/>
              </w:rPr>
            </w:pPr>
          </w:p>
        </w:tc>
      </w:tr>
    </w:tbl>
    <w:p w14:paraId="53214A58" w14:textId="77777777" w:rsidR="0098105B" w:rsidRDefault="00000000">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Table: Timescale of the research </w:t>
      </w:r>
    </w:p>
    <w:p w14:paraId="3F2DE5D1" w14:textId="77777777" w:rsidR="0098105B" w:rsidRDefault="00000000">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Created by the learner)</w:t>
      </w:r>
    </w:p>
    <w:p w14:paraId="5ED64BAE"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Ethical consideration of the research</w:t>
      </w:r>
    </w:p>
    <w:p w14:paraId="5E223A5C"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Ethical considerations are a set of principles and guidelines that researchers and participants must follow during a research. The researcher must follow the ethical norms and guidelines for ensuring safety of participants and transparency of the research. The research must adhere to the Data Protection Act 2018 for assuring that the confidential information of participants and organisations will be preserved securely. It is crucial that participants should get equal rights and opportunities throughout the research. </w:t>
      </w:r>
    </w:p>
    <w:p w14:paraId="6225C7B1" w14:textId="77777777" w:rsidR="0098105B" w:rsidRDefault="00000000">
      <w:pPr>
        <w:pStyle w:val="Heading1"/>
        <w:jc w:val="both"/>
      </w:pPr>
      <w:bookmarkStart w:id="4" w:name="_heading=h.2et92p0" w:colFirst="0" w:colLast="0"/>
      <w:bookmarkEnd w:id="4"/>
      <w:r>
        <w:t xml:space="preserve">Chapter 4: Conclusion </w:t>
      </w:r>
    </w:p>
    <w:p w14:paraId="5E6ABD32"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The above research is based on Gender Equality that is considered as a crucial aspect of CSR. Gender Equality is a growing concern in recent times that affects both the economy and the society. The research has collected information regarding basic concepts, advantages and disadvantages of Gender Equality from a wider range of secondary sources. Furthermore, it has outlined the methodology through which the researcher will carry out the research. </w:t>
      </w:r>
    </w:p>
    <w:p w14:paraId="3FE91695" w14:textId="77777777" w:rsidR="0098105B" w:rsidRDefault="00000000">
      <w:pPr>
        <w:pStyle w:val="Heading1"/>
        <w:jc w:val="both"/>
      </w:pPr>
      <w:bookmarkStart w:id="5" w:name="_heading=h.tyjcwt" w:colFirst="0" w:colLast="0"/>
      <w:bookmarkEnd w:id="5"/>
      <w:r>
        <w:lastRenderedPageBreak/>
        <w:br w:type="page"/>
      </w:r>
    </w:p>
    <w:p w14:paraId="6C142FC9" w14:textId="77777777" w:rsidR="0098105B" w:rsidRDefault="00000000">
      <w:pPr>
        <w:pStyle w:val="Heading1"/>
        <w:jc w:val="both"/>
      </w:pPr>
      <w:bookmarkStart w:id="6" w:name="_heading=h.3dy6vkm" w:colFirst="0" w:colLast="0"/>
      <w:bookmarkEnd w:id="6"/>
      <w:r>
        <w:lastRenderedPageBreak/>
        <w:t>Chapter 5: References and Bibliography</w:t>
      </w:r>
    </w:p>
    <w:p w14:paraId="5D7A342B"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Allen, E., Lyons, H. and Stephens, J.C., 2019. Women’s leadership in renewable transformation, energy justice and energy democracy: Redistributing power. </w:t>
      </w:r>
      <w:r>
        <w:rPr>
          <w:rFonts w:ascii="Times New Roman" w:eastAsia="Times New Roman" w:hAnsi="Times New Roman" w:cs="Times New Roman"/>
          <w:i/>
          <w:color w:val="222222"/>
          <w:sz w:val="24"/>
          <w:szCs w:val="24"/>
          <w:highlight w:val="white"/>
        </w:rPr>
        <w:t>Energy Research &amp; Social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57</w:t>
      </w:r>
      <w:r>
        <w:rPr>
          <w:rFonts w:ascii="Times New Roman" w:eastAsia="Times New Roman" w:hAnsi="Times New Roman" w:cs="Times New Roman"/>
          <w:color w:val="222222"/>
          <w:sz w:val="24"/>
          <w:szCs w:val="24"/>
          <w:highlight w:val="white"/>
        </w:rPr>
        <w:t>, p.101233.</w:t>
      </w:r>
    </w:p>
    <w:p w14:paraId="34304318"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Arun, K. and Yildirim </w:t>
      </w:r>
      <w:proofErr w:type="spellStart"/>
      <w:r>
        <w:rPr>
          <w:rFonts w:ascii="Times New Roman" w:eastAsia="Times New Roman" w:hAnsi="Times New Roman" w:cs="Times New Roman"/>
          <w:color w:val="000000"/>
          <w:sz w:val="24"/>
          <w:szCs w:val="24"/>
          <w:highlight w:val="white"/>
        </w:rPr>
        <w:t>Özmutlu</w:t>
      </w:r>
      <w:proofErr w:type="spellEnd"/>
      <w:r>
        <w:rPr>
          <w:rFonts w:ascii="Times New Roman" w:eastAsia="Times New Roman" w:hAnsi="Times New Roman" w:cs="Times New Roman"/>
          <w:color w:val="000000"/>
          <w:sz w:val="24"/>
          <w:szCs w:val="24"/>
          <w:highlight w:val="white"/>
        </w:rPr>
        <w:t xml:space="preserve">, S., 2023. Effects of gender diversity in strategic orientation and strategy execution. </w:t>
      </w:r>
      <w:r>
        <w:rPr>
          <w:rFonts w:ascii="Times New Roman" w:eastAsia="Times New Roman" w:hAnsi="Times New Roman" w:cs="Times New Roman"/>
          <w:i/>
          <w:color w:val="000000"/>
          <w:sz w:val="24"/>
          <w:szCs w:val="24"/>
          <w:highlight w:val="white"/>
        </w:rPr>
        <w:t>Leadership &amp; Organization Development Journal</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44</w:t>
      </w:r>
      <w:r>
        <w:rPr>
          <w:rFonts w:ascii="Times New Roman" w:eastAsia="Times New Roman" w:hAnsi="Times New Roman" w:cs="Times New Roman"/>
          <w:color w:val="000000"/>
          <w:sz w:val="24"/>
          <w:szCs w:val="24"/>
          <w:highlight w:val="white"/>
        </w:rPr>
        <w:t>(7), pp.882-906.</w:t>
      </w:r>
    </w:p>
    <w:p w14:paraId="3A8AB1A8"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Barnes, T.D. and Holman, M.R., 2020. Gender quotas, women’s representation, and legislative diversity. </w:t>
      </w:r>
      <w:r>
        <w:rPr>
          <w:rFonts w:ascii="Times New Roman" w:eastAsia="Times New Roman" w:hAnsi="Times New Roman" w:cs="Times New Roman"/>
          <w:i/>
          <w:color w:val="222222"/>
          <w:sz w:val="24"/>
          <w:szCs w:val="24"/>
          <w:highlight w:val="white"/>
        </w:rPr>
        <w:t>The Journal of Politics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82</w:t>
      </w:r>
      <w:r>
        <w:rPr>
          <w:rFonts w:ascii="Times New Roman" w:eastAsia="Times New Roman" w:hAnsi="Times New Roman" w:cs="Times New Roman"/>
          <w:color w:val="222222"/>
          <w:sz w:val="24"/>
          <w:szCs w:val="24"/>
          <w:highlight w:val="white"/>
        </w:rPr>
        <w:t>(4), pp.1271-1286.</w:t>
      </w:r>
    </w:p>
    <w:p w14:paraId="75CE4DE0"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proofErr w:type="spellStart"/>
      <w:r>
        <w:rPr>
          <w:rFonts w:ascii="Times New Roman" w:eastAsia="Times New Roman" w:hAnsi="Times New Roman" w:cs="Times New Roman"/>
          <w:color w:val="000000"/>
          <w:sz w:val="24"/>
          <w:szCs w:val="24"/>
          <w:highlight w:val="white"/>
        </w:rPr>
        <w:t>Bigio</w:t>
      </w:r>
      <w:proofErr w:type="spellEnd"/>
      <w:r>
        <w:rPr>
          <w:rFonts w:ascii="Times New Roman" w:eastAsia="Times New Roman" w:hAnsi="Times New Roman" w:cs="Times New Roman"/>
          <w:color w:val="000000"/>
          <w:sz w:val="24"/>
          <w:szCs w:val="24"/>
          <w:highlight w:val="white"/>
        </w:rPr>
        <w:t xml:space="preserve">, J. and Vogelstein, R., 2020. Understanding Gender Equality in Foreign Policy. </w:t>
      </w:r>
      <w:r>
        <w:rPr>
          <w:rFonts w:ascii="Times New Roman" w:eastAsia="Times New Roman" w:hAnsi="Times New Roman" w:cs="Times New Roman"/>
          <w:i/>
          <w:color w:val="000000"/>
          <w:sz w:val="24"/>
          <w:szCs w:val="24"/>
          <w:highlight w:val="white"/>
        </w:rPr>
        <w:t xml:space="preserve">Council on Foreign Relations. Available online: https://cdn. </w:t>
      </w:r>
      <w:proofErr w:type="spellStart"/>
      <w:r>
        <w:rPr>
          <w:rFonts w:ascii="Times New Roman" w:eastAsia="Times New Roman" w:hAnsi="Times New Roman" w:cs="Times New Roman"/>
          <w:i/>
          <w:color w:val="000000"/>
          <w:sz w:val="24"/>
          <w:szCs w:val="24"/>
          <w:highlight w:val="white"/>
        </w:rPr>
        <w:t>cfr</w:t>
      </w:r>
      <w:proofErr w:type="spellEnd"/>
      <w:r>
        <w:rPr>
          <w:rFonts w:ascii="Times New Roman" w:eastAsia="Times New Roman" w:hAnsi="Times New Roman" w:cs="Times New Roman"/>
          <w:i/>
          <w:color w:val="000000"/>
          <w:sz w:val="24"/>
          <w:szCs w:val="24"/>
          <w:highlight w:val="white"/>
        </w:rPr>
        <w:t>. org/sites/default/files/report_pdf/discussion-paper_bigio-andvogelstein_gender-equality_or_0. Pdf</w:t>
      </w:r>
      <w:r>
        <w:rPr>
          <w:rFonts w:ascii="Times New Roman" w:eastAsia="Times New Roman" w:hAnsi="Times New Roman" w:cs="Times New Roman"/>
          <w:color w:val="000000"/>
          <w:sz w:val="24"/>
          <w:szCs w:val="24"/>
          <w:highlight w:val="white"/>
        </w:rPr>
        <w:t>.</w:t>
      </w:r>
    </w:p>
    <w:p w14:paraId="068E6E09"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4"/>
          <w:szCs w:val="24"/>
          <w:highlight w:val="white"/>
        </w:rPr>
        <w:t xml:space="preserve">Brush, L.D. and Miller, E., 2019. Trouble in </w:t>
      </w:r>
      <w:proofErr w:type="spellStart"/>
      <w:r>
        <w:rPr>
          <w:rFonts w:ascii="Times New Roman" w:eastAsia="Times New Roman" w:hAnsi="Times New Roman" w:cs="Times New Roman"/>
          <w:color w:val="222222"/>
          <w:sz w:val="24"/>
          <w:szCs w:val="24"/>
          <w:highlight w:val="white"/>
        </w:rPr>
        <w:t>paradigm:”Gender</w:t>
      </w:r>
      <w:proofErr w:type="spellEnd"/>
      <w:r>
        <w:rPr>
          <w:rFonts w:ascii="Times New Roman" w:eastAsia="Times New Roman" w:hAnsi="Times New Roman" w:cs="Times New Roman"/>
          <w:color w:val="222222"/>
          <w:sz w:val="24"/>
          <w:szCs w:val="24"/>
          <w:highlight w:val="white"/>
        </w:rPr>
        <w:t xml:space="preserve"> transformative” programming in violence prevention. </w:t>
      </w:r>
      <w:r>
        <w:rPr>
          <w:rFonts w:ascii="Times New Roman" w:eastAsia="Times New Roman" w:hAnsi="Times New Roman" w:cs="Times New Roman"/>
          <w:i/>
          <w:color w:val="222222"/>
          <w:sz w:val="24"/>
          <w:szCs w:val="24"/>
          <w:highlight w:val="white"/>
        </w:rPr>
        <w:t>Violence Against Women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25</w:t>
      </w:r>
      <w:r>
        <w:rPr>
          <w:rFonts w:ascii="Times New Roman" w:eastAsia="Times New Roman" w:hAnsi="Times New Roman" w:cs="Times New Roman"/>
          <w:color w:val="222222"/>
          <w:sz w:val="24"/>
          <w:szCs w:val="24"/>
          <w:highlight w:val="white"/>
        </w:rPr>
        <w:t>(14), pp.1635-1656.</w:t>
      </w:r>
    </w:p>
    <w:p w14:paraId="211FF2B6"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Fahs, B., 2024. The Urgent Need for Radical Feminism Today. </w:t>
      </w:r>
      <w:r>
        <w:rPr>
          <w:rFonts w:ascii="Times New Roman" w:eastAsia="Times New Roman" w:hAnsi="Times New Roman" w:cs="Times New Roman"/>
          <w:i/>
          <w:color w:val="000000"/>
          <w:sz w:val="24"/>
          <w:szCs w:val="24"/>
          <w:highlight w:val="white"/>
        </w:rPr>
        <w:t>Signs: Journal of Women in Culture and Society</w:t>
      </w:r>
      <w:r>
        <w:rPr>
          <w:rFonts w:ascii="Times New Roman" w:eastAsia="Times New Roman" w:hAnsi="Times New Roman" w:cs="Times New Roman"/>
          <w:color w:val="000000"/>
          <w:sz w:val="24"/>
          <w:szCs w:val="24"/>
          <w:highlight w:val="white"/>
        </w:rPr>
        <w:t xml:space="preserve">, </w:t>
      </w:r>
      <w:r>
        <w:rPr>
          <w:rFonts w:ascii="Times New Roman" w:eastAsia="Times New Roman" w:hAnsi="Times New Roman" w:cs="Times New Roman"/>
          <w:i/>
          <w:color w:val="000000"/>
          <w:sz w:val="24"/>
          <w:szCs w:val="24"/>
          <w:highlight w:val="white"/>
        </w:rPr>
        <w:t>49</w:t>
      </w:r>
      <w:r>
        <w:rPr>
          <w:rFonts w:ascii="Times New Roman" w:eastAsia="Times New Roman" w:hAnsi="Times New Roman" w:cs="Times New Roman"/>
          <w:color w:val="000000"/>
          <w:sz w:val="24"/>
          <w:szCs w:val="24"/>
          <w:highlight w:val="white"/>
        </w:rPr>
        <w:t>(2), pp.479-497.</w:t>
      </w:r>
    </w:p>
    <w:p w14:paraId="61AF06BC"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Kılıç</w:t>
      </w:r>
      <w:proofErr w:type="spellEnd"/>
      <w:r>
        <w:rPr>
          <w:rFonts w:ascii="Times New Roman" w:eastAsia="Times New Roman" w:hAnsi="Times New Roman" w:cs="Times New Roman"/>
          <w:color w:val="222222"/>
          <w:sz w:val="24"/>
          <w:szCs w:val="24"/>
          <w:highlight w:val="white"/>
        </w:rPr>
        <w:t xml:space="preserve">, E., 2023. Gender, Discrimination, and Spirituality in the Workplace. In </w:t>
      </w:r>
      <w:r>
        <w:rPr>
          <w:rFonts w:ascii="Times New Roman" w:eastAsia="Times New Roman" w:hAnsi="Times New Roman" w:cs="Times New Roman"/>
          <w:i/>
          <w:color w:val="222222"/>
          <w:sz w:val="24"/>
          <w:szCs w:val="24"/>
          <w:highlight w:val="white"/>
        </w:rPr>
        <w:t>Spirituality Management in the Workplace: New Strategies and Approaches</w:t>
      </w:r>
      <w:r>
        <w:rPr>
          <w:rFonts w:ascii="Times New Roman" w:eastAsia="Times New Roman" w:hAnsi="Times New Roman" w:cs="Times New Roman"/>
          <w:color w:val="222222"/>
          <w:sz w:val="24"/>
          <w:szCs w:val="24"/>
          <w:highlight w:val="white"/>
        </w:rPr>
        <w:t xml:space="preserve"> (pp. 77-102). Emerald Publishing Limited.</w:t>
      </w:r>
    </w:p>
    <w:p w14:paraId="12A2333D"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highlight w:val="white"/>
        </w:rPr>
      </w:pPr>
      <w:r>
        <w:rPr>
          <w:rFonts w:ascii="Times New Roman" w:eastAsia="Times New Roman" w:hAnsi="Times New Roman" w:cs="Times New Roman"/>
          <w:color w:val="000000"/>
          <w:sz w:val="24"/>
          <w:szCs w:val="24"/>
          <w:highlight w:val="white"/>
        </w:rPr>
        <w:t xml:space="preserve">King, M.P., 2020. </w:t>
      </w:r>
      <w:r>
        <w:rPr>
          <w:rFonts w:ascii="Times New Roman" w:eastAsia="Times New Roman" w:hAnsi="Times New Roman" w:cs="Times New Roman"/>
          <w:i/>
          <w:color w:val="000000"/>
          <w:sz w:val="24"/>
          <w:szCs w:val="24"/>
          <w:highlight w:val="white"/>
        </w:rPr>
        <w:t>The Fix: Overcome the Invisible Barriers that are Holding Women Back at Work</w:t>
      </w:r>
      <w:r>
        <w:rPr>
          <w:rFonts w:ascii="Times New Roman" w:eastAsia="Times New Roman" w:hAnsi="Times New Roman" w:cs="Times New Roman"/>
          <w:color w:val="000000"/>
          <w:sz w:val="24"/>
          <w:szCs w:val="24"/>
          <w:highlight w:val="white"/>
        </w:rPr>
        <w:t>. Atria Books.</w:t>
      </w:r>
    </w:p>
    <w:p w14:paraId="739475F0"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Luxton, M., 2022. Patriarchy of the Wage: Notes on Marx, Gender and Feminism by Silvia Federici. </w:t>
      </w:r>
      <w:r>
        <w:rPr>
          <w:rFonts w:ascii="Times New Roman" w:eastAsia="Times New Roman" w:hAnsi="Times New Roman" w:cs="Times New Roman"/>
          <w:i/>
          <w:color w:val="222222"/>
          <w:sz w:val="24"/>
          <w:szCs w:val="24"/>
          <w:highlight w:val="white"/>
        </w:rPr>
        <w:t>Labour/Le Travail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90</w:t>
      </w:r>
      <w:r>
        <w:rPr>
          <w:rFonts w:ascii="Times New Roman" w:eastAsia="Times New Roman" w:hAnsi="Times New Roman" w:cs="Times New Roman"/>
          <w:color w:val="222222"/>
          <w:sz w:val="24"/>
          <w:szCs w:val="24"/>
          <w:highlight w:val="white"/>
        </w:rPr>
        <w:t>(1), pp.310-312.</w:t>
      </w:r>
    </w:p>
    <w:p w14:paraId="217D5CAB"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4"/>
          <w:szCs w:val="24"/>
          <w:highlight w:val="white"/>
        </w:rPr>
        <w:t xml:space="preserve">Nussbaum, M., 2021. The feminist critique of liberalism. In </w:t>
      </w:r>
      <w:r>
        <w:rPr>
          <w:rFonts w:ascii="Times New Roman" w:eastAsia="Times New Roman" w:hAnsi="Times New Roman" w:cs="Times New Roman"/>
          <w:i/>
          <w:color w:val="000000"/>
          <w:sz w:val="24"/>
          <w:szCs w:val="24"/>
          <w:highlight w:val="white"/>
        </w:rPr>
        <w:t>Women’s Voices, Women’s Rights</w:t>
      </w:r>
      <w:r>
        <w:rPr>
          <w:rFonts w:ascii="Times New Roman" w:eastAsia="Times New Roman" w:hAnsi="Times New Roman" w:cs="Times New Roman"/>
          <w:color w:val="000000"/>
          <w:sz w:val="24"/>
          <w:szCs w:val="24"/>
          <w:highlight w:val="white"/>
        </w:rPr>
        <w:t xml:space="preserve"> (pp. 13-56). Routledge.</w:t>
      </w:r>
    </w:p>
    <w:p w14:paraId="6158D5EC"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Pandey, P. and Pandey, M.M., 2021. </w:t>
      </w:r>
      <w:r>
        <w:rPr>
          <w:rFonts w:ascii="Times New Roman" w:eastAsia="Times New Roman" w:hAnsi="Times New Roman" w:cs="Times New Roman"/>
          <w:i/>
          <w:color w:val="222222"/>
          <w:sz w:val="24"/>
          <w:szCs w:val="24"/>
          <w:highlight w:val="white"/>
        </w:rPr>
        <w:t>Research methodology tools and techniques</w:t>
      </w:r>
      <w:r>
        <w:rPr>
          <w:rFonts w:ascii="Times New Roman" w:eastAsia="Times New Roman" w:hAnsi="Times New Roman" w:cs="Times New Roman"/>
          <w:color w:val="222222"/>
          <w:sz w:val="24"/>
          <w:szCs w:val="24"/>
          <w:highlight w:val="white"/>
        </w:rPr>
        <w:t xml:space="preserve">. Bridge </w:t>
      </w:r>
      <w:proofErr w:type="spellStart"/>
      <w:r>
        <w:rPr>
          <w:rFonts w:ascii="Times New Roman" w:eastAsia="Times New Roman" w:hAnsi="Times New Roman" w:cs="Times New Roman"/>
          <w:color w:val="222222"/>
          <w:sz w:val="24"/>
          <w:szCs w:val="24"/>
          <w:highlight w:val="white"/>
        </w:rPr>
        <w:t>Center</w:t>
      </w:r>
      <w:proofErr w:type="spellEnd"/>
      <w:r>
        <w:rPr>
          <w:rFonts w:ascii="Times New Roman" w:eastAsia="Times New Roman" w:hAnsi="Times New Roman" w:cs="Times New Roman"/>
          <w:color w:val="222222"/>
          <w:sz w:val="24"/>
          <w:szCs w:val="24"/>
          <w:highlight w:val="white"/>
        </w:rPr>
        <w:t>.</w:t>
      </w:r>
    </w:p>
    <w:p w14:paraId="2813BBB7"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Pimkina</w:t>
      </w:r>
      <w:proofErr w:type="spellEnd"/>
      <w:r>
        <w:rPr>
          <w:rFonts w:ascii="Times New Roman" w:eastAsia="Times New Roman" w:hAnsi="Times New Roman" w:cs="Times New Roman"/>
          <w:color w:val="222222"/>
          <w:sz w:val="24"/>
          <w:szCs w:val="24"/>
          <w:highlight w:val="white"/>
        </w:rPr>
        <w:t xml:space="preserve">, S. and de La </w:t>
      </w:r>
      <w:proofErr w:type="spellStart"/>
      <w:r>
        <w:rPr>
          <w:rFonts w:ascii="Times New Roman" w:eastAsia="Times New Roman" w:hAnsi="Times New Roman" w:cs="Times New Roman"/>
          <w:color w:val="222222"/>
          <w:sz w:val="24"/>
          <w:szCs w:val="24"/>
          <w:highlight w:val="white"/>
        </w:rPr>
        <w:t>Flor</w:t>
      </w:r>
      <w:proofErr w:type="spellEnd"/>
      <w:r>
        <w:rPr>
          <w:rFonts w:ascii="Times New Roman" w:eastAsia="Times New Roman" w:hAnsi="Times New Roman" w:cs="Times New Roman"/>
          <w:color w:val="222222"/>
          <w:sz w:val="24"/>
          <w:szCs w:val="24"/>
          <w:highlight w:val="white"/>
        </w:rPr>
        <w:t xml:space="preserve">, L., 2020. Promoting female </w:t>
      </w:r>
      <w:proofErr w:type="spellStart"/>
      <w:r>
        <w:rPr>
          <w:rFonts w:ascii="Times New Roman" w:eastAsia="Times New Roman" w:hAnsi="Times New Roman" w:cs="Times New Roman"/>
          <w:color w:val="222222"/>
          <w:sz w:val="24"/>
          <w:szCs w:val="24"/>
          <w:highlight w:val="white"/>
        </w:rPr>
        <w:t>labor</w:t>
      </w:r>
      <w:proofErr w:type="spellEnd"/>
      <w:r>
        <w:rPr>
          <w:rFonts w:ascii="Times New Roman" w:eastAsia="Times New Roman" w:hAnsi="Times New Roman" w:cs="Times New Roman"/>
          <w:color w:val="222222"/>
          <w:sz w:val="24"/>
          <w:szCs w:val="24"/>
          <w:highlight w:val="white"/>
        </w:rPr>
        <w:t xml:space="preserve"> force participation.</w:t>
      </w:r>
    </w:p>
    <w:p w14:paraId="1815346C"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Timans</w:t>
      </w:r>
      <w:proofErr w:type="spellEnd"/>
      <w:r>
        <w:rPr>
          <w:rFonts w:ascii="Times New Roman" w:eastAsia="Times New Roman" w:hAnsi="Times New Roman" w:cs="Times New Roman"/>
          <w:color w:val="222222"/>
          <w:sz w:val="24"/>
          <w:szCs w:val="24"/>
          <w:highlight w:val="white"/>
        </w:rPr>
        <w:t xml:space="preserve">, R., </w:t>
      </w:r>
      <w:proofErr w:type="spellStart"/>
      <w:r>
        <w:rPr>
          <w:rFonts w:ascii="Times New Roman" w:eastAsia="Times New Roman" w:hAnsi="Times New Roman" w:cs="Times New Roman"/>
          <w:color w:val="222222"/>
          <w:sz w:val="24"/>
          <w:szCs w:val="24"/>
          <w:highlight w:val="white"/>
        </w:rPr>
        <w:t>Wouters</w:t>
      </w:r>
      <w:proofErr w:type="spellEnd"/>
      <w:r>
        <w:rPr>
          <w:rFonts w:ascii="Times New Roman" w:eastAsia="Times New Roman" w:hAnsi="Times New Roman" w:cs="Times New Roman"/>
          <w:color w:val="222222"/>
          <w:sz w:val="24"/>
          <w:szCs w:val="24"/>
          <w:highlight w:val="white"/>
        </w:rPr>
        <w:t xml:space="preserve">, P. and </w:t>
      </w:r>
      <w:proofErr w:type="spellStart"/>
      <w:r>
        <w:rPr>
          <w:rFonts w:ascii="Times New Roman" w:eastAsia="Times New Roman" w:hAnsi="Times New Roman" w:cs="Times New Roman"/>
          <w:color w:val="222222"/>
          <w:sz w:val="24"/>
          <w:szCs w:val="24"/>
          <w:highlight w:val="white"/>
        </w:rPr>
        <w:t>Heilbron</w:t>
      </w:r>
      <w:proofErr w:type="spellEnd"/>
      <w:r>
        <w:rPr>
          <w:rFonts w:ascii="Times New Roman" w:eastAsia="Times New Roman" w:hAnsi="Times New Roman" w:cs="Times New Roman"/>
          <w:color w:val="222222"/>
          <w:sz w:val="24"/>
          <w:szCs w:val="24"/>
          <w:highlight w:val="white"/>
        </w:rPr>
        <w:t xml:space="preserve">, J., 2019. Mixed methods research: what it is and what it could be. </w:t>
      </w:r>
      <w:r>
        <w:rPr>
          <w:rFonts w:ascii="Times New Roman" w:eastAsia="Times New Roman" w:hAnsi="Times New Roman" w:cs="Times New Roman"/>
          <w:i/>
          <w:color w:val="222222"/>
          <w:sz w:val="24"/>
          <w:szCs w:val="24"/>
          <w:highlight w:val="white"/>
        </w:rPr>
        <w:t>Theory and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48</w:t>
      </w:r>
      <w:r>
        <w:rPr>
          <w:rFonts w:ascii="Times New Roman" w:eastAsia="Times New Roman" w:hAnsi="Times New Roman" w:cs="Times New Roman"/>
          <w:color w:val="222222"/>
          <w:sz w:val="24"/>
          <w:szCs w:val="24"/>
          <w:highlight w:val="white"/>
        </w:rPr>
        <w:t>, pp.193-216.</w:t>
      </w:r>
    </w:p>
    <w:p w14:paraId="0088DE04" w14:textId="77777777" w:rsidR="0098105B" w:rsidRDefault="00000000">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Wilchins</w:t>
      </w:r>
      <w:proofErr w:type="spellEnd"/>
      <w:r>
        <w:rPr>
          <w:rFonts w:ascii="Times New Roman" w:eastAsia="Times New Roman" w:hAnsi="Times New Roman" w:cs="Times New Roman"/>
          <w:color w:val="222222"/>
          <w:sz w:val="24"/>
          <w:szCs w:val="24"/>
          <w:highlight w:val="white"/>
        </w:rPr>
        <w:t xml:space="preserve">, R., 2019. </w:t>
      </w:r>
      <w:r>
        <w:rPr>
          <w:rFonts w:ascii="Times New Roman" w:eastAsia="Times New Roman" w:hAnsi="Times New Roman" w:cs="Times New Roman"/>
          <w:i/>
          <w:color w:val="222222"/>
          <w:sz w:val="24"/>
          <w:szCs w:val="24"/>
          <w:highlight w:val="white"/>
        </w:rPr>
        <w:t>Gender norms and intersectionality: connecting race, class and gender</w:t>
      </w:r>
      <w:r>
        <w:rPr>
          <w:rFonts w:ascii="Times New Roman" w:eastAsia="Times New Roman" w:hAnsi="Times New Roman" w:cs="Times New Roman"/>
          <w:color w:val="222222"/>
          <w:sz w:val="24"/>
          <w:szCs w:val="24"/>
          <w:highlight w:val="white"/>
        </w:rPr>
        <w:t>. Rowman &amp; Littlefield.</w:t>
      </w:r>
    </w:p>
    <w:sectPr w:rsidR="0098105B">
      <w:footerReference w:type="default" r:id="rId9"/>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03938" w14:textId="77777777" w:rsidR="00020016" w:rsidRDefault="00020016">
      <w:pPr>
        <w:spacing w:line="240" w:lineRule="auto"/>
      </w:pPr>
      <w:r>
        <w:separator/>
      </w:r>
    </w:p>
  </w:endnote>
  <w:endnote w:type="continuationSeparator" w:id="0">
    <w:p w14:paraId="4197345B" w14:textId="77777777" w:rsidR="00020016" w:rsidRDefault="000200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C1D10" w14:textId="77777777" w:rsidR="0098105B" w:rsidRDefault="00000000">
    <w:pPr>
      <w:pBdr>
        <w:top w:val="nil"/>
        <w:left w:val="nil"/>
        <w:bottom w:val="nil"/>
        <w:right w:val="nil"/>
        <w:between w:val="nil"/>
      </w:pBdr>
      <w:tabs>
        <w:tab w:val="center" w:pos="4513"/>
        <w:tab w:val="right" w:pos="9026"/>
      </w:tabs>
      <w:spacing w:line="240" w:lineRule="auto"/>
      <w:jc w:val="right"/>
      <w:rPr>
        <w:color w:val="000000"/>
      </w:rPr>
    </w:pPr>
    <w:r>
      <w:rPr>
        <w:rFonts w:ascii="Times New Roman" w:eastAsia="Times New Roman" w:hAnsi="Times New Roman" w:cs="Times New Roman"/>
        <w:color w:val="000000"/>
        <w:sz w:val="24"/>
        <w:szCs w:val="24"/>
      </w:rPr>
      <w:t xml:space="preserve">Page |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80188A">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r>
      <w:rPr>
        <w:color w:val="000000"/>
      </w:rPr>
      <w:t xml:space="preserve"> </w:t>
    </w:r>
  </w:p>
  <w:p w14:paraId="50E3D96F" w14:textId="77777777" w:rsidR="0098105B" w:rsidRDefault="0098105B">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936BA" w14:textId="77777777" w:rsidR="00020016" w:rsidRDefault="00020016">
      <w:pPr>
        <w:spacing w:line="240" w:lineRule="auto"/>
      </w:pPr>
      <w:r>
        <w:separator/>
      </w:r>
    </w:p>
  </w:footnote>
  <w:footnote w:type="continuationSeparator" w:id="0">
    <w:p w14:paraId="396E05AD" w14:textId="77777777" w:rsidR="00020016" w:rsidRDefault="000200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157C4"/>
    <w:multiLevelType w:val="multilevel"/>
    <w:tmpl w:val="9948F5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56256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05B"/>
    <w:rsid w:val="00020016"/>
    <w:rsid w:val="0080188A"/>
    <w:rsid w:val="00981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22C2B2"/>
  <w15:docId w15:val="{3CD42F89-2671-564B-B8CC-BB1E32C3F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line="360" w:lineRule="auto"/>
      <w:outlineLvl w:val="0"/>
    </w:pPr>
    <w:rPr>
      <w:rFonts w:ascii="Times New Roman" w:eastAsia="Times New Roman" w:hAnsi="Times New Roman" w:cs="Times New Roman"/>
      <w:b/>
      <w:color w:val="000000"/>
      <w:sz w:val="24"/>
      <w:szCs w:val="24"/>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line="360" w:lineRule="auto"/>
      <w:jc w:val="both"/>
      <w:outlineLvl w:val="1"/>
    </w:pPr>
    <w:rPr>
      <w:rFonts w:ascii="Times New Roman" w:eastAsia="Times New Roman" w:hAnsi="Times New Roman" w:cs="Times New Roman"/>
      <w:b/>
      <w:color w:val="000000"/>
      <w:sz w:val="24"/>
      <w:szCs w:val="24"/>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pNH/9bgb0419Hp6df2W/AYRhCA==">CgMxLjAyCGguZ2pkZ3hzMgloLjMwajB6bGwyCWguMWZvYjl0ZTIJaC4zem55c2g3MgloLjJldDkycDAyCGgudHlqY3d0MgloLjNkeTZ2a204AHIhMU1ReDZYRU1UR09TRFFqWFBCaXZ5dXF3ekg1NnRPMVVI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2682</Words>
  <Characters>15288</Characters>
  <Application>Microsoft Office Word</Application>
  <DocSecurity>0</DocSecurity>
  <Lines>127</Lines>
  <Paragraphs>35</Paragraphs>
  <ScaleCrop>false</ScaleCrop>
  <Company/>
  <LinksUpToDate>false</LinksUpToDate>
  <CharactersWithSpaces>17935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alina tinca</cp:lastModifiedBy>
  <cp:revision>2</cp:revision>
  <dcterms:created xsi:type="dcterms:W3CDTF">2023-12-18T03:01:00Z</dcterms:created>
  <dcterms:modified xsi:type="dcterms:W3CDTF">2023-12-18T03:01:00Z</dcterms:modified>
</cp:coreProperties>
</file>