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5"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5E34BBD" w14:textId="77777777" w:rsidR="002229F0" w:rsidRDefault="002229F0" w:rsidP="00E611D9">
      <w:pPr>
        <w:pStyle w:val="AssignBody"/>
      </w:pPr>
    </w:p>
    <w:p w14:paraId="6845AF79" w14:textId="768301D1" w:rsidR="00D83A40" w:rsidRDefault="00D83A40" w:rsidP="00C658D2">
      <w:pPr>
        <w:pStyle w:val="AssignHeader"/>
      </w:pPr>
      <w:r>
        <w:t>A critical evaluation and the identification of next teaching and learning steps focusing</w:t>
      </w:r>
    </w:p>
    <w:p w14:paraId="75A85F74" w14:textId="65B78EFC" w:rsidR="00D83A40" w:rsidRDefault="00D83A40" w:rsidP="00C658D2">
      <w:pPr>
        <w:pStyle w:val="AssignHeader"/>
      </w:pPr>
      <w:r>
        <w:t>on a case study of an individual learner or a group</w:t>
      </w:r>
    </w:p>
    <w:p w14:paraId="118CB437" w14:textId="5F010897" w:rsidR="006419C3" w:rsidRDefault="00D83A40" w:rsidP="00C658D2">
      <w:pPr>
        <w:pStyle w:val="AssignHeader"/>
      </w:pPr>
      <w:r>
        <w:t>of learners, based on an observed critical incident.</w:t>
      </w:r>
    </w:p>
    <w:p w14:paraId="11419B84" w14:textId="77777777" w:rsidR="00D83A40" w:rsidRDefault="00D83A40" w:rsidP="00C658D2">
      <w:pPr>
        <w:pStyle w:val="AssignSubHeader"/>
      </w:pPr>
    </w:p>
    <w:p w14:paraId="7B33DDCD" w14:textId="3856C060" w:rsidR="00171386" w:rsidRDefault="00171386" w:rsidP="00171386">
      <w:pPr>
        <w:pStyle w:val="AssignBody"/>
        <w:rPr>
          <w:rFonts w:cs="Arial"/>
          <w:color w:val="000000"/>
        </w:rPr>
      </w:pPr>
      <w:r>
        <w:rPr>
          <w:rFonts w:cs="Arial"/>
          <w:color w:val="000000"/>
        </w:rPr>
        <w:t>In this assignment, a case study of a critical incident that occurred in a</w:t>
      </w:r>
      <w:r w:rsidR="00D4762D">
        <w:rPr>
          <w:rFonts w:cs="Arial"/>
          <w:color w:val="000000"/>
        </w:rPr>
        <w:t xml:space="preserve"> Year 8 </w:t>
      </w:r>
      <w:r>
        <w:rPr>
          <w:rFonts w:cs="Arial"/>
          <w:color w:val="000000"/>
        </w:rPr>
        <w:t xml:space="preserve">English class will be discussed and analysed. When discussing a critical incident the mind often goes to emergency situations, However, Tripp (2012) describes critical incidents as not always dramatic or obvious, but really can be normal events that are critical due to identifying trends and motives. These events are often found to be critical through analysis. In other words, a critical incident is an everyday event that can affect a child’s ability to learn and what causes these events to be critical is the </w:t>
      </w:r>
      <w:r w:rsidR="0043654C">
        <w:rPr>
          <w:rFonts w:cs="Arial"/>
          <w:color w:val="000000"/>
        </w:rPr>
        <w:t>interpretation of the incident.</w:t>
      </w:r>
    </w:p>
    <w:p w14:paraId="5F8DA35A" w14:textId="4F8A0C75" w:rsidR="00171386" w:rsidRDefault="00171386" w:rsidP="00171386">
      <w:pPr>
        <w:pStyle w:val="AssignBody"/>
        <w:rPr>
          <w:rFonts w:cs="Arial"/>
          <w:color w:val="000000"/>
        </w:rPr>
      </w:pPr>
      <w:r>
        <w:rPr>
          <w:rFonts w:cs="Arial"/>
          <w:color w:val="000000"/>
        </w:rPr>
        <w:t xml:space="preserve">To understand the critical incident, it needs to be understood the way children learn, such as constructivism, and also the way children assess their own ability and their mindset. </w:t>
      </w:r>
      <w:r w:rsidR="00D4762D">
        <w:rPr>
          <w:rFonts w:cs="Arial"/>
          <w:color w:val="000000"/>
        </w:rPr>
        <w:t xml:space="preserve">It is also crucial to understand the process of reflective practice and how this impacts teaching. The process will allow for practitioners to question their methods and to greater understand the learner. This is also vital as every class a teacher encounters will be unique and produce different challenges for said teacher that they may not have faced before. </w:t>
      </w:r>
    </w:p>
    <w:p w14:paraId="1E54B726" w14:textId="23414015" w:rsidR="00171386" w:rsidRPr="00D4762D" w:rsidRDefault="00D4762D" w:rsidP="00171386">
      <w:pPr>
        <w:pStyle w:val="AssignBody"/>
        <w:rPr>
          <w:rFonts w:cs="Arial"/>
          <w:color w:val="000000"/>
        </w:rPr>
      </w:pPr>
      <w:r>
        <w:rPr>
          <w:rFonts w:cs="Arial"/>
          <w:color w:val="000000"/>
        </w:rPr>
        <w:t>The researcher will discuss the different aspects of the critical incident, link the critical incident to Donaldson’s four purposes (Donaldson, 2015) and will draw conclusions based on the experience.</w:t>
      </w:r>
    </w:p>
    <w:p w14:paraId="44D2415D" w14:textId="09188E34" w:rsidR="00C658D2" w:rsidRDefault="00C658D2" w:rsidP="00C658D2">
      <w:pPr>
        <w:pStyle w:val="assignbody00"/>
        <w:spacing w:before="0" w:beforeAutospacing="0" w:after="0" w:afterAutospacing="0" w:line="360" w:lineRule="auto"/>
        <w:rPr>
          <w:color w:val="000000"/>
        </w:rPr>
      </w:pPr>
      <w:r>
        <w:rPr>
          <w:rFonts w:ascii="Arial" w:hAnsi="Arial" w:cs="Arial"/>
          <w:color w:val="000000"/>
          <w:sz w:val="22"/>
          <w:szCs w:val="22"/>
        </w:rPr>
        <w:t xml:space="preserve">Regarding BERA guidelines (2018), the observed school is referred to as School X to maintain anonymity. School X is a Co-educational English-medium school of 880 students, in South Wales. 15.9% of pupils receive free school meals, which is below the national </w:t>
      </w:r>
      <w:r w:rsidR="00152441">
        <w:rPr>
          <w:rFonts w:ascii="Arial" w:hAnsi="Arial" w:cs="Arial"/>
          <w:color w:val="000000"/>
          <w:sz w:val="22"/>
          <w:szCs w:val="22"/>
        </w:rPr>
        <w:t>average of 16.6% (Welsh</w:t>
      </w:r>
      <w:r>
        <w:rPr>
          <w:rFonts w:ascii="Arial" w:hAnsi="Arial" w:cs="Arial"/>
          <w:color w:val="000000"/>
          <w:sz w:val="22"/>
          <w:szCs w:val="22"/>
        </w:rPr>
        <w:t xml:space="preserve"> Government, 2018). According to Estyn (2018), 25.9% of students have additional learning needs, which is higher than the national average of 22.9%. Also, 2.5% of students have English as an additional language and very few students are fluent in Welsh or speak Welsh at home. The school also has a specialist facility for students with moderate to severe learning difficulties, which provides for up to 10 students.</w:t>
      </w:r>
    </w:p>
    <w:p w14:paraId="2E214CCF" w14:textId="43EB99F3" w:rsidR="00C658D2" w:rsidRPr="0043654C" w:rsidRDefault="00C658D2" w:rsidP="0043654C">
      <w:pPr>
        <w:pStyle w:val="assignbody00"/>
        <w:spacing w:before="0" w:beforeAutospacing="0" w:after="0" w:afterAutospacing="0" w:line="360" w:lineRule="auto"/>
        <w:rPr>
          <w:color w:val="000000"/>
        </w:rPr>
      </w:pPr>
      <w:r>
        <w:rPr>
          <w:rFonts w:ascii="Arial" w:hAnsi="Arial" w:cs="Arial"/>
          <w:color w:val="000000"/>
          <w:sz w:val="22"/>
          <w:szCs w:val="22"/>
        </w:rPr>
        <w:t>The class observed was a mixed-gender, Year 8 class of 29 pupils. For most classes, the pupils are mixed ability except for science, mathematics and P.E. The class had a seating plan for children to sit boy girl, which is the policy across the entire school.</w:t>
      </w:r>
      <w:r w:rsidR="00093EC2">
        <w:rPr>
          <w:rFonts w:ascii="Arial" w:hAnsi="Arial" w:cs="Arial"/>
          <w:color w:val="000000"/>
          <w:sz w:val="22"/>
          <w:szCs w:val="22"/>
        </w:rPr>
        <w:t xml:space="preserve"> </w:t>
      </w:r>
    </w:p>
    <w:p w14:paraId="7D142EEA" w14:textId="77777777" w:rsidR="00C658D2" w:rsidRDefault="00C658D2" w:rsidP="00C658D2">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lastRenderedPageBreak/>
        <w:t>The methodology used is a case study of a critical incident. In choosing a methodology it is important to consider options, one being action research. Action research brings together action and reflection to find solutions to a particular issue (Brydon-Miller, 2003, p.10).  It is defined by Mertler (2014) as a systematic inquiry into teachers’ practice. The key benefit of this for many action researchers is that it recognizes the researcher’s knowledge to address issues confronting their classrooms and communities. On the other hand, action research is a lengthy process, inevitable to bias and cannot be generalised.</w:t>
      </w:r>
    </w:p>
    <w:p w14:paraId="247325C8" w14:textId="07DE4CB6" w:rsidR="00C6756C" w:rsidRDefault="00093EC2"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In contrast, a</w:t>
      </w:r>
      <w:r w:rsidR="0043654C">
        <w:rPr>
          <w:rFonts w:ascii="Arial" w:hAnsi="Arial" w:cs="Arial"/>
          <w:color w:val="000000"/>
          <w:sz w:val="22"/>
          <w:szCs w:val="22"/>
        </w:rPr>
        <w:t xml:space="preserve"> case study could be anything; such as an individual or group as along as it is one bounded entity. A case study</w:t>
      </w:r>
      <w:r w:rsidR="00C658D2">
        <w:rPr>
          <w:rFonts w:ascii="Arial" w:hAnsi="Arial" w:cs="Arial"/>
          <w:color w:val="000000"/>
          <w:sz w:val="22"/>
          <w:szCs w:val="22"/>
        </w:rPr>
        <w:t xml:space="preserve"> provides actual examples of real people and allows a further understanding of ideas, but unlike action research, results can be generalised (Cohen, Manion and Morriso</w:t>
      </w:r>
      <w:r w:rsidR="0043654C">
        <w:rPr>
          <w:rFonts w:ascii="Arial" w:hAnsi="Arial" w:cs="Arial"/>
          <w:color w:val="000000"/>
          <w:sz w:val="22"/>
          <w:szCs w:val="22"/>
        </w:rPr>
        <w:t xml:space="preserve">n, 2007). A case study was chosen </w:t>
      </w:r>
      <w:r w:rsidR="00C658D2">
        <w:rPr>
          <w:rFonts w:ascii="Arial" w:hAnsi="Arial" w:cs="Arial"/>
          <w:color w:val="000000"/>
          <w:sz w:val="22"/>
          <w:szCs w:val="22"/>
        </w:rPr>
        <w:t>as it takes into account the broad context of the critical incident and allows for in-depth investigation and analysis. Like all methodologies, case studies have their dangers, which include becoming selective or anecdotal and prone to observer bias. For the analysis of a critical incident and despite its drawbacks, a case study is the more suitable of the two methodologies discussed</w:t>
      </w:r>
      <w:r w:rsidR="0043654C">
        <w:rPr>
          <w:rFonts w:ascii="Arial" w:hAnsi="Arial" w:cs="Arial"/>
          <w:color w:val="000000"/>
          <w:sz w:val="22"/>
          <w:szCs w:val="22"/>
        </w:rPr>
        <w:t>, due to the greater amount of detail and how they are easy to understand</w:t>
      </w:r>
      <w:r w:rsidR="00C658D2">
        <w:rPr>
          <w:rFonts w:ascii="Arial" w:hAnsi="Arial" w:cs="Arial"/>
          <w:color w:val="000000"/>
          <w:sz w:val="22"/>
          <w:szCs w:val="22"/>
        </w:rPr>
        <w:t>.</w:t>
      </w:r>
      <w:r w:rsidR="00C6756C">
        <w:rPr>
          <w:rFonts w:ascii="Arial" w:hAnsi="Arial" w:cs="Arial"/>
          <w:color w:val="000000"/>
          <w:sz w:val="22"/>
          <w:szCs w:val="22"/>
        </w:rPr>
        <w:br/>
        <w:t>During observation for critical incidents, the researcher was a non-participant observer. Kumar (2014) defines a non-participant observer as passive, watching without being involved, but drawing conclusions. As an observer, the Hawthorne effect is something that must be taken into account. The Hawthorne effect refers to people tending to act differently or modifying their behaviour when they are conscious they are being studied (Payne and Payne, 2004). This means that the behaviour witnessed may not be true to a child’s usual self</w:t>
      </w:r>
      <w:r>
        <w:rPr>
          <w:rFonts w:ascii="Arial" w:hAnsi="Arial" w:cs="Arial"/>
          <w:color w:val="000000"/>
          <w:sz w:val="22"/>
          <w:szCs w:val="22"/>
        </w:rPr>
        <w:t>, due to the observer’s presence</w:t>
      </w:r>
      <w:r w:rsidR="00C6756C">
        <w:rPr>
          <w:rFonts w:ascii="Arial" w:hAnsi="Arial" w:cs="Arial"/>
          <w:color w:val="000000"/>
          <w:sz w:val="22"/>
          <w:szCs w:val="22"/>
        </w:rPr>
        <w:t>. </w:t>
      </w:r>
    </w:p>
    <w:p w14:paraId="707D21B3" w14:textId="77777777" w:rsidR="00C6756C" w:rsidRDefault="00C6756C"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Despite the Hawthorne effect, observation is a vital aspect in personal improvement as a teacher and also in research to assess a child’s progress. (Harding and Meldon-Smith, 2000). Another factor that must be considered during observation is that judgements should not be made on children based on a single observation as although the researcher may be alerted to a problem, it is not sufficient to arrive at an accurate conclusion (Sharman, Cross and Vennis, 2007).</w:t>
      </w:r>
    </w:p>
    <w:p w14:paraId="6A395625" w14:textId="731EF0F3" w:rsidR="004B2BC9" w:rsidRPr="0043654C" w:rsidRDefault="00C6756C" w:rsidP="0043654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When observing children, there is an argument in which the observer should become a participant in the activity. Suitable situations include, but are not limited to, when a child is struggling with a task, are in disagreement and cannot reach a positive solution, or when they want to include you (Department for Children, Education, Lifelong Learning and Skills, 2008). </w:t>
      </w:r>
    </w:p>
    <w:p w14:paraId="79325C4F" w14:textId="0B96C3C0" w:rsidR="00C6756C" w:rsidRDefault="00C6756C"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critical incident occurred within an English lesson. The task was for the children to write the basic plot of a fairy tale in preparation to create their own twisted fairy tale. The child being observed struggled with this task and remained quiet whilst other students were loudly discussing the work. </w:t>
      </w:r>
      <w:r w:rsidR="00093EC2">
        <w:rPr>
          <w:rFonts w:ascii="Arial" w:hAnsi="Arial" w:cs="Arial"/>
          <w:color w:val="000000"/>
          <w:sz w:val="22"/>
          <w:szCs w:val="22"/>
        </w:rPr>
        <w:t xml:space="preserve">The child continually looked around, but did not make eye-contact with other students or join in the discussion. </w:t>
      </w:r>
      <w:r>
        <w:rPr>
          <w:rFonts w:ascii="Arial" w:hAnsi="Arial" w:cs="Arial"/>
          <w:color w:val="000000"/>
          <w:sz w:val="22"/>
          <w:szCs w:val="22"/>
        </w:rPr>
        <w:t xml:space="preserve">After ten minutes, the observed child told the teacher that he </w:t>
      </w:r>
      <w:r w:rsidR="007844B8">
        <w:rPr>
          <w:rFonts w:ascii="Arial" w:hAnsi="Arial" w:cs="Arial"/>
          <w:color w:val="000000"/>
          <w:sz w:val="22"/>
          <w:szCs w:val="22"/>
        </w:rPr>
        <w:t xml:space="preserve">did not know any plots to fairy </w:t>
      </w:r>
      <w:r>
        <w:rPr>
          <w:rFonts w:ascii="Arial" w:hAnsi="Arial" w:cs="Arial"/>
          <w:color w:val="000000"/>
          <w:sz w:val="22"/>
          <w:szCs w:val="22"/>
        </w:rPr>
        <w:t xml:space="preserve">tales. The teacher attempted to prompt the observed child further by questioning, but the child did not have or was not willing to share prior knowledge. The solution of this was the teacher describing a plot of </w:t>
      </w:r>
      <w:r w:rsidRPr="007844B8">
        <w:rPr>
          <w:rFonts w:ascii="Arial" w:hAnsi="Arial" w:cs="Arial"/>
          <w:i/>
          <w:color w:val="000000"/>
          <w:sz w:val="22"/>
          <w:szCs w:val="22"/>
        </w:rPr>
        <w:t>Jack and the Beanstalk</w:t>
      </w:r>
      <w:r w:rsidR="00093EC2">
        <w:rPr>
          <w:rFonts w:ascii="Arial" w:hAnsi="Arial" w:cs="Arial"/>
          <w:color w:val="000000"/>
          <w:sz w:val="22"/>
          <w:szCs w:val="22"/>
        </w:rPr>
        <w:t xml:space="preserve"> to the child, which allowed for the child to complete the rest of the task. </w:t>
      </w:r>
    </w:p>
    <w:p w14:paraId="1C0C2981" w14:textId="77777777" w:rsidR="00C6756C" w:rsidRDefault="00C6756C"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Donaldson (2015) introduced the Four Purposes as ambitious and capable learners, enterprising and creative contributors, ethical and informed citizens, and healthy and confident individuals. The critical incident described links strongly to two of these purposes.</w:t>
      </w:r>
    </w:p>
    <w:p w14:paraId="19A0F56F" w14:textId="3042D384" w:rsidR="00C6756C" w:rsidRDefault="00C6756C"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first purpose is related to is ambitious, capable learners, ready to learn throughout their lives. This purpose links to learners being open to challenge and being able to build up and implement knowledge in various situations. </w:t>
      </w:r>
      <w:r w:rsidR="00093EC2">
        <w:rPr>
          <w:rFonts w:ascii="Arial" w:hAnsi="Arial" w:cs="Arial"/>
          <w:color w:val="000000"/>
          <w:sz w:val="22"/>
          <w:szCs w:val="22"/>
        </w:rPr>
        <w:t xml:space="preserve">The child, although not engaged in discussion with their classmates, could be challenging themselves to complete the task on their own. By asking the teacher the child is not just struggling on their own but identifying that they need the help and support after they have thought about the task. </w:t>
      </w:r>
      <w:r w:rsidR="006600CB">
        <w:rPr>
          <w:rFonts w:ascii="Arial" w:hAnsi="Arial" w:cs="Arial"/>
          <w:color w:val="000000"/>
          <w:sz w:val="22"/>
          <w:szCs w:val="22"/>
        </w:rPr>
        <w:t>This suggests although the child may not be able to apply their knowledge, they are more open to admit when they may need help.</w:t>
      </w:r>
    </w:p>
    <w:p w14:paraId="4EF4664F" w14:textId="204CD93E" w:rsidR="00C6756C" w:rsidRDefault="00C6756C"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second purpose the critical incident links to is enterprising, creative contributors, ready to play a full part in life and work. This purpose describes a child’s ability to apply their knowledge to construct ideas and reframe and solve problems. </w:t>
      </w:r>
      <w:r w:rsidR="006600CB">
        <w:rPr>
          <w:rFonts w:ascii="Arial" w:hAnsi="Arial" w:cs="Arial"/>
          <w:color w:val="000000"/>
          <w:sz w:val="22"/>
          <w:szCs w:val="22"/>
        </w:rPr>
        <w:t>It can be argued that the child solved the problem by asking the teacher for help. Although some may argue that this shows an over-dependence on the teacher, the child’s only other option would have been to ask their peers. It would be interesting to see how the child might behave if they had access to boos or to internet as this would help further identify what the child was struggling with.</w:t>
      </w:r>
    </w:p>
    <w:p w14:paraId="1105CD61" w14:textId="6F7BE549" w:rsidR="00C6756C" w:rsidRDefault="006600CB" w:rsidP="00C6756C">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The important aspect of this critical incident is that the child did not have the prior knowledge to complete the task. Both of the purposes that this incident has been linked to mention the use of the child’s own knowledge. As the child did not have the knowledge, the task was not suitable in developing these skills for that child. </w:t>
      </w:r>
    </w:p>
    <w:p w14:paraId="65852686" w14:textId="77777777" w:rsidR="00A4166E" w:rsidRDefault="00A4166E" w:rsidP="00CE716E">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To understand the critical incident in question, it is necessary to understand how children learn. The most applicable to this situation would be constructivism. The basic principle of constructivism is that knowledge needs to be slowly built and supported by an individual’s prior knowledge and experience (Pritchard and Woollard, 2010). Jordan, Carlile and Stack (2009) state that constructivism is beyond one unified theory, but is a vast group of theories including trivial, social constructivism. Trivial constructivism theorises that personal understandings are built upon how things are and new knowledge is altered to the learner’s personal experience. The emphasis of trivial constructivism is that it is an individual process. Although two learners may have the same learning experience, they will each make different conclusions based on their own intellectual processes. One name that is frequently associated with trivial constructivism is Jean Piaget.  </w:t>
      </w:r>
    </w:p>
    <w:p w14:paraId="4023CA02" w14:textId="77777777" w:rsidR="00A4166E" w:rsidRDefault="00A4166E" w:rsidP="00CE716E">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Piaget (1972, quoted in Jordan, Carlile and Stack, 2009, p. 57) claims that when children encounter new knowledge conflicting with their original knowledge, they must reconfigure their own ideas without interference. This allows for children to problem-solve and explore for a greater understanding. Piaget’s developmental stage theory suggests that children go through stages in which certain features of intellectual growth. For example, the pre-operational stage (2-7 years) describes children as egocentric, and in this stage the imagination develops. At 11+, formal operations, the child should be able to think abstractly, but this is hindered by lack of prior knowledge (Pritchard, 2005). </w:t>
      </w:r>
    </w:p>
    <w:p w14:paraId="380974B6" w14:textId="3B0E09B9" w:rsidR="00A4166E" w:rsidRPr="00CE716E" w:rsidRDefault="00A4166E" w:rsidP="00CE716E">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Although Piaget is very respected in his field, his practice has been criticised. Donaldson (1987) is one of those who have criticised Piaget’s work. One of Donaldson’s criticisms is based on the pre-operational stage of the child being individualistic. The experiment that Piaget based this view on was where a child was shown a three-dimensional object and a doll was placed at a different angle to the child. The child was asked what the object would see and</w:t>
      </w:r>
      <w:r w:rsidR="006600CB">
        <w:rPr>
          <w:rFonts w:ascii="Arial" w:hAnsi="Arial" w:cs="Arial"/>
          <w:color w:val="000000"/>
          <w:sz w:val="22"/>
          <w:szCs w:val="22"/>
        </w:rPr>
        <w:t>,</w:t>
      </w:r>
      <w:r>
        <w:rPr>
          <w:rFonts w:ascii="Arial" w:hAnsi="Arial" w:cs="Arial"/>
          <w:color w:val="000000"/>
          <w:sz w:val="22"/>
          <w:szCs w:val="22"/>
        </w:rPr>
        <w:t xml:space="preserve"> at six or seven</w:t>
      </w:r>
      <w:r w:rsidR="006600CB">
        <w:rPr>
          <w:rFonts w:ascii="Arial" w:hAnsi="Arial" w:cs="Arial"/>
          <w:color w:val="000000"/>
          <w:sz w:val="22"/>
          <w:szCs w:val="22"/>
        </w:rPr>
        <w:t xml:space="preserve"> years old,</w:t>
      </w:r>
      <w:r>
        <w:rPr>
          <w:rFonts w:ascii="Arial" w:hAnsi="Arial" w:cs="Arial"/>
          <w:color w:val="000000"/>
          <w:sz w:val="22"/>
          <w:szCs w:val="22"/>
        </w:rPr>
        <w:t xml:space="preserve"> the </w:t>
      </w:r>
      <w:r w:rsidR="00FB4534">
        <w:rPr>
          <w:rFonts w:ascii="Arial" w:hAnsi="Arial" w:cs="Arial"/>
          <w:color w:val="000000"/>
          <w:sz w:val="22"/>
          <w:szCs w:val="22"/>
        </w:rPr>
        <w:t>child would choose a representation of its</w:t>
      </w:r>
      <w:r>
        <w:rPr>
          <w:rFonts w:ascii="Arial" w:hAnsi="Arial" w:cs="Arial"/>
          <w:color w:val="000000"/>
          <w:sz w:val="22"/>
          <w:szCs w:val="22"/>
        </w:rPr>
        <w:t xml:space="preserve"> own view. Piaget viewed this as the child being unable to decentre in imagination. However, Donaldson argues that Piaget is right in that children find it difficult, however not in how Piaget suggests. Donaldson suggests that the children making </w:t>
      </w:r>
      <w:r w:rsidR="00FB4534">
        <w:rPr>
          <w:rFonts w:ascii="Arial" w:hAnsi="Arial" w:cs="Arial"/>
          <w:color w:val="000000"/>
          <w:sz w:val="22"/>
          <w:szCs w:val="22"/>
        </w:rPr>
        <w:t>egocentric</w:t>
      </w:r>
      <w:r>
        <w:rPr>
          <w:rFonts w:ascii="Arial" w:hAnsi="Arial" w:cs="Arial"/>
          <w:color w:val="000000"/>
          <w:sz w:val="22"/>
          <w:szCs w:val="22"/>
        </w:rPr>
        <w:t xml:space="preserve"> choices did not understand the task</w:t>
      </w:r>
      <w:r w:rsidR="006600CB">
        <w:rPr>
          <w:rFonts w:ascii="Arial" w:hAnsi="Arial" w:cs="Arial"/>
          <w:color w:val="000000"/>
          <w:sz w:val="22"/>
          <w:szCs w:val="22"/>
        </w:rPr>
        <w:t xml:space="preserve"> as children of younger ages have been able to complete similar activities</w:t>
      </w:r>
      <w:r>
        <w:rPr>
          <w:rFonts w:ascii="Arial" w:hAnsi="Arial" w:cs="Arial"/>
          <w:color w:val="000000"/>
          <w:sz w:val="22"/>
          <w:szCs w:val="22"/>
        </w:rPr>
        <w:t>. This is just one example of a criticism that Donaldson makes on Piaget’s work. However, as Donaldson says, “If I must now reject some of his teaching, no lessening of respect for the man for his vast contribution to knowledge is implied.” Although Donaldson may have a slight bias, as she was a student of Piaget, her critiques are valid and look to be objective. The message of the criticism is clear; </w:t>
      </w:r>
      <w:r w:rsidR="009A03DC">
        <w:rPr>
          <w:rFonts w:ascii="Arial" w:hAnsi="Arial" w:cs="Arial"/>
          <w:color w:val="000000"/>
          <w:sz w:val="22"/>
          <w:szCs w:val="22"/>
        </w:rPr>
        <w:t>it</w:t>
      </w:r>
      <w:r>
        <w:rPr>
          <w:rFonts w:ascii="Arial" w:hAnsi="Arial" w:cs="Arial"/>
          <w:color w:val="000000"/>
          <w:sz w:val="22"/>
          <w:szCs w:val="22"/>
        </w:rPr>
        <w:t xml:space="preserve"> is not a full rejection of Piaget’s work, but </w:t>
      </w:r>
      <w:r w:rsidRPr="00CE716E">
        <w:rPr>
          <w:rFonts w:ascii="Arial" w:hAnsi="Arial" w:cs="Arial"/>
          <w:color w:val="000000"/>
          <w:sz w:val="22"/>
          <w:szCs w:val="22"/>
        </w:rPr>
        <w:t>more of a suggestion on how some of his theories need to be adapted, as many scientific theories are.</w:t>
      </w:r>
    </w:p>
    <w:p w14:paraId="209C5A87" w14:textId="1AE1A176" w:rsidR="00CE716E" w:rsidRPr="00CE716E" w:rsidRDefault="00CE716E" w:rsidP="00CE716E">
      <w:pPr>
        <w:pStyle w:val="assignbody00"/>
        <w:spacing w:before="0" w:beforeAutospacing="0" w:after="0" w:afterAutospacing="0" w:line="360" w:lineRule="auto"/>
        <w:rPr>
          <w:rFonts w:ascii="Arial" w:hAnsi="Arial" w:cs="Arial"/>
          <w:color w:val="000000"/>
          <w:sz w:val="22"/>
          <w:szCs w:val="22"/>
        </w:rPr>
      </w:pPr>
      <w:r w:rsidRPr="00CE716E">
        <w:rPr>
          <w:rFonts w:ascii="Arial" w:hAnsi="Arial" w:cs="Arial"/>
          <w:color w:val="000000"/>
          <w:sz w:val="22"/>
          <w:szCs w:val="22"/>
        </w:rPr>
        <w:t>Despite the</w:t>
      </w:r>
      <w:r w:rsidRPr="00CE716E">
        <w:rPr>
          <w:rStyle w:val="apple-converted-space"/>
          <w:rFonts w:ascii="Arial" w:hAnsi="Arial" w:cs="Arial"/>
          <w:color w:val="000000"/>
          <w:sz w:val="22"/>
          <w:szCs w:val="22"/>
        </w:rPr>
        <w:t> </w:t>
      </w:r>
      <w:r w:rsidRPr="00CE716E">
        <w:rPr>
          <w:rFonts w:ascii="Arial" w:hAnsi="Arial" w:cs="Arial"/>
          <w:color w:val="000000"/>
          <w:sz w:val="22"/>
          <w:szCs w:val="22"/>
        </w:rPr>
        <w:t>criticisms, Piaget’s</w:t>
      </w:r>
      <w:r w:rsidRPr="00CE716E">
        <w:rPr>
          <w:rStyle w:val="apple-converted-space"/>
          <w:rFonts w:ascii="Arial" w:hAnsi="Arial" w:cs="Arial"/>
          <w:color w:val="000000"/>
          <w:sz w:val="22"/>
          <w:szCs w:val="22"/>
        </w:rPr>
        <w:t> </w:t>
      </w:r>
      <w:r w:rsidRPr="00CE716E">
        <w:rPr>
          <w:rFonts w:ascii="Arial" w:hAnsi="Arial" w:cs="Arial"/>
          <w:color w:val="000000"/>
          <w:sz w:val="22"/>
          <w:szCs w:val="22"/>
        </w:rPr>
        <w:t>work</w:t>
      </w:r>
      <w:r>
        <w:rPr>
          <w:rFonts w:ascii="Arial" w:hAnsi="Arial" w:cs="Arial"/>
          <w:color w:val="000000"/>
          <w:sz w:val="22"/>
          <w:szCs w:val="22"/>
        </w:rPr>
        <w:t xml:space="preserve"> </w:t>
      </w:r>
      <w:r w:rsidRPr="00CE716E">
        <w:rPr>
          <w:rFonts w:ascii="Arial" w:hAnsi="Arial" w:cs="Arial"/>
          <w:color w:val="000000"/>
          <w:sz w:val="22"/>
          <w:szCs w:val="22"/>
        </w:rPr>
        <w:t>links</w:t>
      </w:r>
      <w:r>
        <w:rPr>
          <w:rFonts w:ascii="Arial" w:hAnsi="Arial" w:cs="Arial"/>
          <w:color w:val="000000"/>
          <w:sz w:val="22"/>
          <w:szCs w:val="22"/>
        </w:rPr>
        <w:t xml:space="preserve"> </w:t>
      </w:r>
      <w:r w:rsidRPr="00CE716E">
        <w:rPr>
          <w:rFonts w:ascii="Arial" w:hAnsi="Arial" w:cs="Arial"/>
          <w:color w:val="000000"/>
          <w:sz w:val="22"/>
          <w:szCs w:val="22"/>
        </w:rPr>
        <w:t>with the critical incident in question. The child was given a task and left to complete the task. It can be assumed that the child was attempting to link their previous knowledge with the new knowledge needed for the task. Therefore, when the child asked for help, the teacher should not have interceded to allow for this process to happen. However, Piaget also states that in the age group of this child, the child’s ability to think abstractly depends on their prior knowledge.  If the child did not have prior knowledge of fairy tales, as the child state’s he does not, then this task would be difficult for the child and even if the teacher did not intervene the bridge between new and prior knowledge may have never been built.</w:t>
      </w:r>
    </w:p>
    <w:p w14:paraId="2949A2FE" w14:textId="61096CF6" w:rsidR="00CE716E" w:rsidRPr="00CE716E" w:rsidRDefault="00CE716E" w:rsidP="00CE716E">
      <w:pPr>
        <w:pStyle w:val="assignbody0"/>
        <w:spacing w:before="0" w:beforeAutospacing="0" w:after="0" w:afterAutospacing="0" w:line="360" w:lineRule="auto"/>
        <w:rPr>
          <w:rFonts w:ascii="Arial" w:hAnsi="Arial" w:cs="Arial"/>
          <w:color w:val="000000"/>
          <w:sz w:val="22"/>
          <w:szCs w:val="22"/>
        </w:rPr>
      </w:pPr>
      <w:r w:rsidRPr="00CE716E">
        <w:rPr>
          <w:rFonts w:ascii="Arial" w:hAnsi="Arial" w:cs="Arial"/>
          <w:color w:val="000000"/>
          <w:sz w:val="22"/>
          <w:szCs w:val="22"/>
        </w:rPr>
        <w:t>The next constructivist theory suggested by Jordan, Carlile and Stack (2009) is social constructivism. Although individual experience is emphasised in constructivism, social constructivism suggests that community and culture affect learning. It suggests that although individuals may have a slight difference in their mental processes; </w:t>
      </w:r>
      <w:r w:rsidR="00171386" w:rsidRPr="00CE716E">
        <w:rPr>
          <w:rFonts w:ascii="Arial" w:hAnsi="Arial" w:cs="Arial"/>
          <w:color w:val="000000"/>
          <w:sz w:val="22"/>
          <w:szCs w:val="22"/>
        </w:rPr>
        <w:t>they</w:t>
      </w:r>
      <w:r w:rsidRPr="00CE716E">
        <w:rPr>
          <w:rFonts w:ascii="Arial" w:hAnsi="Arial" w:cs="Arial"/>
          <w:color w:val="000000"/>
          <w:sz w:val="22"/>
          <w:szCs w:val="22"/>
        </w:rPr>
        <w:t xml:space="preserve"> have a shared environment and society that affects how an individual thinks. </w:t>
      </w:r>
    </w:p>
    <w:p w14:paraId="08FEBBB9" w14:textId="77777777" w:rsidR="00CE716E" w:rsidRPr="00CE716E" w:rsidRDefault="00CE716E" w:rsidP="00CE716E">
      <w:pPr>
        <w:pStyle w:val="assignbody0"/>
        <w:spacing w:before="0" w:beforeAutospacing="0" w:after="0" w:afterAutospacing="0" w:line="360" w:lineRule="auto"/>
        <w:rPr>
          <w:rFonts w:ascii="Arial" w:hAnsi="Arial" w:cs="Arial"/>
          <w:color w:val="000000"/>
          <w:sz w:val="22"/>
          <w:szCs w:val="22"/>
        </w:rPr>
      </w:pPr>
      <w:r w:rsidRPr="00CE716E">
        <w:rPr>
          <w:rFonts w:ascii="Arial" w:hAnsi="Arial" w:cs="Arial"/>
          <w:color w:val="000000"/>
          <w:sz w:val="22"/>
          <w:szCs w:val="22"/>
        </w:rPr>
        <w:t>Vygotsky is a well-known social constructivist who produced the theory of a zone of proximal development. Zone of proximal development is that it is an intellectual space in which a teacher can gauge the child’s intellectual development and provide support to further develop the child’s thinking. It is relevant to emphasise that the teacher may not be an adult, but could also be a more knowledgeable child. This person guides the debate and provides scaffolding. The learner in the zone of proximal development can work productively but only with support and learning involves moving across the zone towards the next level of understanding (Pritchard, 2005). The concept of social constructivism suggests that learning should be undertaken in groups to allow for discussion and shared experience.</w:t>
      </w:r>
    </w:p>
    <w:p w14:paraId="3AD032F5" w14:textId="6EFD84E7" w:rsidR="00FB4534" w:rsidRDefault="00CE716E" w:rsidP="00FB4534">
      <w:pPr>
        <w:pStyle w:val="assignbody0"/>
        <w:spacing w:before="0" w:beforeAutospacing="0" w:after="0" w:afterAutospacing="0" w:line="360" w:lineRule="auto"/>
        <w:rPr>
          <w:rFonts w:ascii="Arial" w:hAnsi="Arial" w:cs="Arial"/>
          <w:color w:val="000000"/>
          <w:sz w:val="22"/>
          <w:szCs w:val="22"/>
        </w:rPr>
      </w:pPr>
      <w:r w:rsidRPr="00CE716E">
        <w:rPr>
          <w:rFonts w:ascii="Arial" w:hAnsi="Arial" w:cs="Arial"/>
          <w:color w:val="000000"/>
          <w:sz w:val="22"/>
          <w:szCs w:val="22"/>
        </w:rPr>
        <w:t>Social constructivism can also be taken into consideration for this critical incident. The child was in a social environment in which the other children were questioning each other and sharing their knowledge of fairy tales. The child did not partake in these conversations. It can be suggested that when the child asked the teacher for help, the teacher was providing the scaffolding to support the child through the learning experience. As the child had no prior knowledge of fairy tales, the child needed the discussion with someone who had the knowledge so that the task was accessible. This contradicts Piaget’s theory of the child should not have been interrupted, but because of the lack of prior knowledge, this may have been the most suitable approach for that child. </w:t>
      </w:r>
      <w:r w:rsidR="00FB4534">
        <w:rPr>
          <w:rFonts w:ascii="Arial" w:hAnsi="Arial" w:cs="Arial"/>
          <w:color w:val="000000"/>
          <w:sz w:val="22"/>
          <w:szCs w:val="22"/>
        </w:rPr>
        <w:br/>
        <w:t xml:space="preserve">It is interesting to note that although many of the child’s peers were discussing fairy tales and asking questions to obtain further knowledge; the child did not partake. There was the opportunity for the </w:t>
      </w:r>
      <w:r w:rsidR="009A03DC">
        <w:rPr>
          <w:rFonts w:ascii="Arial" w:hAnsi="Arial" w:cs="Arial"/>
          <w:color w:val="000000"/>
          <w:sz w:val="22"/>
          <w:szCs w:val="22"/>
        </w:rPr>
        <w:t>child to gain knowledge from their</w:t>
      </w:r>
      <w:r w:rsidR="00FB4534">
        <w:rPr>
          <w:rFonts w:ascii="Arial" w:hAnsi="Arial" w:cs="Arial"/>
          <w:color w:val="000000"/>
          <w:sz w:val="22"/>
          <w:szCs w:val="22"/>
        </w:rPr>
        <w:t xml:space="preserve"> peers, and yet the child sat in silence. This behaviour could be linked to fixed intelligence as proposed by Carol S. Dweck. </w:t>
      </w:r>
    </w:p>
    <w:p w14:paraId="603FA5DD" w14:textId="77777777" w:rsidR="00FB4534" w:rsidRDefault="00FB4534" w:rsidP="00FB4534">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Dweck (2012) states that there are two types of mindset, fixed and growth mindset. People with a fixed mindset believe that intelligence is unchangeable and that there is nothing that can be done to advance one’s performance. Growth mindset is the notion that if the effort is put in, a child can grow their intelligence. Dweck states that individuals with a fixed mindset are more prone to underestimate their own capacity, not cope with failure and to avoid any further challenges. An example of Dweck gives is of a scenario where an individual receives a C+ on a paper, which is a grade that disappoints them. The person also receives a parking ticket and when they complain to a friend, the friend brushes them off. If the person has a fixed mindset, they would see the situation as a reflection on their ability and say phrases such as “I’m a total failure.” A person with a growth mindset would see it as an opportunity to work harder, to be more careful, and to build a stronger relationship with their friend. They would cope with the failure directly and confront the challenges. </w:t>
      </w:r>
    </w:p>
    <w:p w14:paraId="04CAE65B" w14:textId="1F9D31BA" w:rsidR="00FB4534" w:rsidRDefault="00FB4534" w:rsidP="00FB4534">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Dweck (2015) raised concern over practitioners’ use of mindset, following some criticism. She states, “It’s the fear that the mindset concepts, which grew up to counter the failed self-esteem movement, will be used to perpetuate that movement.” Dweck believes that a common misconception about mindset is that it is entirely down to effort. A poor example of using praise for growth mindset would praise students for effort even though the child has not achieved. Growth mindset should make the child feel good in both short and long-term, not just the short-term praise for effort. A better use of praise would be, “Well done for trying this; What can you try next?” </w:t>
      </w:r>
    </w:p>
    <w:p w14:paraId="3E9230BF" w14:textId="2BFF8E64" w:rsidR="006358DD" w:rsidRDefault="00FB4534"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Dweck’s mindset concepts can be associated to the critical incident observed, as it could explain some behaviour. The child had a ten-minute window in which he could have asked his peers for help, like t</w:t>
      </w:r>
      <w:r w:rsidR="009A03DC">
        <w:rPr>
          <w:rFonts w:ascii="Arial" w:hAnsi="Arial" w:cs="Arial"/>
          <w:color w:val="000000"/>
          <w:sz w:val="22"/>
          <w:szCs w:val="22"/>
        </w:rPr>
        <w:t>he other students were doing. The learner focused on their own work and when they</w:t>
      </w:r>
      <w:r>
        <w:rPr>
          <w:rFonts w:ascii="Arial" w:hAnsi="Arial" w:cs="Arial"/>
          <w:color w:val="000000"/>
          <w:sz w:val="22"/>
          <w:szCs w:val="22"/>
        </w:rPr>
        <w:t xml:space="preserve"> could not apply his prior knowledge, the child declared to the teacher, “I can no</w:t>
      </w:r>
      <w:r w:rsidR="009A03DC">
        <w:rPr>
          <w:rFonts w:ascii="Arial" w:hAnsi="Arial" w:cs="Arial"/>
          <w:color w:val="000000"/>
          <w:sz w:val="22"/>
          <w:szCs w:val="22"/>
        </w:rPr>
        <w:t>t do this.” The time in which they</w:t>
      </w:r>
      <w:r>
        <w:rPr>
          <w:rFonts w:ascii="Arial" w:hAnsi="Arial" w:cs="Arial"/>
          <w:color w:val="000000"/>
          <w:sz w:val="22"/>
          <w:szCs w:val="22"/>
        </w:rPr>
        <w:t xml:space="preserve"> took to ask the teacher for help could be in</w:t>
      </w:r>
      <w:r w:rsidR="009A03DC">
        <w:rPr>
          <w:rFonts w:ascii="Arial" w:hAnsi="Arial" w:cs="Arial"/>
          <w:color w:val="000000"/>
          <w:sz w:val="22"/>
          <w:szCs w:val="22"/>
        </w:rPr>
        <w:t>terpreted as fixed mindset as they</w:t>
      </w:r>
      <w:r>
        <w:rPr>
          <w:rFonts w:ascii="Arial" w:hAnsi="Arial" w:cs="Arial"/>
          <w:color w:val="000000"/>
          <w:sz w:val="22"/>
          <w:szCs w:val="22"/>
        </w:rPr>
        <w:t xml:space="preserve"> did n</w:t>
      </w:r>
      <w:r w:rsidR="009A03DC">
        <w:rPr>
          <w:rFonts w:ascii="Arial" w:hAnsi="Arial" w:cs="Arial"/>
          <w:color w:val="000000"/>
          <w:sz w:val="22"/>
          <w:szCs w:val="22"/>
        </w:rPr>
        <w:t>ot rise to the challenge and the language they</w:t>
      </w:r>
      <w:r>
        <w:rPr>
          <w:rFonts w:ascii="Arial" w:hAnsi="Arial" w:cs="Arial"/>
          <w:color w:val="000000"/>
          <w:sz w:val="22"/>
          <w:szCs w:val="22"/>
        </w:rPr>
        <w:t xml:space="preserve"> used was rather </w:t>
      </w:r>
      <w:r w:rsidR="009A03DC">
        <w:rPr>
          <w:rFonts w:ascii="Arial" w:hAnsi="Arial" w:cs="Arial"/>
          <w:color w:val="000000"/>
          <w:sz w:val="22"/>
          <w:szCs w:val="22"/>
        </w:rPr>
        <w:t>negative towards their own ability. The pupil</w:t>
      </w:r>
      <w:r>
        <w:rPr>
          <w:rFonts w:ascii="Arial" w:hAnsi="Arial" w:cs="Arial"/>
          <w:color w:val="000000"/>
          <w:sz w:val="22"/>
          <w:szCs w:val="22"/>
        </w:rPr>
        <w:t xml:space="preserve"> stated phrases such as “I do not know anything” and “There is not anything I can do.” This could suggest that even if the child had the knowledge to complete the task, their mindset may hinder their ability and the child may have not had the confidence</w:t>
      </w:r>
      <w:r w:rsidR="009A03DC">
        <w:rPr>
          <w:rFonts w:ascii="Arial" w:hAnsi="Arial" w:cs="Arial"/>
          <w:color w:val="000000"/>
          <w:sz w:val="22"/>
          <w:szCs w:val="22"/>
        </w:rPr>
        <w:t xml:space="preserve"> to work without help from the teacher</w:t>
      </w:r>
      <w:r>
        <w:rPr>
          <w:rFonts w:ascii="Arial" w:hAnsi="Arial" w:cs="Arial"/>
          <w:color w:val="000000"/>
          <w:sz w:val="22"/>
          <w:szCs w:val="22"/>
        </w:rPr>
        <w:t>.</w:t>
      </w:r>
    </w:p>
    <w:p w14:paraId="0C174A97" w14:textId="67648938" w:rsidR="00BF7631" w:rsidRDefault="006B481A"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Dweck’s work links strongly with the idea of learned helplessness. The concept of learned</w:t>
      </w:r>
      <w:r w:rsidR="009C0D9E">
        <w:rPr>
          <w:rFonts w:ascii="Arial" w:hAnsi="Arial" w:cs="Arial"/>
          <w:color w:val="000000"/>
          <w:sz w:val="22"/>
          <w:szCs w:val="22"/>
        </w:rPr>
        <w:t xml:space="preserve"> helplessness is when a child perceives that they have little control over a </w:t>
      </w:r>
      <w:r w:rsidR="000221D8">
        <w:rPr>
          <w:rFonts w:ascii="Arial" w:hAnsi="Arial" w:cs="Arial"/>
          <w:color w:val="000000"/>
          <w:sz w:val="22"/>
          <w:szCs w:val="22"/>
        </w:rPr>
        <w:t>situation;</w:t>
      </w:r>
      <w:r w:rsidR="009C0D9E">
        <w:rPr>
          <w:rFonts w:ascii="Arial" w:hAnsi="Arial" w:cs="Arial"/>
          <w:color w:val="000000"/>
          <w:sz w:val="22"/>
          <w:szCs w:val="22"/>
        </w:rPr>
        <w:t xml:space="preserve"> they will continue to apply the same thinking even if the child has some control. This is the case when a child may have underachieved in a test, they may begin to think that no matter how hard they work, there is nothing that child can do to improve their grade. An important aspect of learned helplessness is attribution. A child experiencing learned helplessness will attribute their failure to something out of the child’s control such as the task being to hard or that they are not intelligent enough (Snyder, </w:t>
      </w:r>
      <w:r w:rsidR="000221D8">
        <w:rPr>
          <w:rFonts w:ascii="Arial" w:hAnsi="Arial" w:cs="Arial"/>
          <w:color w:val="000000"/>
          <w:sz w:val="22"/>
          <w:szCs w:val="22"/>
        </w:rPr>
        <w:t xml:space="preserve">1999). This mirrors strongly with Dweck’s work as it has that same uncontrolled element and the inability to improve one’s schoolwork. If the child being observed has previously failed in English, it could be some learned helplessness that is affecting their ability. </w:t>
      </w:r>
    </w:p>
    <w:p w14:paraId="0B30D1AE" w14:textId="740E1A92" w:rsidR="00896118" w:rsidRDefault="00896118"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Fook (2015) states that reflective practice should take place, as it is essential to responsible professional practice. Critical reflection is the ability to be transformative and to expose assumptions. Teachers reflect on their own practice to develop their pedagogy and adapt methods based on what worked and what requires improvement. No teacher is the finished product. Education is continually changing, and each child is an individual learner. Even experienced teachers will reflect and adjust their approach to suit new circumstances. </w:t>
      </w:r>
      <w:r w:rsidR="00152441">
        <w:rPr>
          <w:rFonts w:ascii="Arial" w:hAnsi="Arial" w:cs="Arial"/>
          <w:color w:val="000000"/>
          <w:sz w:val="22"/>
          <w:szCs w:val="22"/>
        </w:rPr>
        <w:t>Reflective practice is also mentioned in Wales’ national mission. There is an aspect of Schools as Learning Organisations, which promotes “establishing a culture of inquiry, innovation and exploration’ within our schools (Welsh Government, 2017</w:t>
      </w:r>
      <w:r w:rsidR="006D16C8">
        <w:rPr>
          <w:rFonts w:ascii="Arial" w:hAnsi="Arial" w:cs="Arial"/>
          <w:color w:val="000000"/>
          <w:sz w:val="22"/>
          <w:szCs w:val="22"/>
        </w:rPr>
        <w:t>a</w:t>
      </w:r>
      <w:r w:rsidR="00152441">
        <w:rPr>
          <w:rFonts w:ascii="Arial" w:hAnsi="Arial" w:cs="Arial"/>
          <w:color w:val="000000"/>
          <w:sz w:val="22"/>
          <w:szCs w:val="22"/>
        </w:rPr>
        <w:t>).</w:t>
      </w:r>
    </w:p>
    <w:p w14:paraId="6AE8B329" w14:textId="77777777" w:rsidR="00896118" w:rsidRDefault="00896118"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The reflection model that was utilized can be seen in Appendices 5 to 8. This model was used to organise my own thoughts and to provide clarity on the incident. It is a model in which I will apply to my practice to develop a greater insight of my teaching methods and student response. I believe that being reflective and critical of my practice will make me more effective and versatile as a teacher and will produce a better experience for my students. </w:t>
      </w:r>
    </w:p>
    <w:p w14:paraId="7C2E1983" w14:textId="4C62AF49" w:rsidR="00896118" w:rsidRDefault="00896118"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 xml:space="preserve">In this incident, I have concentrated on a crucial aspect of learning. </w:t>
      </w:r>
      <w:r w:rsidR="007844B8">
        <w:rPr>
          <w:rFonts w:ascii="Arial" w:hAnsi="Arial" w:cs="Arial"/>
          <w:color w:val="000000"/>
          <w:sz w:val="22"/>
          <w:szCs w:val="22"/>
        </w:rPr>
        <w:t>For effective teaching, I</w:t>
      </w:r>
      <w:r>
        <w:rPr>
          <w:rFonts w:ascii="Arial" w:hAnsi="Arial" w:cs="Arial"/>
          <w:color w:val="000000"/>
          <w:sz w:val="22"/>
          <w:szCs w:val="22"/>
        </w:rPr>
        <w:t xml:space="preserve"> need to understand the limit of working memory and break down procedures into small steps (Sherrington, 2019).  The brain is made up of long-term and working memory. Working memory has a restricted capacity and is what a person is thinking. </w:t>
      </w:r>
      <w:r w:rsidR="0021487E">
        <w:rPr>
          <w:rFonts w:ascii="Arial" w:hAnsi="Arial" w:cs="Arial"/>
          <w:color w:val="000000"/>
          <w:sz w:val="22"/>
          <w:szCs w:val="22"/>
        </w:rPr>
        <w:t>Long-term</w:t>
      </w:r>
      <w:r>
        <w:rPr>
          <w:rFonts w:ascii="Arial" w:hAnsi="Arial" w:cs="Arial"/>
          <w:color w:val="000000"/>
          <w:sz w:val="22"/>
          <w:szCs w:val="22"/>
        </w:rPr>
        <w:t xml:space="preserve"> memory is storage. Similarly to constructivism, learning is easier when prior knowledge is recalled from the long-term memory into the working memory and is associated with the new information (Willingham 2009). Regarding this incident, the child was presented with the new knowledge of twisted fairy tales but had no previous experience or knowledge of the original fairy tales. This meant that the child could not recall his prior knowledge to engage with the task. </w:t>
      </w:r>
    </w:p>
    <w:p w14:paraId="0F95ACE8" w14:textId="77777777" w:rsidR="00896118" w:rsidRDefault="00896118"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My suggestions would be to have the pupils bring in a fairy tale that they like. This would give the opportunity for the child to research their own fairy tales ad be better prepared for the task. This would also save the child any embarrassment or demoralisation when they were struggling with the task whilst their peers were completing it. Another option would have been to differentiate the task by having some examples of fairy tales in the classroom. This meant that instead of copying down the plot the teachers discussed, the child could still choose their own fairy tale and pick out the important information. Either of these options would allow for the child to access the task whilst still allowing the child to build important skills in English and also be an independent learner.</w:t>
      </w:r>
    </w:p>
    <w:p w14:paraId="7C16EC8F" w14:textId="00EB6468" w:rsidR="00896118" w:rsidRDefault="00896118"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However, as this critical incident had already occurred, the next steps for this child could be that the child would be monitored, as this is a multi-lesson activity. The teacher checking on the child will ensure that they are on task and also to ensure that the child understands and has the support that they need. As the child’s teacher</w:t>
      </w:r>
      <w:r w:rsidR="0021487E">
        <w:rPr>
          <w:rFonts w:ascii="Arial" w:hAnsi="Arial" w:cs="Arial"/>
          <w:color w:val="000000"/>
          <w:sz w:val="22"/>
          <w:szCs w:val="22"/>
        </w:rPr>
        <w:t>,</w:t>
      </w:r>
      <w:r>
        <w:rPr>
          <w:rFonts w:ascii="Arial" w:hAnsi="Arial" w:cs="Arial"/>
          <w:color w:val="000000"/>
          <w:sz w:val="22"/>
          <w:szCs w:val="22"/>
        </w:rPr>
        <w:t xml:space="preserve"> I would also keep in mind that the child’s prior experience with some literacy could be slightly different to their peers and the child could have limited experience with children’s stories. </w:t>
      </w:r>
    </w:p>
    <w:p w14:paraId="167E3791" w14:textId="3B3172E4" w:rsidR="00896118" w:rsidRDefault="0021487E" w:rsidP="00896118">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P</w:t>
      </w:r>
      <w:r w:rsidR="00896118">
        <w:rPr>
          <w:rFonts w:ascii="Arial" w:hAnsi="Arial" w:cs="Arial"/>
          <w:color w:val="000000"/>
          <w:sz w:val="22"/>
          <w:szCs w:val="22"/>
        </w:rPr>
        <w:t>ersonally</w:t>
      </w:r>
      <w:r>
        <w:rPr>
          <w:rFonts w:ascii="Arial" w:hAnsi="Arial" w:cs="Arial"/>
          <w:color w:val="000000"/>
          <w:sz w:val="22"/>
          <w:szCs w:val="22"/>
        </w:rPr>
        <w:t>,</w:t>
      </w:r>
      <w:r w:rsidR="00896118">
        <w:rPr>
          <w:rFonts w:ascii="Arial" w:hAnsi="Arial" w:cs="Arial"/>
          <w:color w:val="000000"/>
          <w:sz w:val="22"/>
          <w:szCs w:val="22"/>
        </w:rPr>
        <w:t xml:space="preserve"> it was surprising that the child could not recall any fairy </w:t>
      </w:r>
      <w:r>
        <w:rPr>
          <w:rFonts w:ascii="Arial" w:hAnsi="Arial" w:cs="Arial"/>
          <w:color w:val="000000"/>
          <w:sz w:val="22"/>
          <w:szCs w:val="22"/>
        </w:rPr>
        <w:t>tales;</w:t>
      </w:r>
      <w:r w:rsidR="00896118">
        <w:rPr>
          <w:rFonts w:ascii="Arial" w:hAnsi="Arial" w:cs="Arial"/>
          <w:color w:val="000000"/>
          <w:sz w:val="22"/>
          <w:szCs w:val="22"/>
        </w:rPr>
        <w:t xml:space="preserve"> it has made me question my own beliefs in what children may or may not know. It is something that I will acknowledge in my own practice as if my assumptions of what children will experienced are inaccurate, children might become disengaged with the lesson or to become confused. </w:t>
      </w:r>
    </w:p>
    <w:p w14:paraId="75836CDA" w14:textId="179AFC7B" w:rsidR="008D5617" w:rsidRPr="00171386" w:rsidRDefault="007844B8" w:rsidP="00171386">
      <w:pPr>
        <w:pStyle w:val="assignbody0"/>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Overall, I think the task was a good task and was engaging for most pupils. I would keep the task the same and still have the teacher support available for the children who need it. In my practice</w:t>
      </w:r>
      <w:r w:rsidR="0021487E">
        <w:rPr>
          <w:rFonts w:ascii="Arial" w:hAnsi="Arial" w:cs="Arial"/>
          <w:color w:val="000000"/>
          <w:sz w:val="22"/>
          <w:szCs w:val="22"/>
        </w:rPr>
        <w:t>,</w:t>
      </w:r>
      <w:r>
        <w:rPr>
          <w:rFonts w:ascii="Arial" w:hAnsi="Arial" w:cs="Arial"/>
          <w:color w:val="000000"/>
          <w:sz w:val="22"/>
          <w:szCs w:val="22"/>
        </w:rPr>
        <w:t xml:space="preserve"> I would ensure that the pupils are prepared for the task in the lesson</w:t>
      </w:r>
      <w:r w:rsidR="0021487E">
        <w:rPr>
          <w:rFonts w:ascii="Arial" w:hAnsi="Arial" w:cs="Arial"/>
          <w:color w:val="000000"/>
          <w:sz w:val="22"/>
          <w:szCs w:val="22"/>
        </w:rPr>
        <w:t xml:space="preserve"> and I would also rethink seating plans if a quiet child appears to not engage with the classmates around them as social constructivism states that learning needs discussion </w:t>
      </w:r>
      <w:r w:rsidR="00171386">
        <w:rPr>
          <w:rFonts w:ascii="Arial" w:hAnsi="Arial" w:cs="Arial"/>
          <w:color w:val="000000"/>
          <w:sz w:val="22"/>
          <w:szCs w:val="22"/>
        </w:rPr>
        <w:t>(Pritchard, 2005)</w:t>
      </w:r>
      <w:r w:rsidR="0021487E">
        <w:rPr>
          <w:rFonts w:ascii="Arial" w:hAnsi="Arial" w:cs="Arial"/>
          <w:color w:val="000000"/>
          <w:sz w:val="22"/>
          <w:szCs w:val="22"/>
        </w:rPr>
        <w:t xml:space="preserve">. I would promote an inclusive environment and try to be aware of children who may have a fixed mindset. </w:t>
      </w:r>
    </w:p>
    <w:p w14:paraId="2FD4A71E" w14:textId="22E54913" w:rsidR="00171386" w:rsidRDefault="00EE645D" w:rsidP="00331D42">
      <w:pPr>
        <w:pStyle w:val="AssignBody"/>
        <w:rPr>
          <w:rFonts w:cs="Arial"/>
          <w:color w:val="000000"/>
        </w:rPr>
      </w:pPr>
      <w:r>
        <w:rPr>
          <w:rFonts w:cs="Arial"/>
          <w:color w:val="000000"/>
        </w:rPr>
        <w:t xml:space="preserve">In summary, the approach for this assignment included completing a case study on a critical incident and reflecting upon said incident. The concepts of constructivism and mindset have been explored and linked to the incident in question, and the possible next steps for the child as well as the researchers own practice have been discussed. </w:t>
      </w:r>
    </w:p>
    <w:p w14:paraId="7C9F7F70" w14:textId="3BEAB8C9" w:rsidR="00416EEF" w:rsidRDefault="00EE645D" w:rsidP="00331D42">
      <w:pPr>
        <w:pStyle w:val="AssignBody"/>
        <w:rPr>
          <w:rFonts w:cs="Arial"/>
          <w:color w:val="000000"/>
        </w:rPr>
      </w:pPr>
      <w:r>
        <w:rPr>
          <w:rFonts w:cs="Arial"/>
          <w:color w:val="000000"/>
        </w:rPr>
        <w:t xml:space="preserve">The whole process links strongly with the new professional standards for teachers in Wales. One core value is the professional learner, which is where a teacher will undergo lifelong learning and develop their practice. </w:t>
      </w:r>
      <w:r w:rsidR="006D16C8">
        <w:rPr>
          <w:rFonts w:cs="Arial"/>
          <w:color w:val="000000"/>
        </w:rPr>
        <w:t>Under the standard or professional learning the teacher is required to progressively develop pedagogy and show how reflection and openness can develop pedagogy (Welsh Government, 2017b</w:t>
      </w:r>
      <w:r w:rsidR="00416EEF">
        <w:rPr>
          <w:rFonts w:cs="Arial"/>
          <w:color w:val="000000"/>
        </w:rPr>
        <w:t xml:space="preserve">). This approach is a good example of how teachers can effectively observe their own classroom, identify areas of improvement and change how they think about or apply their methods. It allows for teachers to question their own beliefs and improve the standards of schools and education across Wales. It allows for teachers to not just do what works, but to understand why their pedagogies work and focuses the career on more research-based practice. Teachers will become more critical of their own practice and it is a method that the researcher will continue to use. </w:t>
      </w:r>
    </w:p>
    <w:p w14:paraId="105188D2" w14:textId="788C398F" w:rsidR="00F03B88" w:rsidRDefault="00F03B88" w:rsidP="00331D42">
      <w:pPr>
        <w:pStyle w:val="AssignBody"/>
        <w:rPr>
          <w:rFonts w:cs="Arial"/>
          <w:color w:val="000000"/>
        </w:rPr>
      </w:pPr>
      <w:r>
        <w:rPr>
          <w:rFonts w:cs="Arial"/>
          <w:color w:val="000000"/>
        </w:rPr>
        <w:t>Specifically to this critical incident, assuming the child has a lack of prior knowledge, it would be a difficult task for this child. According to constructivism, either social or trivial, without that prior knowledge, the child does not have a good foundation for learning. This also could be the cause for the child to question their own ability and to show signs of fixed mindset and learned helplessness. The investigation has led to the conclusion that</w:t>
      </w:r>
      <w:r w:rsidR="00093EC2">
        <w:rPr>
          <w:rFonts w:cs="Arial"/>
          <w:color w:val="000000"/>
        </w:rPr>
        <w:t xml:space="preserve"> it is necessary to ensure that all the children in the classroom has the knowledge needed to complete the task and also to take into account that children’s previous experience will differ which can effect their performance.</w:t>
      </w:r>
    </w:p>
    <w:p w14:paraId="3CADF5FD" w14:textId="77777777" w:rsidR="00171386" w:rsidRDefault="00171386" w:rsidP="00331D42">
      <w:pPr>
        <w:pStyle w:val="AssignBody"/>
        <w:rPr>
          <w:rFonts w:cs="Arial"/>
          <w:color w:val="000000"/>
        </w:rPr>
      </w:pPr>
    </w:p>
    <w:p w14:paraId="78C2CC3D" w14:textId="77777777" w:rsidR="00171386" w:rsidRDefault="00171386" w:rsidP="00331D42">
      <w:pPr>
        <w:pStyle w:val="AssignBody"/>
        <w:rPr>
          <w:rFonts w:cs="Arial"/>
          <w:color w:val="000000"/>
        </w:rPr>
      </w:pPr>
    </w:p>
    <w:p w14:paraId="64223E7D" w14:textId="77777777" w:rsidR="00171386" w:rsidRDefault="00171386" w:rsidP="00331D42">
      <w:pPr>
        <w:pStyle w:val="AssignBody"/>
        <w:rPr>
          <w:rFonts w:cs="Arial"/>
          <w:color w:val="000000"/>
        </w:rPr>
      </w:pPr>
    </w:p>
    <w:p w14:paraId="10C424D8" w14:textId="77777777" w:rsidR="00171386" w:rsidRDefault="00171386" w:rsidP="00331D42">
      <w:pPr>
        <w:pStyle w:val="AssignBody"/>
        <w:rPr>
          <w:rFonts w:cs="Arial"/>
          <w:color w:val="000000"/>
        </w:rPr>
      </w:pPr>
    </w:p>
    <w:p w14:paraId="4FC6275E" w14:textId="77777777" w:rsidR="00171386" w:rsidRDefault="00171386" w:rsidP="00331D42">
      <w:pPr>
        <w:pStyle w:val="AssignBody"/>
        <w:rPr>
          <w:rFonts w:cs="Arial"/>
          <w:color w:val="000000"/>
        </w:rPr>
      </w:pPr>
    </w:p>
    <w:p w14:paraId="047BE218" w14:textId="77777777" w:rsidR="00F03B88" w:rsidRDefault="00F03B88" w:rsidP="00331D42">
      <w:pPr>
        <w:pStyle w:val="AssignBody"/>
        <w:rPr>
          <w:b/>
          <w:i/>
          <w:sz w:val="28"/>
          <w:szCs w:val="28"/>
        </w:rPr>
      </w:pPr>
      <w:bookmarkStart w:id="0" w:name="_GoBack"/>
      <w:bookmarkEnd w:id="0"/>
    </w:p>
    <w:p w14:paraId="24ACA9EE" w14:textId="77777777" w:rsidR="00F03B88" w:rsidRPr="00331D42" w:rsidRDefault="00F03B88" w:rsidP="00F03B88">
      <w:pPr>
        <w:pStyle w:val="AssignBody"/>
        <w:rPr>
          <w:b/>
          <w:i/>
          <w:sz w:val="28"/>
          <w:szCs w:val="28"/>
        </w:rPr>
      </w:pPr>
      <w:r>
        <w:rPr>
          <w:b/>
          <w:i/>
          <w:sz w:val="28"/>
          <w:szCs w:val="28"/>
        </w:rPr>
        <w:t>References</w:t>
      </w:r>
    </w:p>
    <w:p w14:paraId="0EFFE808" w14:textId="77777777" w:rsidR="00F03B88" w:rsidRDefault="00F03B88" w:rsidP="00F03B88">
      <w:pPr>
        <w:pStyle w:val="AssignBody"/>
      </w:pPr>
      <w:r>
        <w:t xml:space="preserve">BERA, (2018) </w:t>
      </w:r>
      <w:r>
        <w:rPr>
          <w:i/>
        </w:rPr>
        <w:t>Ethical Guidelines for Educational Research.</w:t>
      </w:r>
      <w:r>
        <w:t xml:space="preserve"> Available at </w:t>
      </w:r>
      <w:r w:rsidRPr="00F150D6">
        <w:t>https://www.bera.ac.uk/publication/ethical-guidelines-for-educational-research-2018-online</w:t>
      </w:r>
      <w:r>
        <w:t xml:space="preserve"> (Accessed: 12th October 2019).</w:t>
      </w:r>
    </w:p>
    <w:p w14:paraId="0A7522D9" w14:textId="77777777" w:rsidR="00F03B88" w:rsidRPr="00B13AFB" w:rsidRDefault="00F03B88" w:rsidP="00F03B88">
      <w:pPr>
        <w:pStyle w:val="AssignBody"/>
      </w:pPr>
      <w:r>
        <w:t xml:space="preserve">Brydon-Miller, M. (2003) ‘Why Action Research’ </w:t>
      </w:r>
      <w:r>
        <w:rPr>
          <w:i/>
        </w:rPr>
        <w:t xml:space="preserve">Action Research, </w:t>
      </w:r>
      <w:r>
        <w:t>1(1) pp. 9-28, (Accessed 14</w:t>
      </w:r>
      <w:r>
        <w:rPr>
          <w:vertAlign w:val="superscript"/>
        </w:rPr>
        <w:t xml:space="preserve">th </w:t>
      </w:r>
      <w:r>
        <w:t>October 2019), DOI: 034201[1476-7503(200307)1:1]</w:t>
      </w:r>
    </w:p>
    <w:p w14:paraId="4AC68B30" w14:textId="77777777" w:rsidR="00F03B88" w:rsidRDefault="00F03B88" w:rsidP="00F03B88">
      <w:pPr>
        <w:pStyle w:val="AssignBody"/>
      </w:pPr>
      <w:r>
        <w:t xml:space="preserve">Cohen, L. Manion, L. and Morrison, K. (2017) </w:t>
      </w:r>
      <w:r>
        <w:rPr>
          <w:i/>
        </w:rPr>
        <w:t>Research Methods in Education</w:t>
      </w:r>
      <w:r>
        <w:t>, 6</w:t>
      </w:r>
      <w:r w:rsidRPr="00A44034">
        <w:rPr>
          <w:vertAlign w:val="superscript"/>
        </w:rPr>
        <w:t>th</w:t>
      </w:r>
      <w:r>
        <w:t xml:space="preserve"> Ed. Oxon: Routledge.</w:t>
      </w:r>
    </w:p>
    <w:p w14:paraId="3DD69EA8" w14:textId="77777777" w:rsidR="00F03B88" w:rsidRDefault="00F03B88" w:rsidP="00F03B88">
      <w:pPr>
        <w:pStyle w:val="AssignBody"/>
      </w:pPr>
      <w:r>
        <w:t xml:space="preserve">Department for Children, Education, Lifelong Learning and Skills (2008) </w:t>
      </w:r>
      <w:r>
        <w:rPr>
          <w:i/>
        </w:rPr>
        <w:t xml:space="preserve">Observing Children. </w:t>
      </w:r>
      <w:r>
        <w:t xml:space="preserve">Available at </w:t>
      </w:r>
      <w:r w:rsidRPr="00FC5E69">
        <w:t>https://s3-eu-west-1.amazonaws.com/hwb-live-storage/a8/9c/a8/ee/f299432c801d025d875da415/observing-children.pdf</w:t>
      </w:r>
      <w:r>
        <w:t>. (Accessed: 14th October 2019).</w:t>
      </w:r>
    </w:p>
    <w:p w14:paraId="6D917449" w14:textId="77777777" w:rsidR="00F03B88" w:rsidRDefault="00F03B88" w:rsidP="00F03B88">
      <w:pPr>
        <w:pStyle w:val="AssignBody"/>
      </w:pPr>
      <w:r>
        <w:t xml:space="preserve">Donaldson, G. (2015) </w:t>
      </w:r>
      <w:r>
        <w:rPr>
          <w:i/>
        </w:rPr>
        <w:t xml:space="preserve">Independent Review of Curriculum and Assessment Arrangements in Wales. </w:t>
      </w:r>
      <w:r>
        <w:t xml:space="preserve">Available at: </w:t>
      </w:r>
      <w:r w:rsidRPr="002D7570">
        <w:t>https://gov.wales/sites/default/files/publications/2018-03/successful-futures.pdf</w:t>
      </w:r>
      <w:r>
        <w:t>. (Accessed: 15th October 2019).</w:t>
      </w:r>
    </w:p>
    <w:p w14:paraId="00270BE2" w14:textId="77777777" w:rsidR="00F03B88" w:rsidRDefault="00F03B88" w:rsidP="00F03B88">
      <w:pPr>
        <w:pStyle w:val="AssignBody"/>
      </w:pPr>
      <w:r>
        <w:t xml:space="preserve">Donaldson, M. (1978) </w:t>
      </w:r>
      <w:r>
        <w:rPr>
          <w:i/>
        </w:rPr>
        <w:t>Children’s Minds.</w:t>
      </w:r>
      <w:r>
        <w:t xml:space="preserve"> London: Fontana Press. </w:t>
      </w:r>
    </w:p>
    <w:p w14:paraId="74FF9E36" w14:textId="77777777" w:rsidR="00F03B88" w:rsidRDefault="00F03B88" w:rsidP="00F03B88">
      <w:pPr>
        <w:pStyle w:val="AssignBody"/>
      </w:pPr>
      <w:r>
        <w:t xml:space="preserve">Dweck, C.S. (2012) </w:t>
      </w:r>
      <w:r>
        <w:rPr>
          <w:i/>
        </w:rPr>
        <w:t xml:space="preserve">Mindset </w:t>
      </w:r>
      <w:r>
        <w:t xml:space="preserve">London: Robinson. </w:t>
      </w:r>
    </w:p>
    <w:p w14:paraId="0D6577E8" w14:textId="77777777" w:rsidR="00F03B88" w:rsidRPr="0001012C" w:rsidRDefault="00F03B88" w:rsidP="00F03B88">
      <w:pPr>
        <w:pStyle w:val="AssignBody"/>
      </w:pPr>
      <w:r>
        <w:t xml:space="preserve">Dweck, C.S. (2015) ‘Carol Dweck Revisits the ‘Growth Mindset’’, </w:t>
      </w:r>
      <w:r>
        <w:rPr>
          <w:i/>
        </w:rPr>
        <w:t xml:space="preserve">Education Week, </w:t>
      </w:r>
      <w:r>
        <w:t xml:space="preserve">35(5) pp. 20-24. </w:t>
      </w:r>
    </w:p>
    <w:p w14:paraId="08B5AB91" w14:textId="77777777" w:rsidR="00F03B88" w:rsidRDefault="00F03B88" w:rsidP="00F03B88">
      <w:pPr>
        <w:pStyle w:val="AssignBody"/>
      </w:pPr>
      <w:r>
        <w:t xml:space="preserve">Estyn. (2018) </w:t>
      </w:r>
      <w:r>
        <w:rPr>
          <w:i/>
        </w:rPr>
        <w:t xml:space="preserve">A Report on School X. </w:t>
      </w:r>
      <w:r>
        <w:t xml:space="preserve">Avaliable at: </w:t>
      </w:r>
      <w:r w:rsidRPr="00F150D6">
        <w:t>https://www.estyn.gov.wales/sites/www.estyn.gov.wales/files/documents/</w:t>
      </w:r>
      <w:r w:rsidRPr="00F150D6">
        <w:rPr>
          <w:highlight w:val="black"/>
        </w:rPr>
        <w:t>Penyrheol%20Comprehensive%20School</w:t>
      </w:r>
      <w:r w:rsidRPr="00F150D6">
        <w:t>.pdf</w:t>
      </w:r>
      <w:r>
        <w:t xml:space="preserve"> (Accessed: 14</w:t>
      </w:r>
      <w:r w:rsidRPr="00F150D6">
        <w:rPr>
          <w:vertAlign w:val="superscript"/>
        </w:rPr>
        <w:t>th</w:t>
      </w:r>
      <w:r>
        <w:t xml:space="preserve"> October 2019).</w:t>
      </w:r>
    </w:p>
    <w:p w14:paraId="3C839A90" w14:textId="77777777" w:rsidR="00F03B88" w:rsidRPr="00AD39EB" w:rsidRDefault="00F03B88" w:rsidP="00F03B88">
      <w:pPr>
        <w:pStyle w:val="AssignBody"/>
      </w:pPr>
      <w:r>
        <w:t xml:space="preserve">Fook, J. (2015) ‘Reflective Practice and Critical Reflection’, in Lishman, J. (ed.) </w:t>
      </w:r>
      <w:r>
        <w:rPr>
          <w:i/>
        </w:rPr>
        <w:t xml:space="preserve">Handbook for Practice Learning in Social Work and Social Care. </w:t>
      </w:r>
      <w:r>
        <w:t>London: Jessica Kingsley.</w:t>
      </w:r>
    </w:p>
    <w:p w14:paraId="1FCD6BB1" w14:textId="77777777" w:rsidR="00F03B88" w:rsidRDefault="00F03B88" w:rsidP="00F03B88">
      <w:pPr>
        <w:pStyle w:val="AssignBody"/>
      </w:pPr>
      <w:r>
        <w:t xml:space="preserve">Harding, J. and Meldon-Smith, L. (2000) </w:t>
      </w:r>
      <w:r>
        <w:rPr>
          <w:i/>
        </w:rPr>
        <w:t xml:space="preserve">How to make Observations &amp; Assessments. </w:t>
      </w:r>
      <w:r>
        <w:t>2</w:t>
      </w:r>
      <w:r w:rsidRPr="00C36C87">
        <w:rPr>
          <w:vertAlign w:val="superscript"/>
        </w:rPr>
        <w:t>nd</w:t>
      </w:r>
      <w:r>
        <w:t xml:space="preserve"> Ed. Oxon: Hodder &amp; Stoughton.</w:t>
      </w:r>
    </w:p>
    <w:p w14:paraId="26A935ED" w14:textId="77777777" w:rsidR="00F03B88" w:rsidRPr="005370CD" w:rsidRDefault="00F03B88" w:rsidP="00F03B88">
      <w:pPr>
        <w:pStyle w:val="AssignBody"/>
      </w:pPr>
      <w:r>
        <w:t xml:space="preserve">Jordan, A. Carlile, O. and Stack, A. (2009) </w:t>
      </w:r>
      <w:r>
        <w:rPr>
          <w:i/>
        </w:rPr>
        <w:t xml:space="preserve">Approaches to Learning. </w:t>
      </w:r>
      <w:r>
        <w:t>Maidenhead: Open University Press.</w:t>
      </w:r>
    </w:p>
    <w:p w14:paraId="448689A8" w14:textId="77777777" w:rsidR="00F03B88" w:rsidRPr="0094292F" w:rsidRDefault="00F03B88" w:rsidP="00F03B88">
      <w:pPr>
        <w:pStyle w:val="AssignBody"/>
      </w:pPr>
      <w:r>
        <w:t xml:space="preserve">Kumar, R. (2014) </w:t>
      </w:r>
      <w:r>
        <w:rPr>
          <w:i/>
        </w:rPr>
        <w:t xml:space="preserve">Research Methodology. </w:t>
      </w:r>
      <w:r>
        <w:t xml:space="preserve">London: Sage. </w:t>
      </w:r>
    </w:p>
    <w:p w14:paraId="785BD396" w14:textId="77777777" w:rsidR="00F03B88" w:rsidRDefault="00F03B88" w:rsidP="00F03B88">
      <w:pPr>
        <w:pStyle w:val="AssignBody"/>
      </w:pPr>
      <w:r>
        <w:t xml:space="preserve">Mertler, C.A. (2014) </w:t>
      </w:r>
      <w:r>
        <w:rPr>
          <w:i/>
        </w:rPr>
        <w:t>Action Research</w:t>
      </w:r>
      <w:r>
        <w:t xml:space="preserve"> 4</w:t>
      </w:r>
      <w:r w:rsidRPr="00D738CA">
        <w:rPr>
          <w:vertAlign w:val="superscript"/>
        </w:rPr>
        <w:t>th</w:t>
      </w:r>
      <w:r>
        <w:t xml:space="preserve"> Ed. London: Sage. </w:t>
      </w:r>
    </w:p>
    <w:p w14:paraId="75D10E5C" w14:textId="77777777" w:rsidR="00F03B88" w:rsidRDefault="00F03B88" w:rsidP="00F03B88">
      <w:pPr>
        <w:pStyle w:val="AssignBody"/>
      </w:pPr>
      <w:r>
        <w:t xml:space="preserve">Payne, G. Payne, J. (2004) </w:t>
      </w:r>
      <w:r>
        <w:rPr>
          <w:i/>
        </w:rPr>
        <w:t>Key Concepts in Social Research.</w:t>
      </w:r>
      <w:r>
        <w:t xml:space="preserve"> London: Sage. </w:t>
      </w:r>
    </w:p>
    <w:p w14:paraId="7020DCC6" w14:textId="77777777" w:rsidR="00F03B88" w:rsidRDefault="00F03B88" w:rsidP="00F03B88">
      <w:pPr>
        <w:pStyle w:val="AssignBody"/>
      </w:pPr>
      <w:r>
        <w:t xml:space="preserve">Pritchard, A. and Woollard, J. (2010) </w:t>
      </w:r>
      <w:r>
        <w:rPr>
          <w:i/>
        </w:rPr>
        <w:t xml:space="preserve">Psychology for the Classroom: Constructivism and Social Learning. </w:t>
      </w:r>
      <w:r>
        <w:t>Oxon: Routledge.</w:t>
      </w:r>
    </w:p>
    <w:p w14:paraId="37C293C9" w14:textId="77777777" w:rsidR="00F03B88" w:rsidRDefault="00F03B88" w:rsidP="00F03B88">
      <w:pPr>
        <w:pStyle w:val="AssignBody"/>
      </w:pPr>
      <w:r>
        <w:t xml:space="preserve">Pritchard, A (2005) </w:t>
      </w:r>
      <w:r>
        <w:rPr>
          <w:i/>
        </w:rPr>
        <w:t xml:space="preserve">Ways of Learning. </w:t>
      </w:r>
      <w:r>
        <w:t>London: David Fulton Publishers.</w:t>
      </w:r>
    </w:p>
    <w:p w14:paraId="3EAC699A" w14:textId="77777777" w:rsidR="00F03B88" w:rsidRDefault="00F03B88" w:rsidP="00F03B88">
      <w:pPr>
        <w:pStyle w:val="AssignBody"/>
      </w:pPr>
      <w:r>
        <w:t xml:space="preserve">Sharman, C. Cross, W. and Vennis, D. (2007) </w:t>
      </w:r>
      <w:r>
        <w:rPr>
          <w:i/>
        </w:rPr>
        <w:t>Observing Children and young People.</w:t>
      </w:r>
      <w:r>
        <w:t xml:space="preserve"> 4</w:t>
      </w:r>
      <w:r w:rsidRPr="001167FA">
        <w:rPr>
          <w:vertAlign w:val="superscript"/>
        </w:rPr>
        <w:t>th</w:t>
      </w:r>
      <w:r>
        <w:t xml:space="preserve"> Ed. London: Continuum.</w:t>
      </w:r>
    </w:p>
    <w:p w14:paraId="775BFBC7" w14:textId="77777777" w:rsidR="00F03B88" w:rsidRDefault="00F03B88" w:rsidP="00F03B88">
      <w:pPr>
        <w:pStyle w:val="AssignBody"/>
      </w:pPr>
      <w:r>
        <w:t xml:space="preserve">Sherrington, T. (2019) </w:t>
      </w:r>
      <w:r>
        <w:rPr>
          <w:i/>
        </w:rPr>
        <w:t xml:space="preserve">Rosenshine’s Principles in Action, </w:t>
      </w:r>
      <w:r>
        <w:t>Woodbridge: John Catt.</w:t>
      </w:r>
    </w:p>
    <w:p w14:paraId="1ED70266" w14:textId="77777777" w:rsidR="00F03B88" w:rsidRPr="000221D8" w:rsidRDefault="00F03B88" w:rsidP="00F03B88">
      <w:pPr>
        <w:pStyle w:val="AssignBody"/>
      </w:pPr>
      <w:r>
        <w:t xml:space="preserve">Snyder, C.R. (1999) </w:t>
      </w:r>
      <w:r>
        <w:rPr>
          <w:i/>
        </w:rPr>
        <w:t xml:space="preserve">Coping: The Psychology of What Works, </w:t>
      </w:r>
      <w:r>
        <w:t xml:space="preserve">Oxford: Oxford University Press. </w:t>
      </w:r>
    </w:p>
    <w:p w14:paraId="3983B555" w14:textId="77777777" w:rsidR="00F03B88" w:rsidRDefault="00F03B88" w:rsidP="00F03B88">
      <w:pPr>
        <w:pStyle w:val="AssignBody"/>
      </w:pPr>
      <w:r>
        <w:t xml:space="preserve">Tripp, D. (2012) </w:t>
      </w:r>
      <w:r>
        <w:rPr>
          <w:i/>
        </w:rPr>
        <w:t xml:space="preserve">Critical Incidents in Teaching. </w:t>
      </w:r>
      <w:r>
        <w:t>Classic Ed. Oxon: Routledge.</w:t>
      </w:r>
    </w:p>
    <w:p w14:paraId="0CD05327" w14:textId="77777777" w:rsidR="00F03B88" w:rsidRDefault="00F03B88" w:rsidP="00F03B88">
      <w:pPr>
        <w:pStyle w:val="AssignBody"/>
      </w:pPr>
      <w:r>
        <w:t xml:space="preserve">Welsh Government (2017a) </w:t>
      </w:r>
      <w:r>
        <w:rPr>
          <w:i/>
        </w:rPr>
        <w:t xml:space="preserve">Education in Wales: Our National Mission. </w:t>
      </w:r>
      <w:r>
        <w:t xml:space="preserve">Available at: </w:t>
      </w:r>
      <w:r w:rsidRPr="00EE645D">
        <w:t>https://gov.wales/sites/default/files/publications/2018-03/education-in-wales-our-national-mission.pdf</w:t>
      </w:r>
      <w:r>
        <w:t xml:space="preserve"> (Accessed: 28th October 2019).</w:t>
      </w:r>
    </w:p>
    <w:p w14:paraId="2F12A768" w14:textId="77777777" w:rsidR="00F03B88" w:rsidRPr="006D16C8" w:rsidRDefault="00F03B88" w:rsidP="00F03B88">
      <w:pPr>
        <w:pStyle w:val="AssignBody"/>
      </w:pPr>
      <w:r>
        <w:t xml:space="preserve">Welsh Government (2017b) </w:t>
      </w:r>
      <w:r>
        <w:rPr>
          <w:i/>
        </w:rPr>
        <w:t xml:space="preserve">Proffessional Standards for Teaching and Leadership. </w:t>
      </w:r>
      <w:r>
        <w:t xml:space="preserve">Available at: </w:t>
      </w:r>
      <w:r w:rsidRPr="006D16C8">
        <w:t>http://s3-eu-west-1.amazonaws.com/hwb-live-storage/fc/a7/a4/e2/e348428381e68434ea93f611/professional-standards-for-teaching-and-leadership-interactive-pdf-for-pc.pdf</w:t>
      </w:r>
      <w:r>
        <w:t>. (Accessed 28th October 2019).</w:t>
      </w:r>
    </w:p>
    <w:p w14:paraId="79AD0902" w14:textId="77777777" w:rsidR="00F03B88" w:rsidRDefault="00F03B88" w:rsidP="00F03B88">
      <w:pPr>
        <w:pStyle w:val="AssignBody"/>
      </w:pPr>
      <w:r>
        <w:t xml:space="preserve">Welsh Government (2018) </w:t>
      </w:r>
      <w:r>
        <w:rPr>
          <w:i/>
        </w:rPr>
        <w:t xml:space="preserve">My Local School. </w:t>
      </w:r>
      <w:r>
        <w:t xml:space="preserve">Available at: </w:t>
      </w:r>
      <w:r w:rsidRPr="00F150D6">
        <w:t>http://mylocalschool.gov.wales/School/6704062?lang=en</w:t>
      </w:r>
      <w:r>
        <w:t xml:space="preserve"> (Accessed: 12th October 2019).</w:t>
      </w:r>
    </w:p>
    <w:p w14:paraId="7E3F95D2" w14:textId="77777777" w:rsidR="00F03B88" w:rsidRPr="00C16BB9" w:rsidRDefault="00F03B88" w:rsidP="00F03B88">
      <w:pPr>
        <w:pStyle w:val="AssignBody"/>
      </w:pPr>
      <w:r>
        <w:t xml:space="preserve">Willingham, D.T. (2009) </w:t>
      </w:r>
      <w:r>
        <w:rPr>
          <w:i/>
        </w:rPr>
        <w:t xml:space="preserve">Why Don’t Students Like School: A Cognitive Scientist Answers Questions About How the Mind Works and What It Means for the Classroom, </w:t>
      </w:r>
      <w:r>
        <w:t>San Fransisco: Wiley.</w:t>
      </w:r>
    </w:p>
    <w:p w14:paraId="28DF96E5" w14:textId="77777777" w:rsidR="00F03B88" w:rsidRDefault="00F03B88" w:rsidP="00331D42">
      <w:pPr>
        <w:pStyle w:val="AssignBody"/>
        <w:rPr>
          <w:b/>
          <w:i/>
          <w:sz w:val="28"/>
          <w:szCs w:val="28"/>
        </w:rPr>
      </w:pPr>
    </w:p>
    <w:p w14:paraId="6863A27B" w14:textId="77777777" w:rsidR="00F03B88" w:rsidRDefault="00F03B88" w:rsidP="00331D42">
      <w:pPr>
        <w:pStyle w:val="AssignBody"/>
        <w:rPr>
          <w:b/>
          <w:i/>
          <w:sz w:val="28"/>
          <w:szCs w:val="28"/>
        </w:rPr>
      </w:pPr>
    </w:p>
    <w:p w14:paraId="515D3900" w14:textId="77777777" w:rsidR="00F03B88" w:rsidRDefault="00F03B88" w:rsidP="00331D42">
      <w:pPr>
        <w:pStyle w:val="AssignBody"/>
        <w:rPr>
          <w:b/>
          <w:i/>
          <w:sz w:val="28"/>
          <w:szCs w:val="28"/>
        </w:rPr>
      </w:pPr>
    </w:p>
    <w:p w14:paraId="0060998F" w14:textId="77777777" w:rsidR="00F03B88" w:rsidRDefault="00F03B88" w:rsidP="00331D42">
      <w:pPr>
        <w:pStyle w:val="AssignBody"/>
        <w:rPr>
          <w:b/>
          <w:i/>
          <w:sz w:val="28"/>
          <w:szCs w:val="28"/>
        </w:rPr>
      </w:pPr>
    </w:p>
    <w:p w14:paraId="14EFAD49" w14:textId="77777777" w:rsidR="00F03B88" w:rsidRDefault="00F03B88" w:rsidP="00331D42">
      <w:pPr>
        <w:pStyle w:val="AssignBody"/>
        <w:rPr>
          <w:b/>
          <w:i/>
          <w:sz w:val="28"/>
          <w:szCs w:val="28"/>
        </w:rPr>
      </w:pPr>
    </w:p>
    <w:p w14:paraId="49D7950C" w14:textId="77777777" w:rsidR="00F03B88" w:rsidRDefault="00F03B88" w:rsidP="00331D42">
      <w:pPr>
        <w:pStyle w:val="AssignBody"/>
        <w:rPr>
          <w:b/>
          <w:i/>
          <w:sz w:val="28"/>
          <w:szCs w:val="28"/>
        </w:rPr>
      </w:pPr>
    </w:p>
    <w:p w14:paraId="6E7DD929" w14:textId="77777777" w:rsidR="00F03B88" w:rsidRDefault="00F03B88" w:rsidP="00331D42">
      <w:pPr>
        <w:pStyle w:val="AssignBody"/>
        <w:rPr>
          <w:b/>
          <w:i/>
          <w:sz w:val="28"/>
          <w:szCs w:val="28"/>
        </w:rPr>
      </w:pPr>
    </w:p>
    <w:p w14:paraId="6D00EA36" w14:textId="77777777" w:rsidR="00F03B88" w:rsidRDefault="00F03B88" w:rsidP="00331D42">
      <w:pPr>
        <w:pStyle w:val="AssignBody"/>
        <w:rPr>
          <w:b/>
          <w:i/>
          <w:sz w:val="28"/>
          <w:szCs w:val="28"/>
        </w:rPr>
      </w:pPr>
    </w:p>
    <w:p w14:paraId="5725FE3F" w14:textId="77777777" w:rsidR="00F03B88" w:rsidRDefault="00F03B88" w:rsidP="00331D42">
      <w:pPr>
        <w:pStyle w:val="AssignBody"/>
        <w:rPr>
          <w:b/>
          <w:i/>
          <w:sz w:val="28"/>
          <w:szCs w:val="28"/>
        </w:rPr>
      </w:pPr>
    </w:p>
    <w:p w14:paraId="67978EA0" w14:textId="77777777" w:rsidR="00F03B88" w:rsidRDefault="00F03B88" w:rsidP="00331D42">
      <w:pPr>
        <w:pStyle w:val="AssignBody"/>
        <w:rPr>
          <w:b/>
          <w:i/>
          <w:sz w:val="28"/>
          <w:szCs w:val="28"/>
        </w:rPr>
      </w:pPr>
    </w:p>
    <w:p w14:paraId="3C4784DD" w14:textId="77777777" w:rsidR="00F03B88" w:rsidRDefault="00F03B88" w:rsidP="00331D42">
      <w:pPr>
        <w:pStyle w:val="AssignBody"/>
        <w:rPr>
          <w:b/>
          <w:i/>
          <w:sz w:val="28"/>
          <w:szCs w:val="28"/>
        </w:rPr>
      </w:pPr>
    </w:p>
    <w:p w14:paraId="1EC0EBFA" w14:textId="77777777" w:rsidR="00F03B88" w:rsidRDefault="00F03B88" w:rsidP="00331D42">
      <w:pPr>
        <w:pStyle w:val="AssignBody"/>
        <w:rPr>
          <w:b/>
          <w:i/>
          <w:sz w:val="28"/>
          <w:szCs w:val="28"/>
        </w:rPr>
      </w:pPr>
    </w:p>
    <w:p w14:paraId="6A29998E" w14:textId="77777777" w:rsidR="00F03B88" w:rsidRDefault="00F03B88" w:rsidP="00331D42">
      <w:pPr>
        <w:pStyle w:val="AssignBody"/>
        <w:rPr>
          <w:b/>
          <w:i/>
          <w:sz w:val="28"/>
          <w:szCs w:val="28"/>
        </w:rPr>
      </w:pPr>
    </w:p>
    <w:p w14:paraId="58F4BE37" w14:textId="77777777" w:rsidR="00F03B88" w:rsidRDefault="00F03B88" w:rsidP="00331D42">
      <w:pPr>
        <w:pStyle w:val="AssignBody"/>
        <w:rPr>
          <w:b/>
          <w:i/>
          <w:sz w:val="28"/>
          <w:szCs w:val="28"/>
        </w:rPr>
      </w:pPr>
    </w:p>
    <w:p w14:paraId="403237D2" w14:textId="77777777" w:rsidR="00F03B88" w:rsidRDefault="00F03B88" w:rsidP="00331D42">
      <w:pPr>
        <w:pStyle w:val="AssignBody"/>
        <w:rPr>
          <w:b/>
          <w:i/>
          <w:sz w:val="28"/>
          <w:szCs w:val="28"/>
        </w:rPr>
      </w:pPr>
    </w:p>
    <w:p w14:paraId="61944615" w14:textId="77777777" w:rsidR="00F03B88" w:rsidRDefault="00F03B88" w:rsidP="00331D42">
      <w:pPr>
        <w:pStyle w:val="AssignBody"/>
        <w:rPr>
          <w:b/>
          <w:i/>
          <w:sz w:val="28"/>
          <w:szCs w:val="28"/>
        </w:rPr>
      </w:pPr>
    </w:p>
    <w:p w14:paraId="073EF742" w14:textId="4093D451" w:rsidR="00331D42" w:rsidRDefault="00331D42" w:rsidP="00331D42">
      <w:pPr>
        <w:pStyle w:val="AssignBody"/>
        <w:rPr>
          <w:b/>
          <w:i/>
          <w:sz w:val="28"/>
          <w:szCs w:val="28"/>
        </w:rPr>
      </w:pPr>
      <w:r>
        <w:rPr>
          <w:b/>
          <w:i/>
          <w:sz w:val="28"/>
          <w:szCs w:val="28"/>
        </w:rPr>
        <w:t>Appendices</w:t>
      </w:r>
    </w:p>
    <w:p w14:paraId="1F9D68AB" w14:textId="77777777" w:rsidR="00F03B88" w:rsidRDefault="00F03B88" w:rsidP="00331D42">
      <w:pPr>
        <w:pStyle w:val="AssignBody"/>
        <w:rPr>
          <w:b/>
          <w:i/>
          <w:sz w:val="28"/>
          <w:szCs w:val="28"/>
        </w:rPr>
      </w:pPr>
    </w:p>
    <w:p w14:paraId="74C53991" w14:textId="77777777" w:rsidR="00F03B88" w:rsidRDefault="00F03B88" w:rsidP="00331D42">
      <w:pPr>
        <w:pStyle w:val="AssignBody"/>
        <w:rPr>
          <w:b/>
          <w:i/>
          <w:sz w:val="28"/>
          <w:szCs w:val="28"/>
        </w:rPr>
      </w:pPr>
    </w:p>
    <w:p w14:paraId="4D3E5A86" w14:textId="77777777" w:rsidR="00F03B88" w:rsidRDefault="00F03B88" w:rsidP="00331D42">
      <w:pPr>
        <w:pStyle w:val="AssignBody"/>
        <w:rPr>
          <w:b/>
          <w:i/>
          <w:sz w:val="28"/>
          <w:szCs w:val="28"/>
        </w:rPr>
      </w:pPr>
    </w:p>
    <w:p w14:paraId="6C23A16A" w14:textId="77777777" w:rsidR="00F03B88" w:rsidRDefault="00F03B88" w:rsidP="00331D42">
      <w:pPr>
        <w:pStyle w:val="AssignBody"/>
        <w:rPr>
          <w:b/>
          <w:i/>
          <w:sz w:val="28"/>
          <w:szCs w:val="28"/>
        </w:rPr>
      </w:pPr>
    </w:p>
    <w:p w14:paraId="2DF45E70" w14:textId="77777777" w:rsidR="00F03B88" w:rsidRDefault="00F03B88" w:rsidP="00331D42">
      <w:pPr>
        <w:pStyle w:val="AssignBody"/>
        <w:rPr>
          <w:b/>
          <w:i/>
          <w:sz w:val="28"/>
          <w:szCs w:val="28"/>
        </w:rPr>
      </w:pPr>
    </w:p>
    <w:p w14:paraId="12D7BD24" w14:textId="77777777" w:rsidR="00F03B88" w:rsidRDefault="00F03B88" w:rsidP="00331D42">
      <w:pPr>
        <w:pStyle w:val="AssignBody"/>
        <w:rPr>
          <w:b/>
          <w:i/>
          <w:sz w:val="28"/>
          <w:szCs w:val="28"/>
        </w:rPr>
      </w:pPr>
    </w:p>
    <w:p w14:paraId="797FC85F" w14:textId="77777777" w:rsidR="00F03B88" w:rsidRDefault="00F03B88" w:rsidP="00331D42">
      <w:pPr>
        <w:pStyle w:val="AssignBody"/>
        <w:rPr>
          <w:b/>
          <w:i/>
          <w:sz w:val="28"/>
          <w:szCs w:val="28"/>
        </w:rPr>
      </w:pPr>
    </w:p>
    <w:p w14:paraId="3636CA7D" w14:textId="77777777" w:rsidR="00F03B88" w:rsidRDefault="00F03B88" w:rsidP="00331D42">
      <w:pPr>
        <w:pStyle w:val="AssignBody"/>
        <w:rPr>
          <w:b/>
          <w:i/>
          <w:sz w:val="28"/>
          <w:szCs w:val="28"/>
        </w:rPr>
      </w:pPr>
    </w:p>
    <w:p w14:paraId="6F02FF7D" w14:textId="77777777" w:rsidR="00F03B88" w:rsidRDefault="00F03B88" w:rsidP="00331D42">
      <w:pPr>
        <w:pStyle w:val="AssignBody"/>
        <w:rPr>
          <w:b/>
          <w:i/>
          <w:sz w:val="28"/>
          <w:szCs w:val="28"/>
        </w:rPr>
      </w:pPr>
    </w:p>
    <w:p w14:paraId="611055B2" w14:textId="77777777" w:rsidR="00F03B88" w:rsidRDefault="00F03B88" w:rsidP="00331D42">
      <w:pPr>
        <w:pStyle w:val="AssignBody"/>
        <w:rPr>
          <w:b/>
          <w:i/>
          <w:sz w:val="28"/>
          <w:szCs w:val="28"/>
        </w:rPr>
      </w:pPr>
    </w:p>
    <w:p w14:paraId="4AB46E19" w14:textId="77777777" w:rsidR="00F03B88" w:rsidRDefault="00F03B88" w:rsidP="00331D42">
      <w:pPr>
        <w:pStyle w:val="AssignBody"/>
        <w:rPr>
          <w:b/>
          <w:i/>
          <w:sz w:val="28"/>
          <w:szCs w:val="28"/>
        </w:rPr>
      </w:pPr>
    </w:p>
    <w:p w14:paraId="06F08629" w14:textId="77777777" w:rsidR="00F03B88" w:rsidRDefault="00F03B88" w:rsidP="00331D42">
      <w:pPr>
        <w:pStyle w:val="AssignBody"/>
        <w:rPr>
          <w:b/>
          <w:i/>
          <w:sz w:val="28"/>
          <w:szCs w:val="28"/>
        </w:rPr>
      </w:pPr>
    </w:p>
    <w:p w14:paraId="54577489" w14:textId="77777777" w:rsidR="00F03B88" w:rsidRDefault="00F03B88" w:rsidP="00331D42">
      <w:pPr>
        <w:pStyle w:val="AssignBody"/>
        <w:rPr>
          <w:b/>
          <w:i/>
          <w:sz w:val="28"/>
          <w:szCs w:val="28"/>
        </w:rPr>
      </w:pPr>
    </w:p>
    <w:p w14:paraId="3A1E9AF7" w14:textId="77777777" w:rsidR="00F03B88" w:rsidRDefault="00F03B88" w:rsidP="00331D42">
      <w:pPr>
        <w:pStyle w:val="AssignBody"/>
        <w:rPr>
          <w:b/>
          <w:i/>
          <w:sz w:val="28"/>
          <w:szCs w:val="28"/>
        </w:rPr>
      </w:pPr>
    </w:p>
    <w:p w14:paraId="432BBE7C" w14:textId="77777777" w:rsidR="00F03B88" w:rsidRDefault="00F03B88" w:rsidP="00331D42">
      <w:pPr>
        <w:pStyle w:val="AssignBody"/>
        <w:rPr>
          <w:b/>
          <w:i/>
          <w:sz w:val="28"/>
          <w:szCs w:val="28"/>
        </w:rPr>
      </w:pPr>
    </w:p>
    <w:p w14:paraId="00378334" w14:textId="77777777" w:rsidR="00F03B88" w:rsidRDefault="00F03B88" w:rsidP="00331D42">
      <w:pPr>
        <w:pStyle w:val="AssignBody"/>
        <w:rPr>
          <w:b/>
          <w:i/>
          <w:sz w:val="28"/>
          <w:szCs w:val="28"/>
        </w:rPr>
      </w:pPr>
    </w:p>
    <w:p w14:paraId="6CB1016F" w14:textId="77777777" w:rsidR="00F03B88" w:rsidRDefault="00F03B88" w:rsidP="00331D42">
      <w:pPr>
        <w:pStyle w:val="AssignBody"/>
        <w:rPr>
          <w:b/>
          <w:i/>
          <w:sz w:val="28"/>
          <w:szCs w:val="28"/>
        </w:rPr>
      </w:pPr>
    </w:p>
    <w:p w14:paraId="5D90EB39" w14:textId="77777777" w:rsidR="00F03B88" w:rsidRDefault="00F03B88" w:rsidP="00331D42">
      <w:pPr>
        <w:pStyle w:val="AssignBody"/>
        <w:rPr>
          <w:b/>
          <w:i/>
          <w:sz w:val="28"/>
          <w:szCs w:val="28"/>
        </w:rPr>
      </w:pPr>
    </w:p>
    <w:p w14:paraId="1B9CC127" w14:textId="77777777" w:rsidR="00F03B88" w:rsidRDefault="00F03B88" w:rsidP="00331D42">
      <w:pPr>
        <w:pStyle w:val="AssignBody"/>
        <w:rPr>
          <w:b/>
          <w:i/>
          <w:sz w:val="28"/>
          <w:szCs w:val="28"/>
        </w:rPr>
      </w:pPr>
    </w:p>
    <w:p w14:paraId="67AAA7AB" w14:textId="77777777" w:rsidR="00F03B88" w:rsidRDefault="00F03B88" w:rsidP="00331D42">
      <w:pPr>
        <w:pStyle w:val="AssignBody"/>
        <w:rPr>
          <w:b/>
          <w:i/>
          <w:sz w:val="28"/>
          <w:szCs w:val="28"/>
        </w:rPr>
      </w:pPr>
    </w:p>
    <w:p w14:paraId="18EF354C" w14:textId="77777777" w:rsidR="00F03B88" w:rsidRDefault="00F03B88" w:rsidP="00331D42">
      <w:pPr>
        <w:pStyle w:val="AssignBody"/>
        <w:rPr>
          <w:b/>
          <w:i/>
          <w:sz w:val="28"/>
          <w:szCs w:val="28"/>
        </w:rPr>
      </w:pPr>
    </w:p>
    <w:p w14:paraId="2BDC66D9" w14:textId="77777777" w:rsidR="00F03B88" w:rsidRDefault="00F03B88" w:rsidP="00331D42">
      <w:pPr>
        <w:pStyle w:val="AssignBody"/>
        <w:rPr>
          <w:b/>
          <w:i/>
          <w:sz w:val="28"/>
          <w:szCs w:val="28"/>
        </w:rPr>
      </w:pPr>
    </w:p>
    <w:p w14:paraId="41625C30" w14:textId="77777777" w:rsidR="00F03B88" w:rsidRDefault="00F03B88" w:rsidP="00331D42">
      <w:pPr>
        <w:pStyle w:val="AssignBody"/>
        <w:rPr>
          <w:b/>
          <w:i/>
          <w:sz w:val="28"/>
          <w:szCs w:val="28"/>
        </w:rPr>
      </w:pPr>
    </w:p>
    <w:p w14:paraId="7577709B" w14:textId="77777777" w:rsidR="00F03B88" w:rsidRDefault="00F03B88" w:rsidP="00331D42">
      <w:pPr>
        <w:pStyle w:val="AssignBody"/>
        <w:rPr>
          <w:b/>
          <w:i/>
          <w:sz w:val="28"/>
          <w:szCs w:val="28"/>
        </w:rPr>
      </w:pPr>
    </w:p>
    <w:p w14:paraId="5E12E5E1" w14:textId="1609DCCE" w:rsidR="00F03B88" w:rsidRPr="00331D42" w:rsidRDefault="00F03B88" w:rsidP="00331D42">
      <w:pPr>
        <w:pStyle w:val="AssignBody"/>
        <w:rPr>
          <w:b/>
          <w:i/>
          <w:sz w:val="28"/>
          <w:szCs w:val="28"/>
        </w:rPr>
      </w:pPr>
      <w:r>
        <w:rPr>
          <w:b/>
          <w:i/>
          <w:sz w:val="28"/>
          <w:szCs w:val="28"/>
        </w:rPr>
        <w:t>References</w:t>
      </w:r>
    </w:p>
    <w:p w14:paraId="2B4A6516" w14:textId="45F9B321" w:rsidR="00331D42" w:rsidRDefault="00CC2AB0" w:rsidP="00331D42">
      <w:pPr>
        <w:pStyle w:val="AssignBody"/>
      </w:pPr>
      <w:r>
        <w:t xml:space="preserve">BERA, (2018) </w:t>
      </w:r>
      <w:r>
        <w:rPr>
          <w:i/>
        </w:rPr>
        <w:t>Ethical Guidelines for Educational Research.</w:t>
      </w:r>
      <w:r>
        <w:t xml:space="preserve"> Available at </w:t>
      </w:r>
      <w:r w:rsidRPr="00F150D6">
        <w:t>https://www.bera.ac.uk/publication/ethical-guidelines-for-educational-research-2018-online</w:t>
      </w:r>
      <w:r w:rsidR="00AA640C">
        <w:t xml:space="preserve"> (Accessed: 12th October 20</w:t>
      </w:r>
      <w:r>
        <w:t>19).</w:t>
      </w:r>
    </w:p>
    <w:p w14:paraId="71DADB41" w14:textId="1597E6FD" w:rsidR="00A407D9" w:rsidRPr="00B13AFB" w:rsidRDefault="00A407D9" w:rsidP="00331D42">
      <w:pPr>
        <w:pStyle w:val="AssignBody"/>
      </w:pPr>
      <w:r>
        <w:t xml:space="preserve">Brydon-Miller, </w:t>
      </w:r>
      <w:r w:rsidR="00B13AFB">
        <w:t xml:space="preserve">M. (2003) ‘Why Action Research’ </w:t>
      </w:r>
      <w:r w:rsidR="00B13AFB">
        <w:rPr>
          <w:i/>
        </w:rPr>
        <w:t xml:space="preserve">Action Research, </w:t>
      </w:r>
      <w:r w:rsidR="00B13AFB">
        <w:t xml:space="preserve">1(1) pp. 9-28, </w:t>
      </w:r>
      <w:r w:rsidR="00CF5E68">
        <w:t>(</w:t>
      </w:r>
      <w:r w:rsidR="00B13AFB">
        <w:t>Accessed 14</w:t>
      </w:r>
      <w:r w:rsidR="00B13AFB">
        <w:rPr>
          <w:vertAlign w:val="superscript"/>
        </w:rPr>
        <w:t xml:space="preserve">th </w:t>
      </w:r>
      <w:r w:rsidR="00B13AFB">
        <w:t>October 2019</w:t>
      </w:r>
      <w:r w:rsidR="00CF5E68">
        <w:t>)</w:t>
      </w:r>
      <w:r w:rsidR="00B13AFB">
        <w:t>, DOI: 034201[1476-750</w:t>
      </w:r>
      <w:r w:rsidR="00DD54AC">
        <w:t>3(200307)1:1]</w:t>
      </w:r>
    </w:p>
    <w:p w14:paraId="64719C51" w14:textId="56797D59" w:rsidR="00A44034" w:rsidRDefault="00A44034" w:rsidP="00331D42">
      <w:pPr>
        <w:pStyle w:val="AssignBody"/>
      </w:pPr>
      <w:r>
        <w:t>Cohen, L.</w:t>
      </w:r>
      <w:r w:rsidR="00A82C58">
        <w:t xml:space="preserve"> Manion, L. and Morrison, K. (2</w:t>
      </w:r>
      <w:r>
        <w:t xml:space="preserve">017) </w:t>
      </w:r>
      <w:r>
        <w:rPr>
          <w:i/>
        </w:rPr>
        <w:t>Research Methods in Education</w:t>
      </w:r>
      <w:r>
        <w:t>, 6</w:t>
      </w:r>
      <w:r w:rsidRPr="00A44034">
        <w:rPr>
          <w:vertAlign w:val="superscript"/>
        </w:rPr>
        <w:t>th</w:t>
      </w:r>
      <w:r>
        <w:t xml:space="preserve"> Ed. Oxon: Routledge.</w:t>
      </w:r>
    </w:p>
    <w:p w14:paraId="36E0447F" w14:textId="5C4309F7" w:rsidR="00FC5E69" w:rsidRDefault="00FC5E69" w:rsidP="00331D42">
      <w:pPr>
        <w:pStyle w:val="AssignBody"/>
      </w:pPr>
      <w:r>
        <w:t xml:space="preserve">Department for Children, Education, Lifelong Learning and Skills (2008) </w:t>
      </w:r>
      <w:r>
        <w:rPr>
          <w:i/>
        </w:rPr>
        <w:t xml:space="preserve">Observing Children. </w:t>
      </w:r>
      <w:r>
        <w:t xml:space="preserve">Available at </w:t>
      </w:r>
      <w:r w:rsidRPr="00FC5E69">
        <w:t>https://s3-eu-west-1.amazonaws.com/hwb-live-storage/a8/9c/a8/ee/f299432c801d025d875da415/observing-children.pdf</w:t>
      </w:r>
      <w:r>
        <w:t>. (Accessed: 14th October 2019).</w:t>
      </w:r>
    </w:p>
    <w:p w14:paraId="5CB8C093" w14:textId="5D8782F9" w:rsidR="002D7570" w:rsidRDefault="002D7570" w:rsidP="00331D42">
      <w:pPr>
        <w:pStyle w:val="AssignBody"/>
      </w:pPr>
      <w:r>
        <w:t xml:space="preserve">Donaldson, G. (2015) </w:t>
      </w:r>
      <w:r>
        <w:rPr>
          <w:i/>
        </w:rPr>
        <w:t xml:space="preserve">Independent Review of Curriculum and Assessment Arrangements in Wales. </w:t>
      </w:r>
      <w:r>
        <w:t xml:space="preserve">Available at: </w:t>
      </w:r>
      <w:r w:rsidRPr="002D7570">
        <w:t>https://gov.wales/sites/default/files/publications/2018-03/successful-futures.pdf</w:t>
      </w:r>
      <w:r>
        <w:t>. (Accessed: 15th October 2019).</w:t>
      </w:r>
    </w:p>
    <w:p w14:paraId="37BA234A" w14:textId="1799F9D9" w:rsidR="00884311" w:rsidRDefault="00884311" w:rsidP="00331D42">
      <w:pPr>
        <w:pStyle w:val="AssignBody"/>
      </w:pPr>
      <w:r>
        <w:t xml:space="preserve">Donaldson, M. (1978) </w:t>
      </w:r>
      <w:r>
        <w:rPr>
          <w:i/>
        </w:rPr>
        <w:t>Children’s Minds.</w:t>
      </w:r>
      <w:r>
        <w:t xml:space="preserve"> London: Fontana Press. </w:t>
      </w:r>
    </w:p>
    <w:p w14:paraId="55EB8226" w14:textId="0D212B9E" w:rsidR="00BA260F" w:rsidRDefault="00BA260F" w:rsidP="00331D42">
      <w:pPr>
        <w:pStyle w:val="AssignBody"/>
      </w:pPr>
      <w:r>
        <w:t xml:space="preserve">Dweck, C.S. (2012) </w:t>
      </w:r>
      <w:r>
        <w:rPr>
          <w:i/>
        </w:rPr>
        <w:t xml:space="preserve">Mindset </w:t>
      </w:r>
      <w:r>
        <w:t xml:space="preserve">London: Robinson. </w:t>
      </w:r>
    </w:p>
    <w:p w14:paraId="52A0E174" w14:textId="1856B4F1" w:rsidR="0001012C" w:rsidRPr="0001012C" w:rsidRDefault="00CD10D9" w:rsidP="00331D42">
      <w:pPr>
        <w:pStyle w:val="AssignBody"/>
      </w:pPr>
      <w:r>
        <w:t>Dwe</w:t>
      </w:r>
      <w:r w:rsidR="0001012C">
        <w:t xml:space="preserve">ck, C.S. (2015) ‘Carol Dweck Revisits the ‘Growth Mindset’’, </w:t>
      </w:r>
      <w:r w:rsidR="0001012C">
        <w:rPr>
          <w:i/>
        </w:rPr>
        <w:t xml:space="preserve">Education Week, </w:t>
      </w:r>
      <w:r w:rsidR="0001012C">
        <w:t xml:space="preserve">35(5) pp. 20-24. </w:t>
      </w:r>
    </w:p>
    <w:p w14:paraId="248F3D84" w14:textId="602035C8" w:rsidR="006072D8" w:rsidRDefault="006072D8" w:rsidP="00331D42">
      <w:pPr>
        <w:pStyle w:val="AssignBody"/>
      </w:pPr>
      <w:r>
        <w:t xml:space="preserve">Estyn. (2018) </w:t>
      </w:r>
      <w:r>
        <w:rPr>
          <w:i/>
        </w:rPr>
        <w:t xml:space="preserve">A Report on School X. </w:t>
      </w:r>
      <w:r w:rsidR="00F150D6">
        <w:t xml:space="preserve">Avaliable at: </w:t>
      </w:r>
      <w:r w:rsidR="00F150D6" w:rsidRPr="00F150D6">
        <w:t>https://www.estyn.gov.wales/sites/www.estyn.gov.wales/files/documents/</w:t>
      </w:r>
      <w:r w:rsidR="00F150D6" w:rsidRPr="00F150D6">
        <w:rPr>
          <w:highlight w:val="black"/>
        </w:rPr>
        <w:t>Penyrheol%20Comprehensive%20School</w:t>
      </w:r>
      <w:r w:rsidR="00F150D6" w:rsidRPr="00F150D6">
        <w:t>.pdf</w:t>
      </w:r>
      <w:r w:rsidR="00F150D6">
        <w:t xml:space="preserve"> (Accessed: 14</w:t>
      </w:r>
      <w:r w:rsidR="00F150D6" w:rsidRPr="00F150D6">
        <w:rPr>
          <w:vertAlign w:val="superscript"/>
        </w:rPr>
        <w:t>th</w:t>
      </w:r>
      <w:r w:rsidR="00F150D6">
        <w:t xml:space="preserve"> October 2019).</w:t>
      </w:r>
    </w:p>
    <w:p w14:paraId="601AD4FE" w14:textId="1345C782" w:rsidR="00AD39EB" w:rsidRPr="00AD39EB" w:rsidRDefault="00AD39EB" w:rsidP="00331D42">
      <w:pPr>
        <w:pStyle w:val="AssignBody"/>
      </w:pPr>
      <w:r>
        <w:t xml:space="preserve">Fook, J. (2015) ‘Reflective Practice and Critical Reflection’, in Lishman, J. (ed.) </w:t>
      </w:r>
      <w:r>
        <w:rPr>
          <w:i/>
        </w:rPr>
        <w:t xml:space="preserve">Handbook for Practice Learning in Social Work and Social Care. </w:t>
      </w:r>
      <w:r>
        <w:t>London: Jessica Kingsley.</w:t>
      </w:r>
    </w:p>
    <w:p w14:paraId="7012C133" w14:textId="5EC20B78" w:rsidR="00C36C87" w:rsidRDefault="00C36C87" w:rsidP="00331D42">
      <w:pPr>
        <w:pStyle w:val="AssignBody"/>
      </w:pPr>
      <w:r>
        <w:t xml:space="preserve">Harding, J. and Meldon-Smith, L. (2000) </w:t>
      </w:r>
      <w:r>
        <w:rPr>
          <w:i/>
        </w:rPr>
        <w:t xml:space="preserve">How to make Observations &amp; Assessments. </w:t>
      </w:r>
      <w:r>
        <w:t>2</w:t>
      </w:r>
      <w:r w:rsidRPr="00C36C87">
        <w:rPr>
          <w:vertAlign w:val="superscript"/>
        </w:rPr>
        <w:t>nd</w:t>
      </w:r>
      <w:r>
        <w:t xml:space="preserve"> Ed. Oxon: Hodder &amp; Stoughton.</w:t>
      </w:r>
    </w:p>
    <w:p w14:paraId="048CFEB4" w14:textId="1081C993" w:rsidR="005370CD" w:rsidRPr="005370CD" w:rsidRDefault="005370CD" w:rsidP="00331D42">
      <w:pPr>
        <w:pStyle w:val="AssignBody"/>
      </w:pPr>
      <w:r>
        <w:t xml:space="preserve">Jordan, A. Carlile, O. and Stack, A. (2009) </w:t>
      </w:r>
      <w:r>
        <w:rPr>
          <w:i/>
        </w:rPr>
        <w:t xml:space="preserve">Approaches to Learning. </w:t>
      </w:r>
      <w:r>
        <w:t>Maidenhead: Open University Press.</w:t>
      </w:r>
    </w:p>
    <w:p w14:paraId="6FA80865" w14:textId="5B4E6556" w:rsidR="0094292F" w:rsidRPr="0094292F" w:rsidRDefault="0094292F" w:rsidP="00331D42">
      <w:pPr>
        <w:pStyle w:val="AssignBody"/>
      </w:pPr>
      <w:r>
        <w:t xml:space="preserve">Kumar, R. (2014) </w:t>
      </w:r>
      <w:r>
        <w:rPr>
          <w:i/>
        </w:rPr>
        <w:t xml:space="preserve">Research Methodology. </w:t>
      </w:r>
      <w:r>
        <w:t xml:space="preserve">London: Sage. </w:t>
      </w:r>
    </w:p>
    <w:p w14:paraId="329BB757" w14:textId="688554DE" w:rsidR="00D738CA" w:rsidRDefault="00D738CA" w:rsidP="00331D42">
      <w:pPr>
        <w:pStyle w:val="AssignBody"/>
      </w:pPr>
      <w:r>
        <w:t xml:space="preserve">Mertler, C.A. (2014) </w:t>
      </w:r>
      <w:r>
        <w:rPr>
          <w:i/>
        </w:rPr>
        <w:t>Action Research</w:t>
      </w:r>
      <w:r>
        <w:t xml:space="preserve"> 4</w:t>
      </w:r>
      <w:r w:rsidRPr="00D738CA">
        <w:rPr>
          <w:vertAlign w:val="superscript"/>
        </w:rPr>
        <w:t>th</w:t>
      </w:r>
      <w:r>
        <w:t xml:space="preserve"> Ed. London: Sage. </w:t>
      </w:r>
    </w:p>
    <w:p w14:paraId="5F04F6FF" w14:textId="598702D6" w:rsidR="000A469A" w:rsidRDefault="000A469A" w:rsidP="00331D42">
      <w:pPr>
        <w:pStyle w:val="AssignBody"/>
      </w:pPr>
      <w:r>
        <w:t xml:space="preserve">Payne, G. Payne, J. (2004) </w:t>
      </w:r>
      <w:r>
        <w:rPr>
          <w:i/>
        </w:rPr>
        <w:t>Key Concepts in Social Research.</w:t>
      </w:r>
      <w:r>
        <w:t xml:space="preserve"> London: Sage. </w:t>
      </w:r>
    </w:p>
    <w:p w14:paraId="28D1B6B8" w14:textId="7CCE7869" w:rsidR="005A46E6" w:rsidRDefault="005A46E6" w:rsidP="00331D42">
      <w:pPr>
        <w:pStyle w:val="AssignBody"/>
      </w:pPr>
      <w:r>
        <w:t>P</w:t>
      </w:r>
      <w:r w:rsidR="0094409C">
        <w:t>r</w:t>
      </w:r>
      <w:r>
        <w:t xml:space="preserve">itchard, A. and Woollard, J. (2010) </w:t>
      </w:r>
      <w:r>
        <w:rPr>
          <w:i/>
        </w:rPr>
        <w:t xml:space="preserve">Psychology for the Classroom: Constructivism and Social Learning. </w:t>
      </w:r>
      <w:r>
        <w:t>Oxon: Routledge.</w:t>
      </w:r>
    </w:p>
    <w:p w14:paraId="17EE540D" w14:textId="5D773324" w:rsidR="0094409C" w:rsidRDefault="0094409C" w:rsidP="00331D42">
      <w:pPr>
        <w:pStyle w:val="AssignBody"/>
      </w:pPr>
      <w:r>
        <w:t xml:space="preserve">Pritchard, A (2005) </w:t>
      </w:r>
      <w:r w:rsidR="008A122A">
        <w:rPr>
          <w:i/>
        </w:rPr>
        <w:t xml:space="preserve">Ways of Learning. </w:t>
      </w:r>
      <w:r w:rsidR="008A122A">
        <w:t>London: David Fulton Publishers.</w:t>
      </w:r>
    </w:p>
    <w:p w14:paraId="0EAB51D3" w14:textId="0836041A" w:rsidR="000221D8" w:rsidRDefault="000221D8" w:rsidP="00331D42">
      <w:pPr>
        <w:pStyle w:val="AssignBody"/>
      </w:pPr>
      <w:r>
        <w:t xml:space="preserve">Sharman, C. Cross, W. and Vennis, D. (2007) </w:t>
      </w:r>
      <w:r>
        <w:rPr>
          <w:i/>
        </w:rPr>
        <w:t>Observing Children and young People.</w:t>
      </w:r>
      <w:r>
        <w:t xml:space="preserve"> 4</w:t>
      </w:r>
      <w:r w:rsidRPr="001167FA">
        <w:rPr>
          <w:vertAlign w:val="superscript"/>
        </w:rPr>
        <w:t>th</w:t>
      </w:r>
      <w:r>
        <w:t xml:space="preserve"> Ed. London: Continuum.</w:t>
      </w:r>
    </w:p>
    <w:p w14:paraId="1B47FCE4" w14:textId="33BD6715" w:rsidR="000221D8" w:rsidRDefault="00512801" w:rsidP="00331D42">
      <w:pPr>
        <w:pStyle w:val="AssignBody"/>
      </w:pPr>
      <w:r>
        <w:t xml:space="preserve">Sherrington, T. (2019) </w:t>
      </w:r>
      <w:r>
        <w:rPr>
          <w:i/>
        </w:rPr>
        <w:t xml:space="preserve">Rosenshine’s Principles in Action, </w:t>
      </w:r>
      <w:r w:rsidR="00597E3D">
        <w:t>Woodbridge: John Catt.</w:t>
      </w:r>
    </w:p>
    <w:p w14:paraId="04286993" w14:textId="15A5EC1D" w:rsidR="000221D8" w:rsidRPr="000221D8" w:rsidRDefault="000221D8" w:rsidP="00331D42">
      <w:pPr>
        <w:pStyle w:val="AssignBody"/>
      </w:pPr>
      <w:r>
        <w:t xml:space="preserve">Snyder, C.R. (1999) </w:t>
      </w:r>
      <w:r>
        <w:rPr>
          <w:i/>
        </w:rPr>
        <w:t xml:space="preserve">Coping: The Psychology of What Works, </w:t>
      </w:r>
      <w:r>
        <w:t xml:space="preserve">Oxford: Oxford University Press. </w:t>
      </w:r>
    </w:p>
    <w:p w14:paraId="7D6D7694" w14:textId="4DF2ACC5" w:rsidR="00A407D9" w:rsidRDefault="00A13F8C" w:rsidP="00331D42">
      <w:pPr>
        <w:pStyle w:val="AssignBody"/>
      </w:pPr>
      <w:r>
        <w:t xml:space="preserve">Tripp, D. (2012) </w:t>
      </w:r>
      <w:r>
        <w:rPr>
          <w:i/>
        </w:rPr>
        <w:t>Critical Incidents in Teaching</w:t>
      </w:r>
      <w:r w:rsidR="00C606BC">
        <w:rPr>
          <w:i/>
        </w:rPr>
        <w:t xml:space="preserve">. </w:t>
      </w:r>
      <w:r w:rsidR="00C606BC">
        <w:t>Classic Ed. Oxon: Routledge.</w:t>
      </w:r>
    </w:p>
    <w:p w14:paraId="0E140828" w14:textId="5C1E386A" w:rsidR="00152441" w:rsidRDefault="00152441" w:rsidP="00331D42">
      <w:pPr>
        <w:pStyle w:val="AssignBody"/>
      </w:pPr>
      <w:r>
        <w:t>Welsh Government (2017</w:t>
      </w:r>
      <w:r w:rsidR="006D16C8">
        <w:t>a</w:t>
      </w:r>
      <w:r>
        <w:t xml:space="preserve">) </w:t>
      </w:r>
      <w:r w:rsidR="00EE645D">
        <w:rPr>
          <w:i/>
        </w:rPr>
        <w:t>Educati</w:t>
      </w:r>
      <w:r w:rsidR="006D16C8">
        <w:rPr>
          <w:i/>
        </w:rPr>
        <w:t>o</w:t>
      </w:r>
      <w:r w:rsidR="00EE645D">
        <w:rPr>
          <w:i/>
        </w:rPr>
        <w:t xml:space="preserve">n in Wales: Our National Mission. </w:t>
      </w:r>
      <w:r w:rsidR="00EE645D">
        <w:t xml:space="preserve">Available at: </w:t>
      </w:r>
      <w:r w:rsidR="00EE645D" w:rsidRPr="00EE645D">
        <w:t>https://gov.wales/sites/default/files/publications/2018-03/education-in-wales-our-national-mission.pdf</w:t>
      </w:r>
      <w:r w:rsidR="00EE645D">
        <w:t xml:space="preserve"> (Accessed: 28th October 2019).</w:t>
      </w:r>
    </w:p>
    <w:p w14:paraId="0E673192" w14:textId="54B717FA" w:rsidR="006D16C8" w:rsidRPr="006D16C8" w:rsidRDefault="006D16C8" w:rsidP="00331D42">
      <w:pPr>
        <w:pStyle w:val="AssignBody"/>
      </w:pPr>
      <w:r>
        <w:t xml:space="preserve">Welsh Government (2017b) </w:t>
      </w:r>
      <w:r>
        <w:rPr>
          <w:i/>
        </w:rPr>
        <w:t xml:space="preserve">Proffessional Standards for Teaching and Leadership. </w:t>
      </w:r>
      <w:r>
        <w:t xml:space="preserve">Available at: </w:t>
      </w:r>
      <w:r w:rsidRPr="006D16C8">
        <w:t>http://s3-eu-west-1.amazonaws.com/hwb-live-storage/fc/a7/a4/e2/e34842</w:t>
      </w:r>
      <w:r w:rsidRPr="006D16C8">
        <w:t>8</w:t>
      </w:r>
      <w:r w:rsidRPr="006D16C8">
        <w:t>381e68434ea93f611/professional-standards-for-teaching-and-leadership-interactive-pdf-for-pc.pdf</w:t>
      </w:r>
      <w:r>
        <w:t>. (Accessed 28th October 2019).</w:t>
      </w:r>
    </w:p>
    <w:p w14:paraId="27525619" w14:textId="50AEB889" w:rsidR="00AA640C" w:rsidRDefault="00152441" w:rsidP="00331D42">
      <w:pPr>
        <w:pStyle w:val="AssignBody"/>
      </w:pPr>
      <w:r>
        <w:t>Welsh</w:t>
      </w:r>
      <w:r w:rsidR="00AA640C">
        <w:t xml:space="preserve"> Government (2018) </w:t>
      </w:r>
      <w:r w:rsidR="00AA640C">
        <w:rPr>
          <w:i/>
        </w:rPr>
        <w:t xml:space="preserve">My Local School. </w:t>
      </w:r>
      <w:r w:rsidR="00AA640C">
        <w:t xml:space="preserve">Available at: </w:t>
      </w:r>
      <w:r w:rsidR="00AA640C" w:rsidRPr="00F150D6">
        <w:t>http://mylocalschool.gov.wales/School/6704062?lang=en</w:t>
      </w:r>
      <w:r w:rsidR="00AA640C">
        <w:t xml:space="preserve"> (Accessed: 12th October 2019).</w:t>
      </w:r>
    </w:p>
    <w:p w14:paraId="74CA2D77" w14:textId="7D314F46" w:rsidR="00C16BB9" w:rsidRPr="00C16BB9" w:rsidRDefault="00C16BB9" w:rsidP="00331D42">
      <w:pPr>
        <w:pStyle w:val="AssignBody"/>
      </w:pPr>
      <w:r>
        <w:t xml:space="preserve">Willingham, D.T. (2009) </w:t>
      </w:r>
      <w:r>
        <w:rPr>
          <w:i/>
        </w:rPr>
        <w:t xml:space="preserve">Why Don’t Students Like School: A Cognitive Scientist Answers Questions About How the Mind Works and What It Means for the Classroom, </w:t>
      </w:r>
      <w:r w:rsidR="002047A6">
        <w:t>San Fransisco: Wiley.</w:t>
      </w:r>
    </w:p>
    <w:p w14:paraId="0A9905F3" w14:textId="77777777" w:rsidR="00CC2AB0" w:rsidRPr="00CC2AB0" w:rsidRDefault="00CC2AB0" w:rsidP="00331D42">
      <w:pPr>
        <w:pStyle w:val="AssignBody"/>
      </w:pPr>
    </w:p>
    <w:p w14:paraId="016A07F2" w14:textId="6E76EA8E" w:rsidR="00CD1240" w:rsidRDefault="00CD1240" w:rsidP="00CD1240">
      <w:pPr>
        <w:pStyle w:val="AssignBody"/>
      </w:pPr>
      <w:r>
        <w:t>This is the main font (Ariel 11, 1.5 line spacing)</w:t>
      </w:r>
      <w:r w:rsidR="00E611D9">
        <w:t xml:space="preserve"> To use quotation style select AssignQuote from Home.</w:t>
      </w:r>
      <w:r w:rsidR="002229F0">
        <w:t xml:space="preserve"> (AssignBody: Styles)</w:t>
      </w:r>
    </w:p>
    <w:p w14:paraId="7648F229" w14:textId="3C6649FD" w:rsidR="00E611D9" w:rsidRDefault="00E611D9" w:rsidP="00E611D9">
      <w:pPr>
        <w:pStyle w:val="AssignQuote"/>
      </w:pPr>
      <w:r>
        <w:t>This is a quotation text (Ariel 11, 1.5</w:t>
      </w:r>
      <w:r w:rsidR="002229F0">
        <w:t xml:space="preserve"> </w:t>
      </w:r>
      <w:r>
        <w:t>line spacing, Indented paragraph on left and right by 2cm)</w:t>
      </w:r>
      <w:r w:rsidR="002229F0">
        <w:t xml:space="preserve"> (AssignQuote: Styles)</w:t>
      </w:r>
    </w:p>
    <w:p w14:paraId="0D2F6EA6" w14:textId="37C26402" w:rsidR="00E611D9" w:rsidRPr="00E611D9" w:rsidRDefault="00E611D9" w:rsidP="00E611D9">
      <w:pPr>
        <w:pStyle w:val="AssignBody"/>
      </w:pPr>
      <w:r>
        <w:t>Once you type the enter key from the quotation it will automatically switch to the main body text.</w:t>
      </w:r>
    </w:p>
    <w:sectPr w:rsidR="00E611D9"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3A9C54" w14:textId="77777777" w:rsidR="009A03DC" w:rsidRDefault="009A03DC" w:rsidP="00E611D9">
      <w:pPr>
        <w:spacing w:after="0" w:line="240" w:lineRule="auto"/>
      </w:pPr>
      <w:r>
        <w:separator/>
      </w:r>
    </w:p>
  </w:endnote>
  <w:endnote w:type="continuationSeparator" w:id="0">
    <w:p w14:paraId="6437D6E3" w14:textId="77777777" w:rsidR="009A03DC" w:rsidRDefault="009A03D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31959A" w14:textId="3C22588D" w:rsidR="009A03DC" w:rsidRDefault="009A03DC">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27233">
          <w:rPr>
            <w:noProof/>
          </w:rPr>
          <w:t>1</w:t>
        </w:r>
        <w:r>
          <w:rPr>
            <w:noProof/>
          </w:rPr>
          <w:fldChar w:fldCharType="end"/>
        </w:r>
      </w:sdtContent>
    </w:sdt>
  </w:p>
  <w:p w14:paraId="00F27DC1" w14:textId="77777777" w:rsidR="009A03DC" w:rsidRDefault="009A03D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313384" w14:textId="77777777" w:rsidR="009A03DC" w:rsidRDefault="009A03DC" w:rsidP="00E611D9">
      <w:pPr>
        <w:spacing w:after="0" w:line="240" w:lineRule="auto"/>
      </w:pPr>
      <w:r>
        <w:separator/>
      </w:r>
    </w:p>
  </w:footnote>
  <w:footnote w:type="continuationSeparator" w:id="0">
    <w:p w14:paraId="7319418E" w14:textId="77777777" w:rsidR="009A03DC" w:rsidRDefault="009A03DC" w:rsidP="00E611D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A03DC" w:rsidRPr="00E611D9" w14:paraId="746C0110" w14:textId="77777777" w:rsidTr="00E611D9">
      <w:tc>
        <w:tcPr>
          <w:tcW w:w="4508" w:type="dxa"/>
        </w:tcPr>
        <w:p w14:paraId="739FBAFA" w14:textId="1EAE1DAD" w:rsidR="009A03DC" w:rsidRPr="00E611D9" w:rsidRDefault="009A03DC">
          <w:pPr>
            <w:pStyle w:val="Header"/>
            <w:rPr>
              <w:rFonts w:ascii="Arial" w:hAnsi="Arial" w:cs="Arial"/>
            </w:rPr>
          </w:pPr>
          <w:r w:rsidRPr="00E611D9">
            <w:rPr>
              <w:rFonts w:ascii="Arial" w:hAnsi="Arial" w:cs="Arial"/>
            </w:rPr>
            <w:t>E</w:t>
          </w:r>
          <w:r>
            <w:rPr>
              <w:rFonts w:ascii="Arial" w:hAnsi="Arial" w:cs="Arial"/>
            </w:rPr>
            <w:t>CAD6007</w:t>
          </w:r>
        </w:p>
      </w:tc>
      <w:tc>
        <w:tcPr>
          <w:tcW w:w="4508" w:type="dxa"/>
        </w:tcPr>
        <w:p w14:paraId="51D506A0" w14:textId="5C661CA4" w:rsidR="009A03DC" w:rsidRPr="00E611D9" w:rsidRDefault="009A03DC" w:rsidP="00E611D9">
          <w:pPr>
            <w:pStyle w:val="Header"/>
            <w:jc w:val="right"/>
            <w:rPr>
              <w:rFonts w:ascii="Arial" w:hAnsi="Arial" w:cs="Arial"/>
            </w:rPr>
          </w:pPr>
          <w:r>
            <w:rPr>
              <w:rFonts w:ascii="Arial" w:hAnsi="Arial" w:cs="Arial"/>
            </w:rPr>
            <w:t xml:space="preserve"> Student Number: 1902935 </w:t>
          </w:r>
        </w:p>
      </w:tc>
    </w:tr>
  </w:tbl>
  <w:p w14:paraId="31028CA5" w14:textId="60CD5227" w:rsidR="009A03DC" w:rsidRDefault="009A03D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D1240"/>
    <w:rsid w:val="0001012C"/>
    <w:rsid w:val="00017424"/>
    <w:rsid w:val="000221D8"/>
    <w:rsid w:val="000542A7"/>
    <w:rsid w:val="000547F0"/>
    <w:rsid w:val="0007587F"/>
    <w:rsid w:val="00083BBF"/>
    <w:rsid w:val="00093EC2"/>
    <w:rsid w:val="000A469A"/>
    <w:rsid w:val="000E7B6A"/>
    <w:rsid w:val="001167FA"/>
    <w:rsid w:val="00152441"/>
    <w:rsid w:val="00171386"/>
    <w:rsid w:val="002047A6"/>
    <w:rsid w:val="0021487E"/>
    <w:rsid w:val="002229F0"/>
    <w:rsid w:val="002340BF"/>
    <w:rsid w:val="00271220"/>
    <w:rsid w:val="002C1205"/>
    <w:rsid w:val="002D1D56"/>
    <w:rsid w:val="002D7570"/>
    <w:rsid w:val="00313634"/>
    <w:rsid w:val="00331D42"/>
    <w:rsid w:val="0034055B"/>
    <w:rsid w:val="003D18F0"/>
    <w:rsid w:val="00416EEF"/>
    <w:rsid w:val="0043654C"/>
    <w:rsid w:val="004862D6"/>
    <w:rsid w:val="004A2EC3"/>
    <w:rsid w:val="004A3678"/>
    <w:rsid w:val="004B2BC9"/>
    <w:rsid w:val="004D1714"/>
    <w:rsid w:val="00512801"/>
    <w:rsid w:val="00527233"/>
    <w:rsid w:val="005370CD"/>
    <w:rsid w:val="00552A21"/>
    <w:rsid w:val="00553ECA"/>
    <w:rsid w:val="00597E3D"/>
    <w:rsid w:val="005A46E6"/>
    <w:rsid w:val="005E029B"/>
    <w:rsid w:val="005F1E47"/>
    <w:rsid w:val="006072D8"/>
    <w:rsid w:val="0062688E"/>
    <w:rsid w:val="006358DD"/>
    <w:rsid w:val="006419C3"/>
    <w:rsid w:val="006600CB"/>
    <w:rsid w:val="006B481A"/>
    <w:rsid w:val="006B5861"/>
    <w:rsid w:val="006B77F3"/>
    <w:rsid w:val="006C3693"/>
    <w:rsid w:val="006D16C8"/>
    <w:rsid w:val="007844B8"/>
    <w:rsid w:val="007B5A46"/>
    <w:rsid w:val="007C1EED"/>
    <w:rsid w:val="007F11E0"/>
    <w:rsid w:val="00816BC6"/>
    <w:rsid w:val="00817F7A"/>
    <w:rsid w:val="0084237B"/>
    <w:rsid w:val="00843248"/>
    <w:rsid w:val="00843BEC"/>
    <w:rsid w:val="0085371A"/>
    <w:rsid w:val="008538B4"/>
    <w:rsid w:val="00865E35"/>
    <w:rsid w:val="00884311"/>
    <w:rsid w:val="00896118"/>
    <w:rsid w:val="008A122A"/>
    <w:rsid w:val="008D4977"/>
    <w:rsid w:val="008D5617"/>
    <w:rsid w:val="008F6270"/>
    <w:rsid w:val="00906B01"/>
    <w:rsid w:val="00913322"/>
    <w:rsid w:val="00923FB0"/>
    <w:rsid w:val="0094292F"/>
    <w:rsid w:val="0094409C"/>
    <w:rsid w:val="00980426"/>
    <w:rsid w:val="009A03DC"/>
    <w:rsid w:val="009C0D9E"/>
    <w:rsid w:val="009C1038"/>
    <w:rsid w:val="00A13F8C"/>
    <w:rsid w:val="00A407D9"/>
    <w:rsid w:val="00A4166E"/>
    <w:rsid w:val="00A44034"/>
    <w:rsid w:val="00A6669F"/>
    <w:rsid w:val="00A77499"/>
    <w:rsid w:val="00A82C58"/>
    <w:rsid w:val="00A970E0"/>
    <w:rsid w:val="00AA175C"/>
    <w:rsid w:val="00AA640C"/>
    <w:rsid w:val="00AD39EB"/>
    <w:rsid w:val="00B13AFB"/>
    <w:rsid w:val="00B502FB"/>
    <w:rsid w:val="00B77EAB"/>
    <w:rsid w:val="00B91D5A"/>
    <w:rsid w:val="00BA260F"/>
    <w:rsid w:val="00BA2E6F"/>
    <w:rsid w:val="00BC651E"/>
    <w:rsid w:val="00BE27BC"/>
    <w:rsid w:val="00BF7631"/>
    <w:rsid w:val="00C01EC5"/>
    <w:rsid w:val="00C16BB9"/>
    <w:rsid w:val="00C36C87"/>
    <w:rsid w:val="00C606BC"/>
    <w:rsid w:val="00C658D2"/>
    <w:rsid w:val="00C6756C"/>
    <w:rsid w:val="00C77D48"/>
    <w:rsid w:val="00CA3311"/>
    <w:rsid w:val="00CB6FE1"/>
    <w:rsid w:val="00CC2AB0"/>
    <w:rsid w:val="00CD10D9"/>
    <w:rsid w:val="00CD1240"/>
    <w:rsid w:val="00CE716E"/>
    <w:rsid w:val="00CF5E68"/>
    <w:rsid w:val="00D356F1"/>
    <w:rsid w:val="00D4762D"/>
    <w:rsid w:val="00D738CA"/>
    <w:rsid w:val="00D83083"/>
    <w:rsid w:val="00D83A40"/>
    <w:rsid w:val="00D936E9"/>
    <w:rsid w:val="00DD54AC"/>
    <w:rsid w:val="00E115CC"/>
    <w:rsid w:val="00E14F37"/>
    <w:rsid w:val="00E32A50"/>
    <w:rsid w:val="00E611D9"/>
    <w:rsid w:val="00E7615D"/>
    <w:rsid w:val="00E77024"/>
    <w:rsid w:val="00E82209"/>
    <w:rsid w:val="00EC0B0F"/>
    <w:rsid w:val="00EE645D"/>
    <w:rsid w:val="00F03B88"/>
    <w:rsid w:val="00F150D6"/>
    <w:rsid w:val="00F31FD5"/>
    <w:rsid w:val="00F55DC6"/>
    <w:rsid w:val="00F627F1"/>
    <w:rsid w:val="00FB44E4"/>
    <w:rsid w:val="00FB4534"/>
    <w:rsid w:val="00FB5BEB"/>
    <w:rsid w:val="00FC5E69"/>
    <w:rsid w:val="00FE0E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2337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C2AB0"/>
    <w:rPr>
      <w:color w:val="0563C1" w:themeColor="hyperlink"/>
      <w:u w:val="single"/>
    </w:rPr>
  </w:style>
  <w:style w:type="character" w:styleId="FollowedHyperlink">
    <w:name w:val="FollowedHyperlink"/>
    <w:basedOn w:val="DefaultParagraphFont"/>
    <w:uiPriority w:val="99"/>
    <w:semiHidden/>
    <w:unhideWhenUsed/>
    <w:rsid w:val="00F150D6"/>
    <w:rPr>
      <w:color w:val="954F72" w:themeColor="followedHyperlink"/>
      <w:u w:val="single"/>
    </w:rPr>
  </w:style>
  <w:style w:type="paragraph" w:customStyle="1" w:styleId="assignbody0">
    <w:name w:val="assignbody"/>
    <w:basedOn w:val="Normal"/>
    <w:rsid w:val="007B5A46"/>
    <w:pPr>
      <w:spacing w:before="100" w:beforeAutospacing="1" w:after="100" w:afterAutospacing="1" w:line="240" w:lineRule="auto"/>
    </w:pPr>
    <w:rPr>
      <w:rFonts w:ascii="Times New Roman" w:hAnsi="Times New Roman" w:cs="Times New Roman"/>
      <w:sz w:val="20"/>
      <w:szCs w:val="20"/>
    </w:rPr>
  </w:style>
  <w:style w:type="paragraph" w:customStyle="1" w:styleId="assignbody00">
    <w:name w:val="assignbody0"/>
    <w:basedOn w:val="Normal"/>
    <w:rsid w:val="00C658D2"/>
    <w:pPr>
      <w:spacing w:before="100" w:beforeAutospacing="1" w:after="100" w:afterAutospacing="1" w:line="240" w:lineRule="auto"/>
    </w:pPr>
    <w:rPr>
      <w:rFonts w:ascii="Times New Roman" w:hAnsi="Times New Roman" w:cs="Times New Roman"/>
      <w:sz w:val="20"/>
      <w:szCs w:val="20"/>
    </w:rPr>
  </w:style>
  <w:style w:type="character" w:customStyle="1" w:styleId="apple-converted-space">
    <w:name w:val="apple-converted-space"/>
    <w:basedOn w:val="DefaultParagraphFont"/>
    <w:rsid w:val="00CE716E"/>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C2AB0"/>
    <w:rPr>
      <w:color w:val="0563C1" w:themeColor="hyperlink"/>
      <w:u w:val="single"/>
    </w:rPr>
  </w:style>
  <w:style w:type="character" w:styleId="FollowedHyperlink">
    <w:name w:val="FollowedHyperlink"/>
    <w:basedOn w:val="DefaultParagraphFont"/>
    <w:uiPriority w:val="99"/>
    <w:semiHidden/>
    <w:unhideWhenUsed/>
    <w:rsid w:val="00F150D6"/>
    <w:rPr>
      <w:color w:val="954F72" w:themeColor="followedHyperlink"/>
      <w:u w:val="single"/>
    </w:rPr>
  </w:style>
  <w:style w:type="paragraph" w:customStyle="1" w:styleId="assignbody0">
    <w:name w:val="assignbody"/>
    <w:basedOn w:val="Normal"/>
    <w:rsid w:val="007B5A46"/>
    <w:pPr>
      <w:spacing w:before="100" w:beforeAutospacing="1" w:after="100" w:afterAutospacing="1" w:line="240" w:lineRule="auto"/>
    </w:pPr>
    <w:rPr>
      <w:rFonts w:ascii="Times New Roman" w:hAnsi="Times New Roman" w:cs="Times New Roman"/>
      <w:sz w:val="20"/>
      <w:szCs w:val="20"/>
    </w:rPr>
  </w:style>
  <w:style w:type="paragraph" w:customStyle="1" w:styleId="assignbody00">
    <w:name w:val="assignbody0"/>
    <w:basedOn w:val="Normal"/>
    <w:rsid w:val="00C658D2"/>
    <w:pPr>
      <w:spacing w:before="100" w:beforeAutospacing="1" w:after="100" w:afterAutospacing="1" w:line="240" w:lineRule="auto"/>
    </w:pPr>
    <w:rPr>
      <w:rFonts w:ascii="Times New Roman" w:hAnsi="Times New Roman" w:cs="Times New Roman"/>
      <w:sz w:val="20"/>
      <w:szCs w:val="20"/>
    </w:rPr>
  </w:style>
  <w:style w:type="character" w:customStyle="1" w:styleId="apple-converted-space">
    <w:name w:val="apple-converted-space"/>
    <w:basedOn w:val="DefaultParagraphFont"/>
    <w:rsid w:val="00CE71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245619">
      <w:bodyDiv w:val="1"/>
      <w:marLeft w:val="0"/>
      <w:marRight w:val="0"/>
      <w:marTop w:val="0"/>
      <w:marBottom w:val="0"/>
      <w:divBdr>
        <w:top w:val="none" w:sz="0" w:space="0" w:color="auto"/>
        <w:left w:val="none" w:sz="0" w:space="0" w:color="auto"/>
        <w:bottom w:val="none" w:sz="0" w:space="0" w:color="auto"/>
        <w:right w:val="none" w:sz="0" w:space="0" w:color="auto"/>
      </w:divBdr>
    </w:div>
    <w:div w:id="397174957">
      <w:bodyDiv w:val="1"/>
      <w:marLeft w:val="0"/>
      <w:marRight w:val="0"/>
      <w:marTop w:val="0"/>
      <w:marBottom w:val="0"/>
      <w:divBdr>
        <w:top w:val="none" w:sz="0" w:space="0" w:color="auto"/>
        <w:left w:val="none" w:sz="0" w:space="0" w:color="auto"/>
        <w:bottom w:val="none" w:sz="0" w:space="0" w:color="auto"/>
        <w:right w:val="none" w:sz="0" w:space="0" w:color="auto"/>
      </w:divBdr>
    </w:div>
    <w:div w:id="406070615">
      <w:bodyDiv w:val="1"/>
      <w:marLeft w:val="0"/>
      <w:marRight w:val="0"/>
      <w:marTop w:val="0"/>
      <w:marBottom w:val="0"/>
      <w:divBdr>
        <w:top w:val="none" w:sz="0" w:space="0" w:color="auto"/>
        <w:left w:val="none" w:sz="0" w:space="0" w:color="auto"/>
        <w:bottom w:val="none" w:sz="0" w:space="0" w:color="auto"/>
        <w:right w:val="none" w:sz="0" w:space="0" w:color="auto"/>
      </w:divBdr>
    </w:div>
    <w:div w:id="456073422">
      <w:bodyDiv w:val="1"/>
      <w:marLeft w:val="0"/>
      <w:marRight w:val="0"/>
      <w:marTop w:val="0"/>
      <w:marBottom w:val="0"/>
      <w:divBdr>
        <w:top w:val="none" w:sz="0" w:space="0" w:color="auto"/>
        <w:left w:val="none" w:sz="0" w:space="0" w:color="auto"/>
        <w:bottom w:val="none" w:sz="0" w:space="0" w:color="auto"/>
        <w:right w:val="none" w:sz="0" w:space="0" w:color="auto"/>
      </w:divBdr>
    </w:div>
    <w:div w:id="597299204">
      <w:bodyDiv w:val="1"/>
      <w:marLeft w:val="0"/>
      <w:marRight w:val="0"/>
      <w:marTop w:val="0"/>
      <w:marBottom w:val="0"/>
      <w:divBdr>
        <w:top w:val="none" w:sz="0" w:space="0" w:color="auto"/>
        <w:left w:val="none" w:sz="0" w:space="0" w:color="auto"/>
        <w:bottom w:val="none" w:sz="0" w:space="0" w:color="auto"/>
        <w:right w:val="none" w:sz="0" w:space="0" w:color="auto"/>
      </w:divBdr>
    </w:div>
    <w:div w:id="716659807">
      <w:bodyDiv w:val="1"/>
      <w:marLeft w:val="0"/>
      <w:marRight w:val="0"/>
      <w:marTop w:val="0"/>
      <w:marBottom w:val="0"/>
      <w:divBdr>
        <w:top w:val="none" w:sz="0" w:space="0" w:color="auto"/>
        <w:left w:val="none" w:sz="0" w:space="0" w:color="auto"/>
        <w:bottom w:val="none" w:sz="0" w:space="0" w:color="auto"/>
        <w:right w:val="none" w:sz="0" w:space="0" w:color="auto"/>
      </w:divBdr>
    </w:div>
    <w:div w:id="814375261">
      <w:bodyDiv w:val="1"/>
      <w:marLeft w:val="0"/>
      <w:marRight w:val="0"/>
      <w:marTop w:val="0"/>
      <w:marBottom w:val="0"/>
      <w:divBdr>
        <w:top w:val="none" w:sz="0" w:space="0" w:color="auto"/>
        <w:left w:val="none" w:sz="0" w:space="0" w:color="auto"/>
        <w:bottom w:val="none" w:sz="0" w:space="0" w:color="auto"/>
        <w:right w:val="none" w:sz="0" w:space="0" w:color="auto"/>
      </w:divBdr>
      <w:divsChild>
        <w:div w:id="40180552">
          <w:marLeft w:val="0"/>
          <w:marRight w:val="0"/>
          <w:marTop w:val="0"/>
          <w:marBottom w:val="0"/>
          <w:divBdr>
            <w:top w:val="none" w:sz="0" w:space="0" w:color="auto"/>
            <w:left w:val="none" w:sz="0" w:space="0" w:color="auto"/>
            <w:bottom w:val="none" w:sz="0" w:space="0" w:color="auto"/>
            <w:right w:val="none" w:sz="0" w:space="0" w:color="auto"/>
          </w:divBdr>
          <w:divsChild>
            <w:div w:id="2062747011">
              <w:marLeft w:val="0"/>
              <w:marRight w:val="0"/>
              <w:marTop w:val="0"/>
              <w:marBottom w:val="0"/>
              <w:divBdr>
                <w:top w:val="none" w:sz="0" w:space="0" w:color="auto"/>
                <w:left w:val="none" w:sz="0" w:space="0" w:color="auto"/>
                <w:bottom w:val="none" w:sz="0" w:space="0" w:color="auto"/>
                <w:right w:val="none" w:sz="0" w:space="0" w:color="auto"/>
              </w:divBdr>
              <w:divsChild>
                <w:div w:id="235823110">
                  <w:marLeft w:val="0"/>
                  <w:marRight w:val="0"/>
                  <w:marTop w:val="0"/>
                  <w:marBottom w:val="0"/>
                  <w:divBdr>
                    <w:top w:val="none" w:sz="0" w:space="0" w:color="auto"/>
                    <w:left w:val="none" w:sz="0" w:space="0" w:color="auto"/>
                    <w:bottom w:val="none" w:sz="0" w:space="0" w:color="auto"/>
                    <w:right w:val="none" w:sz="0" w:space="0" w:color="auto"/>
                  </w:divBdr>
                  <w:divsChild>
                    <w:div w:id="120803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369394">
      <w:bodyDiv w:val="1"/>
      <w:marLeft w:val="0"/>
      <w:marRight w:val="0"/>
      <w:marTop w:val="0"/>
      <w:marBottom w:val="0"/>
      <w:divBdr>
        <w:top w:val="none" w:sz="0" w:space="0" w:color="auto"/>
        <w:left w:val="none" w:sz="0" w:space="0" w:color="auto"/>
        <w:bottom w:val="none" w:sz="0" w:space="0" w:color="auto"/>
        <w:right w:val="none" w:sz="0" w:space="0" w:color="auto"/>
      </w:divBdr>
    </w:div>
    <w:div w:id="1655600281">
      <w:bodyDiv w:val="1"/>
      <w:marLeft w:val="0"/>
      <w:marRight w:val="0"/>
      <w:marTop w:val="0"/>
      <w:marBottom w:val="0"/>
      <w:divBdr>
        <w:top w:val="none" w:sz="0" w:space="0" w:color="auto"/>
        <w:left w:val="none" w:sz="0" w:space="0" w:color="auto"/>
        <w:bottom w:val="none" w:sz="0" w:space="0" w:color="auto"/>
        <w:right w:val="none" w:sz="0" w:space="0" w:color="auto"/>
      </w:divBdr>
    </w:div>
    <w:div w:id="1882089687">
      <w:bodyDiv w:val="1"/>
      <w:marLeft w:val="0"/>
      <w:marRight w:val="0"/>
      <w:marTop w:val="0"/>
      <w:marBottom w:val="0"/>
      <w:divBdr>
        <w:top w:val="none" w:sz="0" w:space="0" w:color="auto"/>
        <w:left w:val="none" w:sz="0" w:space="0" w:color="auto"/>
        <w:bottom w:val="none" w:sz="0" w:space="0" w:color="auto"/>
        <w:right w:val="none" w:sz="0" w:space="0" w:color="auto"/>
      </w:divBdr>
    </w:div>
    <w:div w:id="208201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styles" Target="styles.xml"/><Relationship Id="rId5" Type="http://schemas.microsoft.com/office/2007/relationships/stylesWithEffects" Target="stylesWithEffects.xml"/><Relationship Id="rId6" Type="http://schemas.openxmlformats.org/officeDocument/2006/relationships/settings" Target="settings.xml"/><Relationship Id="rId7" Type="http://schemas.openxmlformats.org/officeDocument/2006/relationships/webSettings" Target="webSettings.xml"/><Relationship Id="rId8" Type="http://schemas.openxmlformats.org/officeDocument/2006/relationships/footnotes" Target="footnotes.xml"/><Relationship Id="rId9" Type="http://schemas.openxmlformats.org/officeDocument/2006/relationships/endnotes" Target="endnotes.xm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731</TotalTime>
  <Pages>13</Pages>
  <Words>4657</Words>
  <Characters>26547</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Ellie McAdams</cp:lastModifiedBy>
  <cp:revision>10</cp:revision>
  <dcterms:created xsi:type="dcterms:W3CDTF">2019-10-14T15:03:00Z</dcterms:created>
  <dcterms:modified xsi:type="dcterms:W3CDTF">2019-10-28T14:23:00Z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ZOTERO_PREF_1">
    <vt:lpwstr>&lt;data data-version="3" zotero-version="5.0.75"&gt;&lt;session id="s5EcVxod"/&gt;&lt;style id="http://www.zotero.org/styles/elsevier-harvard" hasBibliography="1" bibliographyStyleHasBeenSet="0"/&gt;&lt;prefs&gt;&lt;pref name="fieldType" value="Field"/&gt;&lt;/prefs&gt;&lt;/data&gt;</vt:lpwstr>
  </property>
</Properties>
</file>