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B1D03" w14:textId="437B4E8F" w:rsidR="005B2E93" w:rsidRPr="00A42080" w:rsidRDefault="00EA2CD1" w:rsidP="00EB7B76">
      <w:pPr>
        <w:rPr>
          <w:rFonts w:ascii="Times New Roman" w:hAnsi="Times New Roman" w:cs="Times New Roman"/>
          <w:b/>
          <w:bCs/>
          <w:sz w:val="24"/>
          <w:szCs w:val="24"/>
        </w:rPr>
      </w:pPr>
      <w:r>
        <w:rPr>
          <w:rFonts w:ascii="Times New Roman" w:hAnsi="Times New Roman" w:cs="Times New Roman"/>
          <w:b/>
          <w:bCs/>
          <w:sz w:val="24"/>
          <w:szCs w:val="24"/>
        </w:rPr>
        <w:t>The Snettisham Torc: A Biography</w:t>
      </w:r>
      <w:r w:rsidR="001B12F6">
        <w:rPr>
          <w:rFonts w:ascii="Times New Roman" w:hAnsi="Times New Roman" w:cs="Times New Roman"/>
          <w:b/>
          <w:bCs/>
          <w:sz w:val="24"/>
          <w:szCs w:val="24"/>
        </w:rPr>
        <w:t xml:space="preserve"> by</w:t>
      </w:r>
      <w:r>
        <w:rPr>
          <w:rFonts w:ascii="Times New Roman" w:hAnsi="Times New Roman" w:cs="Times New Roman"/>
          <w:b/>
          <w:bCs/>
          <w:sz w:val="24"/>
          <w:szCs w:val="24"/>
        </w:rPr>
        <w:t xml:space="preserve"> </w:t>
      </w:r>
      <w:r w:rsidR="00C268D5">
        <w:rPr>
          <w:rFonts w:ascii="Times New Roman" w:hAnsi="Times New Roman" w:cs="Times New Roman"/>
          <w:b/>
          <w:bCs/>
          <w:sz w:val="24"/>
          <w:szCs w:val="24"/>
        </w:rPr>
        <w:t>David Trowt</w:t>
      </w:r>
      <w:r>
        <w:rPr>
          <w:rFonts w:ascii="Times New Roman" w:hAnsi="Times New Roman" w:cs="Times New Roman"/>
          <w:b/>
          <w:bCs/>
          <w:sz w:val="24"/>
          <w:szCs w:val="24"/>
        </w:rPr>
        <w:t>.</w:t>
      </w:r>
    </w:p>
    <w:p w14:paraId="49570D83" w14:textId="77777777" w:rsidR="00EB7B76" w:rsidRPr="00A42080" w:rsidRDefault="00EB7B76" w:rsidP="00EB7B76">
      <w:pPr>
        <w:rPr>
          <w:rFonts w:ascii="Times New Roman" w:hAnsi="Times New Roman" w:cs="Times New Roman"/>
          <w:b/>
          <w:bCs/>
          <w:sz w:val="24"/>
          <w:szCs w:val="24"/>
        </w:rPr>
      </w:pPr>
    </w:p>
    <w:p w14:paraId="56EFDCAE" w14:textId="2B722963" w:rsidR="00EB7B76" w:rsidRPr="00A42080" w:rsidRDefault="00EB7B76" w:rsidP="00EB7B76">
      <w:pPr>
        <w:rPr>
          <w:rFonts w:ascii="Times New Roman" w:hAnsi="Times New Roman" w:cs="Times New Roman"/>
          <w:sz w:val="24"/>
          <w:szCs w:val="24"/>
        </w:rPr>
      </w:pPr>
      <w:r w:rsidRPr="004738AA">
        <w:rPr>
          <w:rFonts w:ascii="Times New Roman" w:hAnsi="Times New Roman" w:cs="Times New Roman"/>
          <w:sz w:val="24"/>
          <w:szCs w:val="24"/>
          <w:u w:val="single"/>
        </w:rPr>
        <w:t>Introduction</w:t>
      </w:r>
      <w:r w:rsidRPr="00A42080">
        <w:rPr>
          <w:rFonts w:ascii="Times New Roman" w:hAnsi="Times New Roman" w:cs="Times New Roman"/>
          <w:sz w:val="24"/>
          <w:szCs w:val="24"/>
        </w:rPr>
        <w:t>:</w:t>
      </w:r>
    </w:p>
    <w:p w14:paraId="0847409D" w14:textId="26EC472C" w:rsidR="00EB7B76" w:rsidRPr="00A42080" w:rsidRDefault="000F7ED2" w:rsidP="00EB7B76">
      <w:pPr>
        <w:rPr>
          <w:rFonts w:ascii="Times New Roman" w:hAnsi="Times New Roman" w:cs="Times New Roman"/>
          <w:sz w:val="24"/>
          <w:szCs w:val="24"/>
        </w:rPr>
      </w:pPr>
      <w:r w:rsidRPr="00A42080">
        <w:rPr>
          <w:rFonts w:ascii="Times New Roman" w:hAnsi="Times New Roman" w:cs="Times New Roman"/>
          <w:sz w:val="24"/>
          <w:szCs w:val="24"/>
        </w:rPr>
        <w:t xml:space="preserve">The idea of a piece of art being </w:t>
      </w:r>
      <w:r w:rsidRPr="00A42080">
        <w:rPr>
          <w:rFonts w:ascii="Times New Roman" w:hAnsi="Times New Roman" w:cs="Times New Roman"/>
          <w:i/>
          <w:iCs/>
          <w:sz w:val="24"/>
          <w:szCs w:val="24"/>
        </w:rPr>
        <w:t>Celtic</w:t>
      </w:r>
      <w:r w:rsidRPr="00A42080">
        <w:rPr>
          <w:rFonts w:ascii="Times New Roman" w:hAnsi="Times New Roman" w:cs="Times New Roman"/>
          <w:sz w:val="24"/>
          <w:szCs w:val="24"/>
        </w:rPr>
        <w:t xml:space="preserve"> conjures, at least for most in the modern era, a picture of swirling patterns, knotwork and elaborate jewellery. Modern-day silversmiths create objects that are mass produced and inscribed with a perceived pattern of Celtic origin, but the question that must be asked in these cases and, in those of objects found buried for hundreds of years, </w:t>
      </w:r>
      <w:r w:rsidR="00C54029">
        <w:rPr>
          <w:rFonts w:ascii="Times New Roman" w:hAnsi="Times New Roman" w:cs="Times New Roman"/>
          <w:sz w:val="24"/>
          <w:szCs w:val="24"/>
        </w:rPr>
        <w:t xml:space="preserve">is </w:t>
      </w:r>
      <w:r w:rsidRPr="00A42080">
        <w:rPr>
          <w:rFonts w:ascii="Times New Roman" w:hAnsi="Times New Roman" w:cs="Times New Roman"/>
          <w:sz w:val="24"/>
          <w:szCs w:val="24"/>
        </w:rPr>
        <w:t>what makes them Celtic</w:t>
      </w:r>
      <w:r w:rsidR="00C54029">
        <w:rPr>
          <w:rFonts w:ascii="Times New Roman" w:hAnsi="Times New Roman" w:cs="Times New Roman"/>
          <w:sz w:val="24"/>
          <w:szCs w:val="24"/>
        </w:rPr>
        <w:t>?</w:t>
      </w:r>
      <w:r w:rsidR="0007710B" w:rsidRPr="00A42080">
        <w:rPr>
          <w:rFonts w:ascii="Times New Roman" w:hAnsi="Times New Roman" w:cs="Times New Roman"/>
          <w:sz w:val="24"/>
          <w:szCs w:val="24"/>
        </w:rPr>
        <w:t xml:space="preserve"> Lloyd and Jennifer Laing describe Celtic Art thus, ‘Celtic is a term applied to art in a diversity of styles’</w:t>
      </w:r>
      <w:r w:rsidR="00A42080" w:rsidRPr="00A42080">
        <w:rPr>
          <w:rFonts w:ascii="Times New Roman" w:hAnsi="Times New Roman" w:cs="Times New Roman"/>
          <w:sz w:val="24"/>
          <w:szCs w:val="24"/>
        </w:rPr>
        <w:t>.</w:t>
      </w:r>
      <w:r w:rsidR="0007710B" w:rsidRPr="00A42080">
        <w:rPr>
          <w:rStyle w:val="FootnoteReference"/>
          <w:rFonts w:ascii="Times New Roman" w:hAnsi="Times New Roman" w:cs="Times New Roman"/>
          <w:sz w:val="24"/>
          <w:szCs w:val="24"/>
        </w:rPr>
        <w:footnoteReference w:id="1"/>
      </w:r>
      <w:r w:rsidR="0007710B" w:rsidRPr="00A42080">
        <w:rPr>
          <w:rFonts w:ascii="Times New Roman" w:hAnsi="Times New Roman" w:cs="Times New Roman"/>
          <w:sz w:val="24"/>
          <w:szCs w:val="24"/>
        </w:rPr>
        <w:t xml:space="preserve"> </w:t>
      </w:r>
      <w:r w:rsidR="0005790E" w:rsidRPr="00A42080">
        <w:rPr>
          <w:rFonts w:ascii="Times New Roman" w:hAnsi="Times New Roman" w:cs="Times New Roman"/>
          <w:sz w:val="24"/>
          <w:szCs w:val="24"/>
        </w:rPr>
        <w:t xml:space="preserve">This implies that the </w:t>
      </w:r>
      <w:r w:rsidR="0005790E" w:rsidRPr="00A42080">
        <w:rPr>
          <w:rFonts w:ascii="Times New Roman" w:hAnsi="Times New Roman" w:cs="Times New Roman"/>
          <w:i/>
          <w:iCs/>
          <w:sz w:val="24"/>
          <w:szCs w:val="24"/>
        </w:rPr>
        <w:t>Celts</w:t>
      </w:r>
      <w:r w:rsidR="0005790E" w:rsidRPr="00A42080">
        <w:rPr>
          <w:rFonts w:ascii="Times New Roman" w:hAnsi="Times New Roman" w:cs="Times New Roman"/>
          <w:sz w:val="24"/>
          <w:szCs w:val="24"/>
        </w:rPr>
        <w:t xml:space="preserve"> drew inspiration from different sources in their art to produce their own version of it. </w:t>
      </w:r>
      <w:r w:rsidR="0007710B" w:rsidRPr="00A42080">
        <w:rPr>
          <w:rFonts w:ascii="Times New Roman" w:hAnsi="Times New Roman" w:cs="Times New Roman"/>
          <w:sz w:val="24"/>
          <w:szCs w:val="24"/>
        </w:rPr>
        <w:t xml:space="preserve">The most common term for the beginnings of </w:t>
      </w:r>
      <w:r w:rsidR="0005790E" w:rsidRPr="00A42080">
        <w:rPr>
          <w:rFonts w:ascii="Times New Roman" w:hAnsi="Times New Roman" w:cs="Times New Roman"/>
          <w:sz w:val="24"/>
          <w:szCs w:val="24"/>
        </w:rPr>
        <w:t xml:space="preserve">this style of </w:t>
      </w:r>
      <w:r w:rsidR="0007710B" w:rsidRPr="00A42080">
        <w:rPr>
          <w:rFonts w:ascii="Times New Roman" w:hAnsi="Times New Roman" w:cs="Times New Roman"/>
          <w:sz w:val="24"/>
          <w:szCs w:val="24"/>
        </w:rPr>
        <w:t xml:space="preserve">Celtic Art is </w:t>
      </w:r>
      <w:r w:rsidR="0007710B" w:rsidRPr="00A42080">
        <w:rPr>
          <w:rFonts w:ascii="Times New Roman" w:hAnsi="Times New Roman" w:cs="Times New Roman"/>
          <w:i/>
          <w:iCs/>
          <w:sz w:val="24"/>
          <w:szCs w:val="24"/>
        </w:rPr>
        <w:t>La</w:t>
      </w:r>
      <w:r w:rsidR="00D673F5">
        <w:rPr>
          <w:rFonts w:ascii="Times New Roman" w:hAnsi="Times New Roman" w:cs="Times New Roman"/>
          <w:i/>
          <w:iCs/>
          <w:sz w:val="24"/>
          <w:szCs w:val="24"/>
        </w:rPr>
        <w:t xml:space="preserve"> </w:t>
      </w:r>
      <w:r w:rsidR="00D673F5" w:rsidRPr="00A42080">
        <w:rPr>
          <w:rFonts w:ascii="Times New Roman" w:hAnsi="Times New Roman" w:cs="Times New Roman"/>
          <w:i/>
          <w:iCs/>
          <w:sz w:val="24"/>
          <w:szCs w:val="24"/>
        </w:rPr>
        <w:t>T</w:t>
      </w:r>
      <w:r w:rsidR="00D673F5">
        <w:rPr>
          <w:rFonts w:ascii="Times New Roman" w:hAnsi="Times New Roman" w:cs="Times New Roman"/>
          <w:i/>
          <w:iCs/>
          <w:sz w:val="24"/>
          <w:szCs w:val="24"/>
        </w:rPr>
        <w:t>è</w:t>
      </w:r>
      <w:r w:rsidR="00D673F5" w:rsidRPr="00A42080">
        <w:rPr>
          <w:rFonts w:ascii="Times New Roman" w:hAnsi="Times New Roman" w:cs="Times New Roman"/>
          <w:i/>
          <w:iCs/>
          <w:sz w:val="24"/>
          <w:szCs w:val="24"/>
        </w:rPr>
        <w:t>ne</w:t>
      </w:r>
      <w:r w:rsidR="0005790E" w:rsidRPr="00A42080">
        <w:rPr>
          <w:rFonts w:ascii="Times New Roman" w:hAnsi="Times New Roman" w:cs="Times New Roman"/>
          <w:sz w:val="24"/>
          <w:szCs w:val="24"/>
        </w:rPr>
        <w:t>. T</w:t>
      </w:r>
      <w:r w:rsidR="0007710B" w:rsidRPr="00A42080">
        <w:rPr>
          <w:rFonts w:ascii="Times New Roman" w:hAnsi="Times New Roman" w:cs="Times New Roman"/>
          <w:sz w:val="24"/>
          <w:szCs w:val="24"/>
        </w:rPr>
        <w:t xml:space="preserve">his is a style of art </w:t>
      </w:r>
      <w:r w:rsidR="0005790E" w:rsidRPr="00A42080">
        <w:rPr>
          <w:rFonts w:ascii="Times New Roman" w:hAnsi="Times New Roman" w:cs="Times New Roman"/>
          <w:sz w:val="24"/>
          <w:szCs w:val="24"/>
        </w:rPr>
        <w:t xml:space="preserve">produced from the western Switzerland region of Europe during the later Iron Age period of around 500BCE up until the </w:t>
      </w:r>
      <w:r w:rsidR="00D673F5">
        <w:rPr>
          <w:rFonts w:ascii="Times New Roman" w:hAnsi="Times New Roman" w:cs="Times New Roman"/>
          <w:sz w:val="24"/>
          <w:szCs w:val="24"/>
        </w:rPr>
        <w:t>first</w:t>
      </w:r>
      <w:r w:rsidR="0005790E" w:rsidRPr="00A42080">
        <w:rPr>
          <w:rFonts w:ascii="Times New Roman" w:hAnsi="Times New Roman" w:cs="Times New Roman"/>
          <w:sz w:val="24"/>
          <w:szCs w:val="24"/>
        </w:rPr>
        <w:t xml:space="preserve"> </w:t>
      </w:r>
      <w:r w:rsidR="00D673F5">
        <w:rPr>
          <w:rFonts w:ascii="Times New Roman" w:hAnsi="Times New Roman" w:cs="Times New Roman"/>
          <w:sz w:val="24"/>
          <w:szCs w:val="24"/>
        </w:rPr>
        <w:t>c</w:t>
      </w:r>
      <w:r w:rsidR="0005790E" w:rsidRPr="00A42080">
        <w:rPr>
          <w:rFonts w:ascii="Times New Roman" w:hAnsi="Times New Roman" w:cs="Times New Roman"/>
          <w:sz w:val="24"/>
          <w:szCs w:val="24"/>
        </w:rPr>
        <w:t>entury BCE and is one that</w:t>
      </w:r>
      <w:r w:rsidR="00A42080" w:rsidRPr="00A42080">
        <w:rPr>
          <w:rFonts w:ascii="Times New Roman" w:hAnsi="Times New Roman" w:cs="Times New Roman"/>
          <w:sz w:val="24"/>
          <w:szCs w:val="24"/>
        </w:rPr>
        <w:t xml:space="preserve">, in very broad terms, set the standard for the art that followed it in the British Isles. An example of this styling is the </w:t>
      </w:r>
      <w:r w:rsidR="00A42080" w:rsidRPr="009D1CC4">
        <w:rPr>
          <w:rFonts w:ascii="Times New Roman" w:hAnsi="Times New Roman" w:cs="Times New Roman"/>
          <w:i/>
          <w:iCs/>
          <w:sz w:val="24"/>
          <w:szCs w:val="24"/>
        </w:rPr>
        <w:t>Great Torc</w:t>
      </w:r>
      <w:r w:rsidR="009D1CC4">
        <w:rPr>
          <w:rStyle w:val="FootnoteReference"/>
          <w:rFonts w:ascii="Times New Roman" w:hAnsi="Times New Roman" w:cs="Times New Roman"/>
          <w:i/>
          <w:iCs/>
          <w:sz w:val="24"/>
          <w:szCs w:val="24"/>
        </w:rPr>
        <w:footnoteReference w:id="2"/>
      </w:r>
      <w:r w:rsidR="00A42080" w:rsidRPr="00A42080">
        <w:rPr>
          <w:rFonts w:ascii="Times New Roman" w:hAnsi="Times New Roman" w:cs="Times New Roman"/>
          <w:sz w:val="24"/>
          <w:szCs w:val="24"/>
        </w:rPr>
        <w:t xml:space="preserve"> </w:t>
      </w:r>
      <w:r w:rsidR="009D1CC4">
        <w:rPr>
          <w:rFonts w:ascii="Times New Roman" w:hAnsi="Times New Roman" w:cs="Times New Roman"/>
          <w:sz w:val="24"/>
          <w:szCs w:val="24"/>
        </w:rPr>
        <w:t xml:space="preserve">(figure 1) </w:t>
      </w:r>
      <w:r w:rsidR="00A42080" w:rsidRPr="00A42080">
        <w:rPr>
          <w:rFonts w:ascii="Times New Roman" w:hAnsi="Times New Roman" w:cs="Times New Roman"/>
          <w:sz w:val="24"/>
          <w:szCs w:val="24"/>
        </w:rPr>
        <w:t>found near Snettisham, described by the British Museum as a ‘technical masterpiece</w:t>
      </w:r>
      <w:r w:rsidR="00A42080">
        <w:rPr>
          <w:rFonts w:ascii="Times New Roman" w:hAnsi="Times New Roman" w:cs="Times New Roman"/>
          <w:sz w:val="24"/>
          <w:szCs w:val="24"/>
        </w:rPr>
        <w:t>.</w:t>
      </w:r>
      <w:r w:rsidR="00A42080" w:rsidRPr="00A42080">
        <w:rPr>
          <w:rFonts w:ascii="Times New Roman" w:hAnsi="Times New Roman" w:cs="Times New Roman"/>
          <w:sz w:val="24"/>
          <w:szCs w:val="24"/>
        </w:rPr>
        <w:t>’</w:t>
      </w:r>
      <w:r w:rsidR="00A42080">
        <w:rPr>
          <w:rStyle w:val="FootnoteReference"/>
          <w:rFonts w:ascii="Times New Roman" w:hAnsi="Times New Roman" w:cs="Times New Roman"/>
          <w:sz w:val="24"/>
          <w:szCs w:val="24"/>
        </w:rPr>
        <w:footnoteReference w:id="3"/>
      </w:r>
      <w:r w:rsidR="00A42080">
        <w:rPr>
          <w:rFonts w:ascii="Times New Roman" w:hAnsi="Times New Roman" w:cs="Times New Roman"/>
          <w:sz w:val="24"/>
          <w:szCs w:val="24"/>
        </w:rPr>
        <w:t xml:space="preserve"> It is this torc that will be discussed with this essay</w:t>
      </w:r>
      <w:r w:rsidR="007A5B4B">
        <w:rPr>
          <w:rFonts w:ascii="Times New Roman" w:hAnsi="Times New Roman" w:cs="Times New Roman"/>
          <w:sz w:val="24"/>
          <w:szCs w:val="24"/>
        </w:rPr>
        <w:t xml:space="preserve"> in the following paragraphs with the overriding question, what makes it Celtic?</w:t>
      </w:r>
    </w:p>
    <w:p w14:paraId="111B797F" w14:textId="77777777" w:rsidR="009D1CC4" w:rsidRDefault="009D1CC4" w:rsidP="009D1CC4">
      <w:pPr>
        <w:keepNext/>
        <w:jc w:val="center"/>
      </w:pPr>
      <w:r w:rsidRPr="009D1CC4">
        <w:rPr>
          <w:rFonts w:ascii="Times New Roman" w:hAnsi="Times New Roman" w:cs="Times New Roman"/>
          <w:noProof/>
          <w:sz w:val="24"/>
          <w:szCs w:val="24"/>
        </w:rPr>
        <w:drawing>
          <wp:inline distT="0" distB="0" distL="0" distR="0" wp14:anchorId="5F1F3458" wp14:editId="60746427">
            <wp:extent cx="4505325" cy="3512516"/>
            <wp:effectExtent l="0" t="0" r="0" b="0"/>
            <wp:docPr id="508803127" name="Picture 1" descr="A gold bracelet with a couple of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03127" name="Picture 1" descr="A gold bracelet with a couple of holes&#10;&#10;AI-generated content may be incorrect."/>
                    <pic:cNvPicPr/>
                  </pic:nvPicPr>
                  <pic:blipFill>
                    <a:blip r:embed="rId7"/>
                    <a:stretch>
                      <a:fillRect/>
                    </a:stretch>
                  </pic:blipFill>
                  <pic:spPr>
                    <a:xfrm>
                      <a:off x="0" y="0"/>
                      <a:ext cx="4512329" cy="3517977"/>
                    </a:xfrm>
                    <a:prstGeom prst="rect">
                      <a:avLst/>
                    </a:prstGeom>
                  </pic:spPr>
                </pic:pic>
              </a:graphicData>
            </a:graphic>
          </wp:inline>
        </w:drawing>
      </w:r>
    </w:p>
    <w:p w14:paraId="2FE63E7B" w14:textId="7B1C4885" w:rsidR="00EB7B76" w:rsidRPr="00A42080" w:rsidRDefault="009D1CC4" w:rsidP="009D1CC4">
      <w:pPr>
        <w:pStyle w:val="Caption"/>
        <w:jc w:val="center"/>
        <w:rPr>
          <w:rFonts w:ascii="Times New Roman" w:hAnsi="Times New Roman" w:cs="Times New Roman"/>
          <w:sz w:val="24"/>
          <w:szCs w:val="24"/>
        </w:rPr>
      </w:pPr>
      <w:r>
        <w:t xml:space="preserve">Figure </w:t>
      </w:r>
      <w:fldSimple w:instr=" SEQ Figure \* ARABIC ">
        <w:r w:rsidR="00542575">
          <w:rPr>
            <w:noProof/>
          </w:rPr>
          <w:t>1</w:t>
        </w:r>
      </w:fldSimple>
    </w:p>
    <w:p w14:paraId="0E7373FF" w14:textId="77777777" w:rsidR="00EA2CD1" w:rsidRDefault="00EA2CD1" w:rsidP="00EB7B76">
      <w:pPr>
        <w:rPr>
          <w:rFonts w:ascii="Times New Roman" w:hAnsi="Times New Roman" w:cs="Times New Roman"/>
          <w:sz w:val="24"/>
          <w:szCs w:val="24"/>
        </w:rPr>
      </w:pPr>
    </w:p>
    <w:p w14:paraId="735BE09E" w14:textId="0498EB85" w:rsidR="00EB7B76" w:rsidRPr="00A42080" w:rsidRDefault="00EB7B76" w:rsidP="00EB7B76">
      <w:pPr>
        <w:rPr>
          <w:rFonts w:ascii="Times New Roman" w:hAnsi="Times New Roman" w:cs="Times New Roman"/>
          <w:sz w:val="24"/>
          <w:szCs w:val="24"/>
        </w:rPr>
      </w:pPr>
      <w:r w:rsidRPr="004738AA">
        <w:rPr>
          <w:rFonts w:ascii="Times New Roman" w:hAnsi="Times New Roman" w:cs="Times New Roman"/>
          <w:sz w:val="24"/>
          <w:szCs w:val="24"/>
          <w:u w:val="single"/>
        </w:rPr>
        <w:lastRenderedPageBreak/>
        <w:t>Discovery</w:t>
      </w:r>
      <w:r w:rsidRPr="00A42080">
        <w:rPr>
          <w:rFonts w:ascii="Times New Roman" w:hAnsi="Times New Roman" w:cs="Times New Roman"/>
          <w:sz w:val="24"/>
          <w:szCs w:val="24"/>
        </w:rPr>
        <w:t>:</w:t>
      </w:r>
    </w:p>
    <w:p w14:paraId="2C6F89DB" w14:textId="19F81C96" w:rsidR="005633F0" w:rsidRDefault="0039779A" w:rsidP="00EB7B76">
      <w:pPr>
        <w:rPr>
          <w:rFonts w:ascii="Times New Roman" w:hAnsi="Times New Roman" w:cs="Times New Roman"/>
          <w:sz w:val="24"/>
          <w:szCs w:val="24"/>
        </w:rPr>
      </w:pPr>
      <w:r>
        <w:rPr>
          <w:rFonts w:ascii="Times New Roman" w:hAnsi="Times New Roman" w:cs="Times New Roman"/>
          <w:sz w:val="24"/>
          <w:szCs w:val="24"/>
        </w:rPr>
        <w:t xml:space="preserve">The first parts of what went on to become known as the </w:t>
      </w:r>
      <w:r w:rsidRPr="0039779A">
        <w:rPr>
          <w:rFonts w:ascii="Times New Roman" w:hAnsi="Times New Roman" w:cs="Times New Roman"/>
          <w:i/>
          <w:iCs/>
          <w:sz w:val="24"/>
          <w:szCs w:val="24"/>
        </w:rPr>
        <w:t>Snettisham Hoard</w:t>
      </w:r>
      <w:r>
        <w:rPr>
          <w:rFonts w:ascii="Times New Roman" w:hAnsi="Times New Roman" w:cs="Times New Roman"/>
          <w:sz w:val="24"/>
          <w:szCs w:val="24"/>
        </w:rPr>
        <w:t xml:space="preserve"> w</w:t>
      </w:r>
      <w:r w:rsidR="00670AC7">
        <w:rPr>
          <w:rFonts w:ascii="Times New Roman" w:hAnsi="Times New Roman" w:cs="Times New Roman"/>
          <w:sz w:val="24"/>
          <w:szCs w:val="24"/>
        </w:rPr>
        <w:t>ere</w:t>
      </w:r>
      <w:r>
        <w:rPr>
          <w:rFonts w:ascii="Times New Roman" w:hAnsi="Times New Roman" w:cs="Times New Roman"/>
          <w:sz w:val="24"/>
          <w:szCs w:val="24"/>
        </w:rPr>
        <w:t xml:space="preserve"> first discovered by a ploughman, Ray Williamson, in a field at Ken Hill, Snettisham in 1948.</w:t>
      </w:r>
      <w:r w:rsidR="00454017">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Whilst ploughing he found four gold torcs, in mostly complete condition. His colleague, Tom Rout in 1950, whilst also ploughing, found </w:t>
      </w:r>
      <w:r w:rsidR="00F001BD">
        <w:rPr>
          <w:rFonts w:ascii="Times New Roman" w:hAnsi="Times New Roman" w:cs="Times New Roman"/>
          <w:sz w:val="24"/>
          <w:szCs w:val="24"/>
        </w:rPr>
        <w:t xml:space="preserve">firstly a single gold torc with a ring fitted into one terminal, this was designated as </w:t>
      </w:r>
      <w:r w:rsidR="00F001BD" w:rsidRPr="00F001BD">
        <w:rPr>
          <w:rFonts w:ascii="Times New Roman" w:hAnsi="Times New Roman" w:cs="Times New Roman"/>
          <w:i/>
          <w:iCs/>
          <w:sz w:val="24"/>
          <w:szCs w:val="24"/>
        </w:rPr>
        <w:t>Hoard D</w:t>
      </w:r>
      <w:r w:rsidR="00F001BD">
        <w:rPr>
          <w:rStyle w:val="FootnoteReference"/>
          <w:rFonts w:ascii="Times New Roman" w:hAnsi="Times New Roman" w:cs="Times New Roman"/>
          <w:i/>
          <w:iCs/>
          <w:sz w:val="24"/>
          <w:szCs w:val="24"/>
        </w:rPr>
        <w:footnoteReference w:id="5"/>
      </w:r>
      <w:r w:rsidR="00F001BD">
        <w:rPr>
          <w:rFonts w:ascii="Times New Roman" w:hAnsi="Times New Roman" w:cs="Times New Roman"/>
          <w:sz w:val="24"/>
          <w:szCs w:val="24"/>
        </w:rPr>
        <w:t xml:space="preserve"> for the site. </w:t>
      </w:r>
      <w:r w:rsidR="005633F0">
        <w:rPr>
          <w:rFonts w:ascii="Times New Roman" w:hAnsi="Times New Roman" w:cs="Times New Roman"/>
          <w:sz w:val="24"/>
          <w:szCs w:val="24"/>
        </w:rPr>
        <w:t>A week later</w:t>
      </w:r>
      <w:r w:rsidR="00F001BD">
        <w:rPr>
          <w:rFonts w:ascii="Times New Roman" w:hAnsi="Times New Roman" w:cs="Times New Roman"/>
          <w:sz w:val="24"/>
          <w:szCs w:val="24"/>
        </w:rPr>
        <w:t xml:space="preserve"> he discovered a further deposit and </w:t>
      </w:r>
      <w:r w:rsidR="00C54029">
        <w:rPr>
          <w:rFonts w:ascii="Times New Roman" w:hAnsi="Times New Roman" w:cs="Times New Roman"/>
          <w:sz w:val="24"/>
          <w:szCs w:val="24"/>
        </w:rPr>
        <w:t>within which an item that has</w:t>
      </w:r>
      <w:r>
        <w:rPr>
          <w:rFonts w:ascii="Times New Roman" w:hAnsi="Times New Roman" w:cs="Times New Roman"/>
          <w:sz w:val="24"/>
          <w:szCs w:val="24"/>
        </w:rPr>
        <w:t xml:space="preserve"> become known as t</w:t>
      </w:r>
      <w:r w:rsidR="009D1CC4">
        <w:rPr>
          <w:rFonts w:ascii="Times New Roman" w:hAnsi="Times New Roman" w:cs="Times New Roman"/>
          <w:sz w:val="24"/>
          <w:szCs w:val="24"/>
        </w:rPr>
        <w:t xml:space="preserve">he </w:t>
      </w:r>
      <w:r w:rsidR="009D1CC4" w:rsidRPr="009D1CC4">
        <w:rPr>
          <w:rFonts w:ascii="Times New Roman" w:hAnsi="Times New Roman" w:cs="Times New Roman"/>
          <w:i/>
          <w:iCs/>
          <w:sz w:val="24"/>
          <w:szCs w:val="24"/>
        </w:rPr>
        <w:t>Great Torc</w:t>
      </w:r>
      <w:r w:rsidR="00EA2CD1">
        <w:rPr>
          <w:rFonts w:ascii="Times New Roman" w:hAnsi="Times New Roman" w:cs="Times New Roman"/>
          <w:sz w:val="24"/>
          <w:szCs w:val="24"/>
        </w:rPr>
        <w:t>, pictured above</w:t>
      </w:r>
      <w:r w:rsidR="00454017">
        <w:rPr>
          <w:rFonts w:ascii="Times New Roman" w:hAnsi="Times New Roman" w:cs="Times New Roman"/>
          <w:sz w:val="24"/>
          <w:szCs w:val="24"/>
        </w:rPr>
        <w:t>.</w:t>
      </w:r>
      <w:r w:rsidR="00C268D5">
        <w:rPr>
          <w:rFonts w:ascii="Times New Roman" w:hAnsi="Times New Roman" w:cs="Times New Roman"/>
          <w:sz w:val="24"/>
          <w:szCs w:val="24"/>
        </w:rPr>
        <w:t xml:space="preserve"> Al</w:t>
      </w:r>
      <w:r w:rsidR="00426A86">
        <w:rPr>
          <w:rFonts w:ascii="Times New Roman" w:hAnsi="Times New Roman" w:cs="Times New Roman"/>
          <w:sz w:val="24"/>
          <w:szCs w:val="24"/>
        </w:rPr>
        <w:t>so found</w:t>
      </w:r>
      <w:r w:rsidR="00C268D5">
        <w:rPr>
          <w:rFonts w:ascii="Times New Roman" w:hAnsi="Times New Roman" w:cs="Times New Roman"/>
          <w:sz w:val="24"/>
          <w:szCs w:val="24"/>
        </w:rPr>
        <w:t xml:space="preserve"> with this discovery</w:t>
      </w:r>
      <w:r w:rsidR="00426A86">
        <w:rPr>
          <w:rFonts w:ascii="Times New Roman" w:hAnsi="Times New Roman" w:cs="Times New Roman"/>
          <w:sz w:val="24"/>
          <w:szCs w:val="24"/>
        </w:rPr>
        <w:t xml:space="preserve"> were</w:t>
      </w:r>
      <w:r w:rsidR="00C268D5">
        <w:rPr>
          <w:rFonts w:ascii="Times New Roman" w:hAnsi="Times New Roman" w:cs="Times New Roman"/>
          <w:sz w:val="24"/>
          <w:szCs w:val="24"/>
        </w:rPr>
        <w:t xml:space="preserve"> a gold bracelet, a broken gold alloy torc </w:t>
      </w:r>
      <w:r w:rsidR="003645A7">
        <w:rPr>
          <w:rFonts w:ascii="Times New Roman" w:hAnsi="Times New Roman" w:cs="Times New Roman"/>
          <w:sz w:val="24"/>
          <w:szCs w:val="24"/>
        </w:rPr>
        <w:t>(secured through one of the torc terminals</w:t>
      </w:r>
      <w:r w:rsidR="00426A86">
        <w:rPr>
          <w:rFonts w:ascii="Times New Roman" w:hAnsi="Times New Roman" w:cs="Times New Roman"/>
          <w:sz w:val="24"/>
          <w:szCs w:val="24"/>
        </w:rPr>
        <w:t>)</w:t>
      </w:r>
      <w:r w:rsidR="003645A7">
        <w:rPr>
          <w:rFonts w:ascii="Times New Roman" w:hAnsi="Times New Roman" w:cs="Times New Roman"/>
          <w:sz w:val="24"/>
          <w:szCs w:val="24"/>
        </w:rPr>
        <w:t xml:space="preserve"> </w:t>
      </w:r>
      <w:r w:rsidR="00C268D5">
        <w:rPr>
          <w:rFonts w:ascii="Times New Roman" w:hAnsi="Times New Roman" w:cs="Times New Roman"/>
          <w:sz w:val="24"/>
          <w:szCs w:val="24"/>
        </w:rPr>
        <w:t>and a gold coin</w:t>
      </w:r>
      <w:r w:rsidR="00426A86">
        <w:rPr>
          <w:rFonts w:ascii="Times New Roman" w:hAnsi="Times New Roman" w:cs="Times New Roman"/>
          <w:sz w:val="24"/>
          <w:szCs w:val="24"/>
        </w:rPr>
        <w:t>,</w:t>
      </w:r>
      <w:r w:rsidR="00C268D5">
        <w:rPr>
          <w:rFonts w:ascii="Times New Roman" w:hAnsi="Times New Roman" w:cs="Times New Roman"/>
          <w:sz w:val="24"/>
          <w:szCs w:val="24"/>
        </w:rPr>
        <w:t xml:space="preserve"> which was found wedged in the ropes of the larger </w:t>
      </w:r>
      <w:r w:rsidR="00EA2CD1">
        <w:rPr>
          <w:rFonts w:ascii="Times New Roman" w:hAnsi="Times New Roman" w:cs="Times New Roman"/>
          <w:sz w:val="24"/>
          <w:szCs w:val="24"/>
        </w:rPr>
        <w:t>t</w:t>
      </w:r>
      <w:r w:rsidR="00C268D5">
        <w:rPr>
          <w:rFonts w:ascii="Times New Roman" w:hAnsi="Times New Roman" w:cs="Times New Roman"/>
          <w:sz w:val="24"/>
          <w:szCs w:val="24"/>
        </w:rPr>
        <w:t>orc</w:t>
      </w:r>
      <w:r w:rsidR="00426A86">
        <w:rPr>
          <w:rFonts w:ascii="Times New Roman" w:hAnsi="Times New Roman" w:cs="Times New Roman"/>
          <w:sz w:val="24"/>
          <w:szCs w:val="24"/>
        </w:rPr>
        <w:t>;</w:t>
      </w:r>
      <w:r w:rsidR="00C268D5">
        <w:rPr>
          <w:rStyle w:val="FootnoteReference"/>
          <w:rFonts w:ascii="Times New Roman" w:hAnsi="Times New Roman" w:cs="Times New Roman"/>
          <w:sz w:val="24"/>
          <w:szCs w:val="24"/>
        </w:rPr>
        <w:footnoteReference w:id="6"/>
      </w:r>
      <w:r w:rsidR="003645A7">
        <w:rPr>
          <w:rFonts w:ascii="Times New Roman" w:hAnsi="Times New Roman" w:cs="Times New Roman"/>
          <w:sz w:val="24"/>
          <w:szCs w:val="24"/>
        </w:rPr>
        <w:t xml:space="preserve"> figure 2 shows a reconstruction </w:t>
      </w:r>
      <w:r w:rsidR="00344E1E">
        <w:rPr>
          <w:rFonts w:ascii="Times New Roman" w:hAnsi="Times New Roman" w:cs="Times New Roman"/>
          <w:sz w:val="24"/>
          <w:szCs w:val="24"/>
        </w:rPr>
        <w:t>of this.</w:t>
      </w:r>
      <w:r w:rsidR="00EA2CD1">
        <w:rPr>
          <w:rFonts w:ascii="Times New Roman" w:hAnsi="Times New Roman" w:cs="Times New Roman"/>
          <w:sz w:val="24"/>
          <w:szCs w:val="24"/>
        </w:rPr>
        <w:t xml:space="preserve"> These items were designated as </w:t>
      </w:r>
      <w:r w:rsidR="00EA2CD1" w:rsidRPr="00EA2CD1">
        <w:rPr>
          <w:rFonts w:ascii="Times New Roman" w:hAnsi="Times New Roman" w:cs="Times New Roman"/>
          <w:i/>
          <w:iCs/>
          <w:sz w:val="24"/>
          <w:szCs w:val="24"/>
        </w:rPr>
        <w:t>Hoard E</w:t>
      </w:r>
      <w:r w:rsidR="00F001BD">
        <w:rPr>
          <w:rFonts w:ascii="Times New Roman" w:hAnsi="Times New Roman" w:cs="Times New Roman"/>
          <w:i/>
          <w:iCs/>
          <w:sz w:val="24"/>
          <w:szCs w:val="24"/>
        </w:rPr>
        <w:t>,</w:t>
      </w:r>
      <w:r w:rsidR="00EA2CD1">
        <w:rPr>
          <w:rStyle w:val="FootnoteReference"/>
          <w:rFonts w:ascii="Times New Roman" w:hAnsi="Times New Roman" w:cs="Times New Roman"/>
          <w:sz w:val="24"/>
          <w:szCs w:val="24"/>
        </w:rPr>
        <w:footnoteReference w:id="7"/>
      </w:r>
      <w:r w:rsidR="00F001BD">
        <w:rPr>
          <w:rFonts w:ascii="Times New Roman" w:hAnsi="Times New Roman" w:cs="Times New Roman"/>
          <w:sz w:val="24"/>
          <w:szCs w:val="24"/>
        </w:rPr>
        <w:t xml:space="preserve"> and this hoard along with Hoard D were handed in to authorities. Both lots were subsequently declared as a </w:t>
      </w:r>
      <w:r w:rsidR="00F001BD" w:rsidRPr="005633F0">
        <w:rPr>
          <w:rFonts w:ascii="Times New Roman" w:hAnsi="Times New Roman" w:cs="Times New Roman"/>
          <w:i/>
          <w:iCs/>
          <w:sz w:val="24"/>
          <w:szCs w:val="24"/>
        </w:rPr>
        <w:t>Treasure Trove</w:t>
      </w:r>
      <w:r w:rsidR="005633F0">
        <w:rPr>
          <w:rStyle w:val="FootnoteReference"/>
          <w:rFonts w:ascii="Times New Roman" w:hAnsi="Times New Roman" w:cs="Times New Roman"/>
          <w:i/>
          <w:iCs/>
          <w:sz w:val="24"/>
          <w:szCs w:val="24"/>
        </w:rPr>
        <w:footnoteReference w:id="8"/>
      </w:r>
      <w:r w:rsidR="00F001BD">
        <w:rPr>
          <w:rFonts w:ascii="Times New Roman" w:hAnsi="Times New Roman" w:cs="Times New Roman"/>
          <w:sz w:val="24"/>
          <w:szCs w:val="24"/>
        </w:rPr>
        <w:t xml:space="preserve"> </w:t>
      </w:r>
      <w:r w:rsidR="005633F0">
        <w:rPr>
          <w:rFonts w:ascii="Times New Roman" w:hAnsi="Times New Roman" w:cs="Times New Roman"/>
          <w:sz w:val="24"/>
          <w:szCs w:val="24"/>
        </w:rPr>
        <w:t>which the British Museum describes thus:</w:t>
      </w:r>
    </w:p>
    <w:p w14:paraId="5CC44A84" w14:textId="4E4740CA" w:rsidR="00F001BD" w:rsidRPr="00F001BD" w:rsidRDefault="005633F0" w:rsidP="005633F0">
      <w:pPr>
        <w:ind w:left="720"/>
        <w:rPr>
          <w:rFonts w:ascii="Times New Roman" w:hAnsi="Times New Roman" w:cs="Times New Roman"/>
          <w:sz w:val="24"/>
          <w:szCs w:val="24"/>
        </w:rPr>
      </w:pPr>
      <w:r>
        <w:rPr>
          <w:rFonts w:ascii="Times New Roman" w:hAnsi="Times New Roman" w:cs="Times New Roman"/>
          <w:sz w:val="24"/>
          <w:szCs w:val="24"/>
        </w:rPr>
        <w:t>Treasure Trove was a royal prerogative that gave the Crown the right to any gold or silver that had been hidden, provided the owner was unknown and that he or she had hidden it with a view to recovering it.</w:t>
      </w:r>
    </w:p>
    <w:p w14:paraId="2D965AA3" w14:textId="3CD74C33" w:rsidR="00A0432C" w:rsidRDefault="00A0432C" w:rsidP="00EB7B76">
      <w:pPr>
        <w:rPr>
          <w:rFonts w:ascii="Times New Roman" w:hAnsi="Times New Roman" w:cs="Times New Roman"/>
          <w:sz w:val="24"/>
          <w:szCs w:val="24"/>
        </w:rPr>
      </w:pPr>
      <w:r>
        <w:rPr>
          <w:rFonts w:ascii="Times New Roman" w:hAnsi="Times New Roman" w:cs="Times New Roman"/>
          <w:sz w:val="24"/>
          <w:szCs w:val="24"/>
        </w:rPr>
        <w:t>Following their designation as Treasure Trove</w:t>
      </w:r>
      <w:r w:rsidR="00D07CCD">
        <w:rPr>
          <w:rFonts w:ascii="Times New Roman" w:hAnsi="Times New Roman" w:cs="Times New Roman"/>
          <w:sz w:val="24"/>
          <w:szCs w:val="24"/>
        </w:rPr>
        <w:t>, the artifacts were</w:t>
      </w:r>
      <w:r w:rsidR="00951224">
        <w:rPr>
          <w:rFonts w:ascii="Times New Roman" w:hAnsi="Times New Roman" w:cs="Times New Roman"/>
          <w:sz w:val="24"/>
          <w:szCs w:val="24"/>
        </w:rPr>
        <w:t xml:space="preserve">, after </w:t>
      </w:r>
      <w:r w:rsidR="00670AC7">
        <w:rPr>
          <w:rFonts w:ascii="Times New Roman" w:hAnsi="Times New Roman" w:cs="Times New Roman"/>
          <w:sz w:val="24"/>
          <w:szCs w:val="24"/>
        </w:rPr>
        <w:t>some time,</w:t>
      </w:r>
      <w:r w:rsidR="00D07CCD">
        <w:rPr>
          <w:rFonts w:ascii="Times New Roman" w:hAnsi="Times New Roman" w:cs="Times New Roman"/>
          <w:sz w:val="24"/>
          <w:szCs w:val="24"/>
        </w:rPr>
        <w:t xml:space="preserve"> acquired by the British Museum</w:t>
      </w:r>
      <w:r w:rsidR="00670AC7">
        <w:rPr>
          <w:rFonts w:ascii="Times New Roman" w:hAnsi="Times New Roman" w:cs="Times New Roman"/>
          <w:sz w:val="24"/>
          <w:szCs w:val="24"/>
        </w:rPr>
        <w:t xml:space="preserve"> in 1951 where it has been analysed using various scientific methods.</w:t>
      </w:r>
      <w:r w:rsidR="00670AC7">
        <w:rPr>
          <w:rStyle w:val="FootnoteReference"/>
          <w:rFonts w:ascii="Times New Roman" w:hAnsi="Times New Roman" w:cs="Times New Roman"/>
          <w:sz w:val="24"/>
          <w:szCs w:val="24"/>
        </w:rPr>
        <w:footnoteReference w:id="9"/>
      </w:r>
      <w:r w:rsidR="00D07CCD">
        <w:rPr>
          <w:rFonts w:ascii="Times New Roman" w:hAnsi="Times New Roman" w:cs="Times New Roman"/>
          <w:sz w:val="24"/>
          <w:szCs w:val="24"/>
        </w:rPr>
        <w:t xml:space="preserve"> </w:t>
      </w:r>
    </w:p>
    <w:p w14:paraId="032E000A" w14:textId="77777777" w:rsidR="00344E1E" w:rsidRDefault="00344E1E" w:rsidP="00344E1E">
      <w:pPr>
        <w:keepNext/>
        <w:jc w:val="center"/>
      </w:pPr>
      <w:r>
        <w:rPr>
          <w:rFonts w:ascii="Times New Roman" w:hAnsi="Times New Roman" w:cs="Times New Roman"/>
          <w:noProof/>
          <w:sz w:val="24"/>
          <w:szCs w:val="24"/>
        </w:rPr>
        <w:drawing>
          <wp:inline distT="0" distB="0" distL="0" distR="0" wp14:anchorId="56C5D786" wp14:editId="304A785F">
            <wp:extent cx="3123802" cy="4164764"/>
            <wp:effectExtent l="0" t="6032" r="0" b="0"/>
            <wp:docPr id="1405528154" name="Picture 1" descr="A close-up of a brace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28154" name="Picture 1" descr="A close-up of a bracel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179212" cy="4238639"/>
                    </a:xfrm>
                    <a:prstGeom prst="rect">
                      <a:avLst/>
                    </a:prstGeom>
                  </pic:spPr>
                </pic:pic>
              </a:graphicData>
            </a:graphic>
          </wp:inline>
        </w:drawing>
      </w:r>
    </w:p>
    <w:p w14:paraId="73AA9596" w14:textId="7F3F7ACE" w:rsidR="00344E1E" w:rsidRPr="00A42080" w:rsidRDefault="00344E1E" w:rsidP="00344E1E">
      <w:pPr>
        <w:pStyle w:val="Caption"/>
        <w:jc w:val="center"/>
        <w:rPr>
          <w:rFonts w:ascii="Times New Roman" w:hAnsi="Times New Roman" w:cs="Times New Roman"/>
          <w:sz w:val="24"/>
          <w:szCs w:val="24"/>
        </w:rPr>
      </w:pPr>
      <w:r>
        <w:t xml:space="preserve">Figure </w:t>
      </w:r>
      <w:fldSimple w:instr=" SEQ Figure \* ARABIC ">
        <w:r w:rsidR="00542575">
          <w:rPr>
            <w:noProof/>
          </w:rPr>
          <w:t>2</w:t>
        </w:r>
      </w:fldSimple>
    </w:p>
    <w:p w14:paraId="1D93FBD1" w14:textId="2F9ED11F" w:rsidR="00614084" w:rsidRDefault="00454C7A" w:rsidP="00EB7B76">
      <w:pPr>
        <w:rPr>
          <w:rFonts w:ascii="Times New Roman" w:hAnsi="Times New Roman" w:cs="Times New Roman"/>
          <w:sz w:val="24"/>
          <w:szCs w:val="24"/>
        </w:rPr>
      </w:pPr>
      <w:r>
        <w:rPr>
          <w:rFonts w:ascii="Times New Roman" w:hAnsi="Times New Roman" w:cs="Times New Roman"/>
          <w:sz w:val="24"/>
          <w:szCs w:val="24"/>
        </w:rPr>
        <w:lastRenderedPageBreak/>
        <w:t>The coin found in one of the terminals of the Great Torc</w:t>
      </w:r>
      <w:r w:rsidR="009671A9">
        <w:rPr>
          <w:rFonts w:ascii="Times New Roman" w:hAnsi="Times New Roman" w:cs="Times New Roman"/>
          <w:sz w:val="24"/>
          <w:szCs w:val="24"/>
        </w:rPr>
        <w:t xml:space="preserve"> has been dated by the British Museum as around 60BCE</w:t>
      </w:r>
      <w:r w:rsidR="009671A9">
        <w:rPr>
          <w:rStyle w:val="FootnoteReference"/>
          <w:rFonts w:ascii="Times New Roman" w:hAnsi="Times New Roman" w:cs="Times New Roman"/>
          <w:sz w:val="24"/>
          <w:szCs w:val="24"/>
        </w:rPr>
        <w:footnoteReference w:id="10"/>
      </w:r>
      <w:r w:rsidR="009671A9">
        <w:rPr>
          <w:rFonts w:ascii="Times New Roman" w:hAnsi="Times New Roman" w:cs="Times New Roman"/>
          <w:sz w:val="24"/>
          <w:szCs w:val="24"/>
        </w:rPr>
        <w:t>, this gives a date for the Great Torc of a similar timeline, the museum dating it, taking wear and style into account, to 150-50BCE.</w:t>
      </w:r>
      <w:r w:rsidR="009671A9">
        <w:rPr>
          <w:rStyle w:val="FootnoteReference"/>
          <w:rFonts w:ascii="Times New Roman" w:hAnsi="Times New Roman" w:cs="Times New Roman"/>
          <w:sz w:val="24"/>
          <w:szCs w:val="24"/>
        </w:rPr>
        <w:footnoteReference w:id="11"/>
      </w:r>
    </w:p>
    <w:p w14:paraId="4200BD76" w14:textId="77777777" w:rsidR="00614084" w:rsidRDefault="00614084" w:rsidP="00EB7B76">
      <w:pPr>
        <w:rPr>
          <w:rFonts w:ascii="Times New Roman" w:hAnsi="Times New Roman" w:cs="Times New Roman"/>
          <w:sz w:val="24"/>
          <w:szCs w:val="24"/>
        </w:rPr>
      </w:pPr>
    </w:p>
    <w:p w14:paraId="198402B1" w14:textId="5C7522EE" w:rsidR="00EB7B76" w:rsidRPr="00A42080" w:rsidRDefault="00EB7B76" w:rsidP="00EB7B76">
      <w:pPr>
        <w:rPr>
          <w:rFonts w:ascii="Times New Roman" w:hAnsi="Times New Roman" w:cs="Times New Roman"/>
          <w:sz w:val="24"/>
          <w:szCs w:val="24"/>
        </w:rPr>
      </w:pPr>
      <w:r w:rsidRPr="004738AA">
        <w:rPr>
          <w:rFonts w:ascii="Times New Roman" w:hAnsi="Times New Roman" w:cs="Times New Roman"/>
          <w:sz w:val="24"/>
          <w:szCs w:val="24"/>
          <w:u w:val="single"/>
        </w:rPr>
        <w:t>Description</w:t>
      </w:r>
      <w:r w:rsidRPr="00A42080">
        <w:rPr>
          <w:rFonts w:ascii="Times New Roman" w:hAnsi="Times New Roman" w:cs="Times New Roman"/>
          <w:sz w:val="24"/>
          <w:szCs w:val="24"/>
        </w:rPr>
        <w:t xml:space="preserve">: </w:t>
      </w:r>
    </w:p>
    <w:p w14:paraId="77E8298A" w14:textId="0C857A6C" w:rsidR="00EB7B76" w:rsidRDefault="00615C79" w:rsidP="00EB7B76">
      <w:pPr>
        <w:rPr>
          <w:rFonts w:ascii="Times New Roman" w:hAnsi="Times New Roman" w:cs="Times New Roman"/>
          <w:sz w:val="24"/>
          <w:szCs w:val="24"/>
        </w:rPr>
      </w:pPr>
      <w:r>
        <w:rPr>
          <w:rFonts w:ascii="Times New Roman" w:hAnsi="Times New Roman" w:cs="Times New Roman"/>
          <w:sz w:val="24"/>
          <w:szCs w:val="24"/>
        </w:rPr>
        <w:t xml:space="preserve">The Great Torc has a weight of 1085g and is 20cm in diameter. Whilst the torc is referred to as being made of gold, it is in fact made from </w:t>
      </w:r>
      <w:r w:rsidR="003645A7">
        <w:rPr>
          <w:rFonts w:ascii="Times New Roman" w:hAnsi="Times New Roman" w:cs="Times New Roman"/>
          <w:sz w:val="24"/>
          <w:szCs w:val="24"/>
        </w:rPr>
        <w:t>a gold/silver alloy</w:t>
      </w:r>
      <w:r w:rsidR="004D31D7">
        <w:rPr>
          <w:rFonts w:ascii="Times New Roman" w:hAnsi="Times New Roman" w:cs="Times New Roman"/>
          <w:sz w:val="24"/>
          <w:szCs w:val="24"/>
        </w:rPr>
        <w:t xml:space="preserve"> (usually with small amounts of copper as well),</w:t>
      </w:r>
      <w:r w:rsidR="003645A7">
        <w:rPr>
          <w:rFonts w:ascii="Times New Roman" w:hAnsi="Times New Roman" w:cs="Times New Roman"/>
          <w:sz w:val="24"/>
          <w:szCs w:val="24"/>
        </w:rPr>
        <w:t xml:space="preserve"> called </w:t>
      </w:r>
      <w:r w:rsidR="003645A7" w:rsidRPr="003645A7">
        <w:rPr>
          <w:rFonts w:ascii="Times New Roman" w:hAnsi="Times New Roman" w:cs="Times New Roman"/>
          <w:i/>
          <w:iCs/>
          <w:sz w:val="24"/>
          <w:szCs w:val="24"/>
        </w:rPr>
        <w:t>Electrum</w:t>
      </w:r>
      <w:r w:rsidR="003645A7">
        <w:rPr>
          <w:rFonts w:ascii="Times New Roman" w:hAnsi="Times New Roman" w:cs="Times New Roman"/>
          <w:sz w:val="24"/>
          <w:szCs w:val="24"/>
        </w:rPr>
        <w:t>.</w:t>
      </w:r>
      <w:r w:rsidR="004D31D7">
        <w:rPr>
          <w:rStyle w:val="FootnoteReference"/>
          <w:rFonts w:ascii="Times New Roman" w:hAnsi="Times New Roman" w:cs="Times New Roman"/>
          <w:sz w:val="24"/>
          <w:szCs w:val="24"/>
        </w:rPr>
        <w:footnoteReference w:id="12"/>
      </w:r>
      <w:r w:rsidR="004D31D7">
        <w:rPr>
          <w:rFonts w:ascii="Times New Roman" w:hAnsi="Times New Roman" w:cs="Times New Roman"/>
          <w:sz w:val="24"/>
          <w:szCs w:val="24"/>
        </w:rPr>
        <w:t xml:space="preserve"> The torc </w:t>
      </w:r>
      <w:r w:rsidR="00627BB4">
        <w:rPr>
          <w:rFonts w:ascii="Times New Roman" w:hAnsi="Times New Roman" w:cs="Times New Roman"/>
          <w:sz w:val="24"/>
          <w:szCs w:val="24"/>
        </w:rPr>
        <w:t xml:space="preserve">is </w:t>
      </w:r>
      <w:r w:rsidR="004D31D7">
        <w:rPr>
          <w:rFonts w:ascii="Times New Roman" w:hAnsi="Times New Roman" w:cs="Times New Roman"/>
          <w:sz w:val="24"/>
          <w:szCs w:val="24"/>
        </w:rPr>
        <w:t xml:space="preserve">comprised of eight </w:t>
      </w:r>
      <w:r w:rsidR="00627BB4">
        <w:rPr>
          <w:rFonts w:ascii="Times New Roman" w:hAnsi="Times New Roman" w:cs="Times New Roman"/>
          <w:sz w:val="24"/>
          <w:szCs w:val="24"/>
        </w:rPr>
        <w:t xml:space="preserve">strands of alloy, each formed from eight </w:t>
      </w:r>
      <w:r w:rsidR="00900CDE">
        <w:rPr>
          <w:rFonts w:ascii="Times New Roman" w:hAnsi="Times New Roman" w:cs="Times New Roman"/>
          <w:sz w:val="24"/>
          <w:szCs w:val="24"/>
        </w:rPr>
        <w:t xml:space="preserve">wires twisted together into a cable. These eight cables are then twisted in a clockwise direction </w:t>
      </w:r>
      <w:r w:rsidR="00E468D3">
        <w:rPr>
          <w:rFonts w:ascii="Times New Roman" w:hAnsi="Times New Roman" w:cs="Times New Roman"/>
          <w:sz w:val="24"/>
          <w:szCs w:val="24"/>
        </w:rPr>
        <w:t xml:space="preserve">(coiled) </w:t>
      </w:r>
      <w:r w:rsidR="00900CDE">
        <w:rPr>
          <w:rFonts w:ascii="Times New Roman" w:hAnsi="Times New Roman" w:cs="Times New Roman"/>
          <w:sz w:val="24"/>
          <w:szCs w:val="24"/>
        </w:rPr>
        <w:t>to form a larger, thicker cable</w:t>
      </w:r>
      <w:r w:rsidR="005F59E6">
        <w:rPr>
          <w:rFonts w:ascii="Times New Roman" w:hAnsi="Times New Roman" w:cs="Times New Roman"/>
          <w:sz w:val="24"/>
          <w:szCs w:val="24"/>
        </w:rPr>
        <w:t xml:space="preserve">, around a hollow core, </w:t>
      </w:r>
      <w:r w:rsidR="00900CDE">
        <w:rPr>
          <w:rFonts w:ascii="Times New Roman" w:hAnsi="Times New Roman" w:cs="Times New Roman"/>
          <w:sz w:val="24"/>
          <w:szCs w:val="24"/>
        </w:rPr>
        <w:t>which was then soldered into the end terminals. Ruth and Vincent Magaw describe the terminal design as showing ‘basketry work, shaped to fit the areas of decoration, together with small raised dots with three or four punched indentation and larger raised concentric circles.’</w:t>
      </w:r>
      <w:r w:rsidR="00CA640D">
        <w:rPr>
          <w:rStyle w:val="FootnoteReference"/>
          <w:rFonts w:ascii="Times New Roman" w:hAnsi="Times New Roman" w:cs="Times New Roman"/>
          <w:sz w:val="24"/>
          <w:szCs w:val="24"/>
        </w:rPr>
        <w:footnoteReference w:id="13"/>
      </w:r>
      <w:r w:rsidR="00CA640D">
        <w:rPr>
          <w:rFonts w:ascii="Times New Roman" w:hAnsi="Times New Roman" w:cs="Times New Roman"/>
          <w:sz w:val="24"/>
          <w:szCs w:val="24"/>
        </w:rPr>
        <w:t xml:space="preserve"> They go on to describe ‘raised sinuous edging to the decorated areas’ whilst ‘punched dots provide edging to defined areas within the design’.</w:t>
      </w:r>
      <w:r w:rsidR="00CA640D">
        <w:rPr>
          <w:rStyle w:val="FootnoteReference"/>
          <w:rFonts w:ascii="Times New Roman" w:hAnsi="Times New Roman" w:cs="Times New Roman"/>
          <w:sz w:val="24"/>
          <w:szCs w:val="24"/>
        </w:rPr>
        <w:footnoteReference w:id="14"/>
      </w:r>
      <w:r w:rsidR="00CA640D">
        <w:rPr>
          <w:rFonts w:ascii="Times New Roman" w:hAnsi="Times New Roman" w:cs="Times New Roman"/>
          <w:sz w:val="24"/>
          <w:szCs w:val="24"/>
        </w:rPr>
        <w:t xml:space="preserve"> The</w:t>
      </w:r>
      <w:r w:rsidR="00426A86">
        <w:rPr>
          <w:rFonts w:ascii="Times New Roman" w:hAnsi="Times New Roman" w:cs="Times New Roman"/>
          <w:sz w:val="24"/>
          <w:szCs w:val="24"/>
        </w:rPr>
        <w:t>y</w:t>
      </w:r>
      <w:r w:rsidR="00CA640D">
        <w:rPr>
          <w:rFonts w:ascii="Times New Roman" w:hAnsi="Times New Roman" w:cs="Times New Roman"/>
          <w:sz w:val="24"/>
          <w:szCs w:val="24"/>
        </w:rPr>
        <w:t xml:space="preserve"> conclude their description by saying that ‘The </w:t>
      </w:r>
      <w:r w:rsidR="00426A86">
        <w:rPr>
          <w:rFonts w:ascii="Times New Roman" w:hAnsi="Times New Roman" w:cs="Times New Roman"/>
          <w:sz w:val="24"/>
          <w:szCs w:val="24"/>
        </w:rPr>
        <w:t>s</w:t>
      </w:r>
      <w:r w:rsidR="00CA640D">
        <w:rPr>
          <w:rFonts w:ascii="Times New Roman" w:hAnsi="Times New Roman" w:cs="Times New Roman"/>
          <w:sz w:val="24"/>
          <w:szCs w:val="24"/>
        </w:rPr>
        <w:t>pindly raised ridge curves have concave endings, and form slender commas or trumpet coils.’</w:t>
      </w:r>
      <w:r w:rsidR="00CA640D">
        <w:rPr>
          <w:rStyle w:val="FootnoteReference"/>
          <w:rFonts w:ascii="Times New Roman" w:hAnsi="Times New Roman" w:cs="Times New Roman"/>
          <w:sz w:val="24"/>
          <w:szCs w:val="24"/>
        </w:rPr>
        <w:footnoteReference w:id="15"/>
      </w:r>
      <w:r w:rsidR="005F59E6">
        <w:rPr>
          <w:rFonts w:ascii="Times New Roman" w:hAnsi="Times New Roman" w:cs="Times New Roman"/>
          <w:sz w:val="24"/>
          <w:szCs w:val="24"/>
        </w:rPr>
        <w:t xml:space="preserve"> The British Museum suggest that the markings on the terminals were ‘gently hammered’</w:t>
      </w:r>
      <w:r w:rsidR="005F59E6">
        <w:rPr>
          <w:rStyle w:val="FootnoteReference"/>
          <w:rFonts w:ascii="Times New Roman" w:hAnsi="Times New Roman" w:cs="Times New Roman"/>
          <w:sz w:val="24"/>
          <w:szCs w:val="24"/>
        </w:rPr>
        <w:footnoteReference w:id="16"/>
      </w:r>
      <w:r w:rsidR="005F59E6">
        <w:rPr>
          <w:rFonts w:ascii="Times New Roman" w:hAnsi="Times New Roman" w:cs="Times New Roman"/>
          <w:sz w:val="24"/>
          <w:szCs w:val="24"/>
        </w:rPr>
        <w:t xml:space="preserve"> using a ‘chasing tool with a rounded tip’</w:t>
      </w:r>
      <w:r w:rsidR="005F59E6">
        <w:rPr>
          <w:rStyle w:val="FootnoteReference"/>
          <w:rFonts w:ascii="Times New Roman" w:hAnsi="Times New Roman" w:cs="Times New Roman"/>
          <w:sz w:val="24"/>
          <w:szCs w:val="24"/>
        </w:rPr>
        <w:footnoteReference w:id="17"/>
      </w:r>
      <w:r w:rsidR="005F59E6">
        <w:rPr>
          <w:rFonts w:ascii="Times New Roman" w:hAnsi="Times New Roman" w:cs="Times New Roman"/>
          <w:sz w:val="24"/>
          <w:szCs w:val="24"/>
        </w:rPr>
        <w:t xml:space="preserve"> which then created the patterns described. They also note that the Newark and </w:t>
      </w:r>
      <w:proofErr w:type="spellStart"/>
      <w:r w:rsidR="005F59E6">
        <w:rPr>
          <w:rFonts w:ascii="Times New Roman" w:hAnsi="Times New Roman" w:cs="Times New Roman"/>
          <w:sz w:val="24"/>
          <w:szCs w:val="24"/>
        </w:rPr>
        <w:t>Sedgeford</w:t>
      </w:r>
      <w:proofErr w:type="spellEnd"/>
      <w:r w:rsidR="005F59E6">
        <w:rPr>
          <w:rFonts w:ascii="Times New Roman" w:hAnsi="Times New Roman" w:cs="Times New Roman"/>
          <w:sz w:val="24"/>
          <w:szCs w:val="24"/>
        </w:rPr>
        <w:t xml:space="preserve"> torcs have a similar design inscribed. The </w:t>
      </w:r>
      <w:r w:rsidR="005F59E6" w:rsidRPr="005F59E6">
        <w:rPr>
          <w:rFonts w:ascii="Times New Roman" w:hAnsi="Times New Roman" w:cs="Times New Roman"/>
          <w:i/>
          <w:iCs/>
          <w:sz w:val="24"/>
          <w:szCs w:val="24"/>
        </w:rPr>
        <w:t>Grotesque</w:t>
      </w:r>
      <w:r w:rsidR="005F59E6">
        <w:rPr>
          <w:rFonts w:ascii="Times New Roman" w:hAnsi="Times New Roman" w:cs="Times New Roman"/>
          <w:sz w:val="24"/>
          <w:szCs w:val="24"/>
        </w:rPr>
        <w:t xml:space="preserve"> torc, which was found during the excavations of Snettisham in 1990 and attributed to </w:t>
      </w:r>
      <w:r w:rsidR="005F59E6" w:rsidRPr="00D426D8">
        <w:rPr>
          <w:rFonts w:ascii="Times New Roman" w:hAnsi="Times New Roman" w:cs="Times New Roman"/>
          <w:i/>
          <w:iCs/>
          <w:sz w:val="24"/>
          <w:szCs w:val="24"/>
        </w:rPr>
        <w:t>Hoard L</w:t>
      </w:r>
      <w:r w:rsidR="000D6AF0">
        <w:rPr>
          <w:rFonts w:ascii="Times New Roman" w:hAnsi="Times New Roman" w:cs="Times New Roman"/>
          <w:sz w:val="24"/>
          <w:szCs w:val="24"/>
        </w:rPr>
        <w:t xml:space="preserve"> show markedly different styling, which the British Museum describes as a ‘Plastic Style</w:t>
      </w:r>
      <w:r w:rsidR="00D426D8">
        <w:rPr>
          <w:rFonts w:ascii="Times New Roman" w:hAnsi="Times New Roman" w:cs="Times New Roman"/>
          <w:sz w:val="24"/>
          <w:szCs w:val="24"/>
        </w:rPr>
        <w:t>’</w:t>
      </w:r>
      <w:r w:rsidR="00426A86">
        <w:rPr>
          <w:rFonts w:ascii="Times New Roman" w:hAnsi="Times New Roman" w:cs="Times New Roman"/>
          <w:sz w:val="24"/>
          <w:szCs w:val="24"/>
        </w:rPr>
        <w:t>. This</w:t>
      </w:r>
      <w:r w:rsidR="00D426D8">
        <w:rPr>
          <w:rFonts w:ascii="Times New Roman" w:hAnsi="Times New Roman" w:cs="Times New Roman"/>
          <w:sz w:val="24"/>
          <w:szCs w:val="24"/>
        </w:rPr>
        <w:t xml:space="preserve"> was a style developed in the early third century BCE which used animal and human faces in what Laing describes as ‘grotesque modelling’</w:t>
      </w:r>
      <w:r w:rsidR="000D6AF0">
        <w:rPr>
          <w:rFonts w:ascii="Times New Roman" w:hAnsi="Times New Roman" w:cs="Times New Roman"/>
          <w:sz w:val="24"/>
          <w:szCs w:val="24"/>
        </w:rPr>
        <w:t>.</w:t>
      </w:r>
      <w:r w:rsidR="00D426D8">
        <w:rPr>
          <w:rStyle w:val="FootnoteReference"/>
          <w:rFonts w:ascii="Times New Roman" w:hAnsi="Times New Roman" w:cs="Times New Roman"/>
          <w:sz w:val="24"/>
          <w:szCs w:val="24"/>
        </w:rPr>
        <w:footnoteReference w:id="18"/>
      </w:r>
      <w:r w:rsidR="000D6AF0">
        <w:rPr>
          <w:rFonts w:ascii="Times New Roman" w:hAnsi="Times New Roman" w:cs="Times New Roman"/>
          <w:sz w:val="24"/>
          <w:szCs w:val="24"/>
        </w:rPr>
        <w:t xml:space="preserve"> One reason for this could be that this torc was an earlier style made years prior to the Great Torc, this also shows in the </w:t>
      </w:r>
      <w:r w:rsidR="00E468D3">
        <w:rPr>
          <w:rFonts w:ascii="Times New Roman" w:hAnsi="Times New Roman" w:cs="Times New Roman"/>
          <w:sz w:val="24"/>
          <w:szCs w:val="24"/>
        </w:rPr>
        <w:t xml:space="preserve">terminals which are hand-crafted sheet metal as opposed to the cast-style of the Great, Newark and </w:t>
      </w:r>
      <w:proofErr w:type="spellStart"/>
      <w:r w:rsidR="00E468D3">
        <w:rPr>
          <w:rFonts w:ascii="Times New Roman" w:hAnsi="Times New Roman" w:cs="Times New Roman"/>
          <w:sz w:val="24"/>
          <w:szCs w:val="24"/>
        </w:rPr>
        <w:t>Sedgeford</w:t>
      </w:r>
      <w:proofErr w:type="spellEnd"/>
      <w:r w:rsidR="00E468D3">
        <w:rPr>
          <w:rFonts w:ascii="Times New Roman" w:hAnsi="Times New Roman" w:cs="Times New Roman"/>
          <w:sz w:val="24"/>
          <w:szCs w:val="24"/>
        </w:rPr>
        <w:t xml:space="preserve"> torcs.</w:t>
      </w:r>
    </w:p>
    <w:p w14:paraId="165B7726" w14:textId="77B625DF" w:rsidR="00EB7B76" w:rsidRDefault="00C74988" w:rsidP="00EB7B76">
      <w:pPr>
        <w:rPr>
          <w:rFonts w:ascii="Times New Roman" w:hAnsi="Times New Roman" w:cs="Times New Roman"/>
          <w:sz w:val="24"/>
          <w:szCs w:val="24"/>
        </w:rPr>
      </w:pPr>
      <w:r>
        <w:rPr>
          <w:rFonts w:ascii="Times New Roman" w:hAnsi="Times New Roman" w:cs="Times New Roman"/>
          <w:sz w:val="24"/>
          <w:szCs w:val="24"/>
        </w:rPr>
        <w:t>The terminals</w:t>
      </w:r>
      <w:r w:rsidR="00614084">
        <w:rPr>
          <w:rFonts w:ascii="Times New Roman" w:hAnsi="Times New Roman" w:cs="Times New Roman"/>
          <w:sz w:val="24"/>
          <w:szCs w:val="24"/>
        </w:rPr>
        <w:t xml:space="preserve">, which are in the Torus style, </w:t>
      </w:r>
      <w:r>
        <w:rPr>
          <w:rFonts w:ascii="Times New Roman" w:hAnsi="Times New Roman" w:cs="Times New Roman"/>
          <w:sz w:val="24"/>
          <w:szCs w:val="24"/>
        </w:rPr>
        <w:t>were initially thought to have been casted</w:t>
      </w:r>
      <w:r w:rsidR="00614084">
        <w:rPr>
          <w:rFonts w:ascii="Times New Roman" w:hAnsi="Times New Roman" w:cs="Times New Roman"/>
          <w:sz w:val="24"/>
          <w:szCs w:val="24"/>
        </w:rPr>
        <w:t>-</w:t>
      </w:r>
      <w:r>
        <w:rPr>
          <w:rFonts w:ascii="Times New Roman" w:hAnsi="Times New Roman" w:cs="Times New Roman"/>
          <w:sz w:val="24"/>
          <w:szCs w:val="24"/>
        </w:rPr>
        <w:t xml:space="preserve">on, but closer examination by the British Museum has found that they </w:t>
      </w:r>
      <w:r w:rsidR="00614084">
        <w:rPr>
          <w:rFonts w:ascii="Times New Roman" w:hAnsi="Times New Roman" w:cs="Times New Roman"/>
          <w:sz w:val="24"/>
          <w:szCs w:val="24"/>
        </w:rPr>
        <w:t>were cast separately and then</w:t>
      </w:r>
      <w:r>
        <w:rPr>
          <w:rFonts w:ascii="Times New Roman" w:hAnsi="Times New Roman" w:cs="Times New Roman"/>
          <w:sz w:val="24"/>
          <w:szCs w:val="24"/>
        </w:rPr>
        <w:t xml:space="preserve"> soldered </w:t>
      </w:r>
      <w:r w:rsidR="00614084">
        <w:rPr>
          <w:rFonts w:ascii="Times New Roman" w:hAnsi="Times New Roman" w:cs="Times New Roman"/>
          <w:sz w:val="24"/>
          <w:szCs w:val="24"/>
        </w:rPr>
        <w:t xml:space="preserve">on, </w:t>
      </w:r>
      <w:r>
        <w:rPr>
          <w:rFonts w:ascii="Times New Roman" w:hAnsi="Times New Roman" w:cs="Times New Roman"/>
          <w:sz w:val="24"/>
          <w:szCs w:val="24"/>
        </w:rPr>
        <w:t>by evidence of molten metal filling the ga</w:t>
      </w:r>
      <w:r w:rsidR="00426A86">
        <w:rPr>
          <w:rFonts w:ascii="Times New Roman" w:hAnsi="Times New Roman" w:cs="Times New Roman"/>
          <w:sz w:val="24"/>
          <w:szCs w:val="24"/>
        </w:rPr>
        <w:t>p</w:t>
      </w:r>
      <w:r>
        <w:rPr>
          <w:rFonts w:ascii="Times New Roman" w:hAnsi="Times New Roman" w:cs="Times New Roman"/>
          <w:sz w:val="24"/>
          <w:szCs w:val="24"/>
        </w:rPr>
        <w:t>s of the wires, fusing them together along with the terminal ends themselves.</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The museum note that cracking has appeared on these terminal ends, showing that they were not fully soldered during the process and thus </w:t>
      </w:r>
      <w:r>
        <w:rPr>
          <w:rFonts w:ascii="Times New Roman" w:hAnsi="Times New Roman" w:cs="Times New Roman"/>
          <w:sz w:val="24"/>
          <w:szCs w:val="24"/>
        </w:rPr>
        <w:lastRenderedPageBreak/>
        <w:t>becoming weaker with time and use.</w:t>
      </w:r>
      <w:r>
        <w:rPr>
          <w:rStyle w:val="FootnoteReference"/>
          <w:rFonts w:ascii="Times New Roman" w:hAnsi="Times New Roman" w:cs="Times New Roman"/>
          <w:sz w:val="24"/>
          <w:szCs w:val="24"/>
        </w:rPr>
        <w:footnoteReference w:id="20"/>
      </w:r>
      <w:r w:rsidR="008B5F06">
        <w:rPr>
          <w:rFonts w:ascii="Times New Roman" w:hAnsi="Times New Roman" w:cs="Times New Roman"/>
          <w:sz w:val="24"/>
          <w:szCs w:val="24"/>
        </w:rPr>
        <w:t xml:space="preserve"> Evidence of wear is also evident in the neck ring wires, as shown in some wires creating grooves in adjacent wires where they press during bending when being put on or taken off.</w:t>
      </w:r>
      <w:r w:rsidR="008B5F06">
        <w:rPr>
          <w:rStyle w:val="FootnoteReference"/>
          <w:rFonts w:ascii="Times New Roman" w:hAnsi="Times New Roman" w:cs="Times New Roman"/>
          <w:sz w:val="24"/>
          <w:szCs w:val="24"/>
        </w:rPr>
        <w:footnoteReference w:id="21"/>
      </w:r>
    </w:p>
    <w:p w14:paraId="4FE3B335" w14:textId="77777777" w:rsidR="007C3721" w:rsidRDefault="007C3721" w:rsidP="00EB7B76">
      <w:pPr>
        <w:rPr>
          <w:rFonts w:ascii="Times New Roman" w:hAnsi="Times New Roman" w:cs="Times New Roman"/>
          <w:sz w:val="24"/>
          <w:szCs w:val="24"/>
        </w:rPr>
      </w:pPr>
    </w:p>
    <w:p w14:paraId="74DEBEEE" w14:textId="4B8AC29B" w:rsidR="00233F60" w:rsidRDefault="00233F60" w:rsidP="00EB7B76">
      <w:pPr>
        <w:rPr>
          <w:rFonts w:ascii="Times New Roman" w:hAnsi="Times New Roman" w:cs="Times New Roman"/>
          <w:sz w:val="24"/>
          <w:szCs w:val="24"/>
        </w:rPr>
      </w:pPr>
      <w:r w:rsidRPr="004738AA">
        <w:rPr>
          <w:rFonts w:ascii="Times New Roman" w:hAnsi="Times New Roman" w:cs="Times New Roman"/>
          <w:sz w:val="24"/>
          <w:szCs w:val="24"/>
          <w:u w:val="single"/>
        </w:rPr>
        <w:t>Styling</w:t>
      </w:r>
      <w:r>
        <w:rPr>
          <w:rFonts w:ascii="Times New Roman" w:hAnsi="Times New Roman" w:cs="Times New Roman"/>
          <w:sz w:val="24"/>
          <w:szCs w:val="24"/>
        </w:rPr>
        <w:t>:</w:t>
      </w:r>
      <w:r w:rsidR="004738AA">
        <w:rPr>
          <w:rFonts w:ascii="Times New Roman" w:hAnsi="Times New Roman" w:cs="Times New Roman"/>
          <w:sz w:val="24"/>
          <w:szCs w:val="24"/>
        </w:rPr>
        <w:t xml:space="preserve"> </w:t>
      </w:r>
    </w:p>
    <w:p w14:paraId="2387AE17" w14:textId="62EDFB9F" w:rsidR="00233F60" w:rsidRDefault="009B1E0D" w:rsidP="00EB7B76">
      <w:pPr>
        <w:rPr>
          <w:rFonts w:ascii="Times New Roman" w:hAnsi="Times New Roman" w:cs="Times New Roman"/>
          <w:sz w:val="24"/>
          <w:szCs w:val="24"/>
        </w:rPr>
      </w:pPr>
      <w:r>
        <w:rPr>
          <w:rFonts w:ascii="Times New Roman" w:hAnsi="Times New Roman" w:cs="Times New Roman"/>
          <w:sz w:val="24"/>
          <w:szCs w:val="24"/>
        </w:rPr>
        <w:t>When looking at the styling of the Great Torc it should be noted that the two terminals actually differ from each other in design</w:t>
      </w:r>
      <w:r w:rsidR="005716C8">
        <w:rPr>
          <w:rFonts w:ascii="Times New Roman" w:hAnsi="Times New Roman" w:cs="Times New Roman"/>
          <w:sz w:val="24"/>
          <w:szCs w:val="24"/>
        </w:rPr>
        <w:t>.</w:t>
      </w:r>
      <w:r w:rsidR="008B4389">
        <w:rPr>
          <w:rFonts w:ascii="Times New Roman" w:hAnsi="Times New Roman" w:cs="Times New Roman"/>
          <w:sz w:val="24"/>
          <w:szCs w:val="24"/>
        </w:rPr>
        <w:t xml:space="preserve"> This is unusual as most torcs of that era, including the previously mentioned Grotesque torc, the Newark</w:t>
      </w:r>
      <w:r w:rsidR="005E7CAD">
        <w:rPr>
          <w:rFonts w:ascii="Times New Roman" w:hAnsi="Times New Roman" w:cs="Times New Roman"/>
          <w:sz w:val="24"/>
          <w:szCs w:val="24"/>
        </w:rPr>
        <w:t xml:space="preserve"> and </w:t>
      </w:r>
      <w:proofErr w:type="spellStart"/>
      <w:r w:rsidR="005E7CAD">
        <w:rPr>
          <w:rFonts w:ascii="Times New Roman" w:hAnsi="Times New Roman" w:cs="Times New Roman"/>
          <w:sz w:val="24"/>
          <w:szCs w:val="24"/>
        </w:rPr>
        <w:t>Sedgeford</w:t>
      </w:r>
      <w:proofErr w:type="spellEnd"/>
      <w:r w:rsidR="005E7CAD">
        <w:rPr>
          <w:rFonts w:ascii="Times New Roman" w:hAnsi="Times New Roman" w:cs="Times New Roman"/>
          <w:sz w:val="24"/>
          <w:szCs w:val="24"/>
        </w:rPr>
        <w:t xml:space="preserve"> torcs too, have mirroring designs on both terminals. Whether this means that the Great Torc terminals were made by two different craftsmen</w:t>
      </w:r>
      <w:r w:rsidR="00987295">
        <w:rPr>
          <w:rStyle w:val="FootnoteReference"/>
          <w:rFonts w:ascii="Times New Roman" w:hAnsi="Times New Roman" w:cs="Times New Roman"/>
          <w:sz w:val="24"/>
          <w:szCs w:val="24"/>
        </w:rPr>
        <w:footnoteReference w:id="22"/>
      </w:r>
      <w:r w:rsidR="005E7CAD">
        <w:rPr>
          <w:rFonts w:ascii="Times New Roman" w:hAnsi="Times New Roman" w:cs="Times New Roman"/>
          <w:sz w:val="24"/>
          <w:szCs w:val="24"/>
        </w:rPr>
        <w:t xml:space="preserve"> or the same one choosing different designs is unclear and ultimately a subject for a different essay as the overall design is of the same format.</w:t>
      </w:r>
    </w:p>
    <w:p w14:paraId="12B1938B" w14:textId="7F5BB266" w:rsidR="00987295" w:rsidRDefault="005E6046" w:rsidP="00EB7B76">
      <w:pPr>
        <w:rPr>
          <w:rFonts w:ascii="Times New Roman" w:hAnsi="Times New Roman" w:cs="Times New Roman"/>
          <w:sz w:val="24"/>
          <w:szCs w:val="24"/>
        </w:rPr>
      </w:pPr>
      <w:r>
        <w:rPr>
          <w:rFonts w:ascii="Times New Roman" w:hAnsi="Times New Roman" w:cs="Times New Roman"/>
          <w:sz w:val="24"/>
          <w:szCs w:val="24"/>
        </w:rPr>
        <w:t>The Great Torc has been classed as being in Style V</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and is, in the words of Laing, ‘without any continental parallel</w:t>
      </w:r>
      <w:r w:rsidR="00AF3F29">
        <w:rPr>
          <w:rFonts w:ascii="Times New Roman" w:hAnsi="Times New Roman" w:cs="Times New Roman"/>
          <w:sz w:val="24"/>
          <w:szCs w:val="24"/>
        </w:rPr>
        <w: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w:t>
      </w:r>
      <w:r w:rsidR="00AF3F29">
        <w:rPr>
          <w:rFonts w:ascii="Times New Roman" w:hAnsi="Times New Roman" w:cs="Times New Roman"/>
          <w:sz w:val="24"/>
          <w:szCs w:val="24"/>
        </w:rPr>
        <w:t xml:space="preserve">meaning that there are no comparisons to any continental art forms made at that time. </w:t>
      </w:r>
      <w:r>
        <w:rPr>
          <w:rFonts w:ascii="Times New Roman" w:hAnsi="Times New Roman" w:cs="Times New Roman"/>
          <w:sz w:val="24"/>
          <w:szCs w:val="24"/>
        </w:rPr>
        <w:t xml:space="preserve">This numerical styling is based on a system put forth by J.M de Navarro who </w:t>
      </w:r>
      <w:r w:rsidR="009A43B0">
        <w:rPr>
          <w:rFonts w:ascii="Times New Roman" w:hAnsi="Times New Roman" w:cs="Times New Roman"/>
          <w:sz w:val="24"/>
          <w:szCs w:val="24"/>
        </w:rPr>
        <w:t xml:space="preserve">was attempting to break away from the terms used by </w:t>
      </w:r>
      <w:r w:rsidR="009A43B0" w:rsidRPr="009A43B0">
        <w:rPr>
          <w:rFonts w:ascii="Times New Roman" w:hAnsi="Times New Roman" w:cs="Times New Roman"/>
          <w:sz w:val="24"/>
          <w:szCs w:val="24"/>
        </w:rPr>
        <w:t xml:space="preserve">Paul </w:t>
      </w:r>
      <w:proofErr w:type="spellStart"/>
      <w:r w:rsidR="009A43B0" w:rsidRPr="009A43B0">
        <w:rPr>
          <w:rFonts w:ascii="Times New Roman" w:hAnsi="Times New Roman" w:cs="Times New Roman"/>
          <w:sz w:val="24"/>
          <w:szCs w:val="24"/>
        </w:rPr>
        <w:t>Jacobsthal</w:t>
      </w:r>
      <w:proofErr w:type="spellEnd"/>
      <w:r w:rsidR="009A43B0">
        <w:rPr>
          <w:rFonts w:ascii="Times New Roman" w:hAnsi="Times New Roman" w:cs="Times New Roman"/>
          <w:sz w:val="24"/>
          <w:szCs w:val="24"/>
        </w:rPr>
        <w:t xml:space="preserve"> for different styles of Celtic art, those being </w:t>
      </w:r>
      <w:r w:rsidR="009A43B0" w:rsidRPr="009A43B0">
        <w:rPr>
          <w:rFonts w:ascii="Times New Roman" w:hAnsi="Times New Roman" w:cs="Times New Roman"/>
          <w:i/>
          <w:iCs/>
          <w:sz w:val="24"/>
          <w:szCs w:val="24"/>
        </w:rPr>
        <w:t>Early</w:t>
      </w:r>
      <w:r w:rsidR="009A43B0">
        <w:rPr>
          <w:rFonts w:ascii="Times New Roman" w:hAnsi="Times New Roman" w:cs="Times New Roman"/>
          <w:i/>
          <w:iCs/>
          <w:sz w:val="24"/>
          <w:szCs w:val="24"/>
        </w:rPr>
        <w:t xml:space="preserve"> </w:t>
      </w:r>
      <w:r w:rsidR="009A43B0">
        <w:rPr>
          <w:rFonts w:ascii="Times New Roman" w:hAnsi="Times New Roman" w:cs="Times New Roman"/>
          <w:sz w:val="24"/>
          <w:szCs w:val="24"/>
        </w:rPr>
        <w:t xml:space="preserve">(Style I), </w:t>
      </w:r>
      <w:proofErr w:type="spellStart"/>
      <w:r w:rsidR="009A43B0" w:rsidRPr="009A43B0">
        <w:rPr>
          <w:rFonts w:ascii="Times New Roman" w:hAnsi="Times New Roman" w:cs="Times New Roman"/>
          <w:i/>
          <w:iCs/>
          <w:sz w:val="24"/>
          <w:szCs w:val="24"/>
        </w:rPr>
        <w:t>Waldalgeshei</w:t>
      </w:r>
      <w:r w:rsidR="009A43B0">
        <w:rPr>
          <w:rFonts w:ascii="Times New Roman" w:hAnsi="Times New Roman" w:cs="Times New Roman"/>
          <w:i/>
          <w:iCs/>
          <w:sz w:val="24"/>
          <w:szCs w:val="24"/>
        </w:rPr>
        <w:t>m</w:t>
      </w:r>
      <w:proofErr w:type="spellEnd"/>
      <w:r w:rsidR="009A43B0">
        <w:rPr>
          <w:rFonts w:ascii="Times New Roman" w:hAnsi="Times New Roman" w:cs="Times New Roman"/>
          <w:i/>
          <w:iCs/>
          <w:sz w:val="24"/>
          <w:szCs w:val="24"/>
        </w:rPr>
        <w:t xml:space="preserve"> </w:t>
      </w:r>
      <w:r w:rsidR="009A43B0">
        <w:rPr>
          <w:rFonts w:ascii="Times New Roman" w:hAnsi="Times New Roman" w:cs="Times New Roman"/>
          <w:sz w:val="24"/>
          <w:szCs w:val="24"/>
        </w:rPr>
        <w:t>(Style II</w:t>
      </w:r>
      <w:r w:rsidR="00481463">
        <w:rPr>
          <w:rFonts w:ascii="Times New Roman" w:hAnsi="Times New Roman" w:cs="Times New Roman"/>
          <w:sz w:val="24"/>
          <w:szCs w:val="24"/>
        </w:rPr>
        <w:t xml:space="preserve">, also referred to as the </w:t>
      </w:r>
      <w:r w:rsidR="00481463" w:rsidRPr="00481463">
        <w:rPr>
          <w:rFonts w:ascii="Times New Roman" w:hAnsi="Times New Roman" w:cs="Times New Roman"/>
          <w:i/>
          <w:iCs/>
          <w:sz w:val="24"/>
          <w:szCs w:val="24"/>
        </w:rPr>
        <w:t>Vegetal</w:t>
      </w:r>
      <w:r w:rsidR="00481463">
        <w:rPr>
          <w:rFonts w:ascii="Times New Roman" w:hAnsi="Times New Roman" w:cs="Times New Roman"/>
          <w:sz w:val="24"/>
          <w:szCs w:val="24"/>
        </w:rPr>
        <w:t xml:space="preserve"> style</w:t>
      </w:r>
      <w:r w:rsidR="009A43B0">
        <w:rPr>
          <w:rFonts w:ascii="Times New Roman" w:hAnsi="Times New Roman" w:cs="Times New Roman"/>
          <w:sz w:val="24"/>
          <w:szCs w:val="24"/>
        </w:rPr>
        <w:t xml:space="preserve">), </w:t>
      </w:r>
      <w:r w:rsidR="009A43B0" w:rsidRPr="009A43B0">
        <w:rPr>
          <w:rFonts w:ascii="Times New Roman" w:hAnsi="Times New Roman" w:cs="Times New Roman"/>
          <w:i/>
          <w:iCs/>
          <w:sz w:val="24"/>
          <w:szCs w:val="24"/>
        </w:rPr>
        <w:t>Plastic</w:t>
      </w:r>
      <w:r w:rsidR="009A43B0">
        <w:rPr>
          <w:rFonts w:ascii="Times New Roman" w:hAnsi="Times New Roman" w:cs="Times New Roman"/>
          <w:sz w:val="24"/>
          <w:szCs w:val="24"/>
        </w:rPr>
        <w:t xml:space="preserve"> and </w:t>
      </w:r>
      <w:r w:rsidR="009A43B0" w:rsidRPr="009A43B0">
        <w:rPr>
          <w:rFonts w:ascii="Times New Roman" w:hAnsi="Times New Roman" w:cs="Times New Roman"/>
          <w:i/>
          <w:iCs/>
          <w:sz w:val="24"/>
          <w:szCs w:val="24"/>
        </w:rPr>
        <w:t>Sword</w:t>
      </w:r>
      <w:r w:rsidR="009A43B0">
        <w:rPr>
          <w:rFonts w:ascii="Times New Roman" w:hAnsi="Times New Roman" w:cs="Times New Roman"/>
          <w:i/>
          <w:iCs/>
          <w:sz w:val="24"/>
          <w:szCs w:val="24"/>
        </w:rPr>
        <w:t xml:space="preserve"> </w:t>
      </w:r>
      <w:r w:rsidR="009A43B0">
        <w:rPr>
          <w:rFonts w:ascii="Times New Roman" w:hAnsi="Times New Roman" w:cs="Times New Roman"/>
          <w:sz w:val="24"/>
          <w:szCs w:val="24"/>
        </w:rPr>
        <w:t>(Style III).</w:t>
      </w:r>
      <w:r w:rsidR="009A43B0">
        <w:rPr>
          <w:rStyle w:val="FootnoteReference"/>
          <w:rFonts w:ascii="Times New Roman" w:hAnsi="Times New Roman" w:cs="Times New Roman"/>
          <w:sz w:val="24"/>
          <w:szCs w:val="24"/>
        </w:rPr>
        <w:footnoteReference w:id="25"/>
      </w:r>
      <w:r w:rsidR="009A43B0">
        <w:rPr>
          <w:rFonts w:ascii="Times New Roman" w:hAnsi="Times New Roman" w:cs="Times New Roman"/>
          <w:sz w:val="24"/>
          <w:szCs w:val="24"/>
        </w:rPr>
        <w:t xml:space="preserve"> Styles IV and V were coined by Dr Ian Stead as a continuance of this naming process to </w:t>
      </w:r>
      <w:r w:rsidR="004140A5">
        <w:rPr>
          <w:rFonts w:ascii="Times New Roman" w:hAnsi="Times New Roman" w:cs="Times New Roman"/>
          <w:sz w:val="24"/>
          <w:szCs w:val="24"/>
        </w:rPr>
        <w:t>distinguishing art types, in this case with the Insular British Style.</w:t>
      </w:r>
      <w:r w:rsidR="002E7CFF">
        <w:rPr>
          <w:rFonts w:ascii="Times New Roman" w:hAnsi="Times New Roman" w:cs="Times New Roman"/>
          <w:sz w:val="24"/>
          <w:szCs w:val="24"/>
        </w:rPr>
        <w:t xml:space="preserve"> Whilst there are other methods of referring to these eras, the ‘Sty</w:t>
      </w:r>
      <w:r w:rsidR="002E293B">
        <w:rPr>
          <w:rFonts w:ascii="Times New Roman" w:hAnsi="Times New Roman" w:cs="Times New Roman"/>
          <w:sz w:val="24"/>
          <w:szCs w:val="24"/>
        </w:rPr>
        <w:t>l</w:t>
      </w:r>
      <w:r w:rsidR="002E7CFF">
        <w:rPr>
          <w:rFonts w:ascii="Times New Roman" w:hAnsi="Times New Roman" w:cs="Times New Roman"/>
          <w:sz w:val="24"/>
          <w:szCs w:val="24"/>
        </w:rPr>
        <w:t>e’ form is the one that will be used in this essay.</w:t>
      </w:r>
    </w:p>
    <w:p w14:paraId="17D67F5C" w14:textId="0863F0D9" w:rsidR="004140A5" w:rsidRDefault="00A713DE" w:rsidP="00EB7B76">
      <w:pPr>
        <w:rPr>
          <w:rFonts w:ascii="Times New Roman" w:hAnsi="Times New Roman" w:cs="Times New Roman"/>
          <w:sz w:val="24"/>
          <w:szCs w:val="24"/>
        </w:rPr>
      </w:pPr>
      <w:r>
        <w:rPr>
          <w:rFonts w:ascii="Times New Roman" w:hAnsi="Times New Roman" w:cs="Times New Roman"/>
          <w:sz w:val="24"/>
          <w:szCs w:val="24"/>
        </w:rPr>
        <w:t xml:space="preserve">The terminals </w:t>
      </w:r>
      <w:r w:rsidR="00B929E4">
        <w:rPr>
          <w:rFonts w:ascii="Times New Roman" w:hAnsi="Times New Roman" w:cs="Times New Roman"/>
          <w:sz w:val="24"/>
          <w:szCs w:val="24"/>
        </w:rPr>
        <w:t xml:space="preserve">and collars </w:t>
      </w:r>
      <w:r>
        <w:rPr>
          <w:rFonts w:ascii="Times New Roman" w:hAnsi="Times New Roman" w:cs="Times New Roman"/>
          <w:sz w:val="24"/>
          <w:szCs w:val="24"/>
        </w:rPr>
        <w:t xml:space="preserve">have </w:t>
      </w:r>
      <w:r w:rsidR="00B929E4">
        <w:rPr>
          <w:rFonts w:ascii="Times New Roman" w:hAnsi="Times New Roman" w:cs="Times New Roman"/>
          <w:sz w:val="24"/>
          <w:szCs w:val="24"/>
        </w:rPr>
        <w:t>what the British Museum describe as ‘raised curvilinear’ design on them</w:t>
      </w:r>
      <w:r w:rsidR="00B929E4">
        <w:rPr>
          <w:rStyle w:val="FootnoteReference"/>
          <w:rFonts w:ascii="Times New Roman" w:hAnsi="Times New Roman" w:cs="Times New Roman"/>
          <w:sz w:val="24"/>
          <w:szCs w:val="24"/>
        </w:rPr>
        <w:footnoteReference w:id="26"/>
      </w:r>
      <w:r w:rsidR="00B929E4">
        <w:rPr>
          <w:rFonts w:ascii="Times New Roman" w:hAnsi="Times New Roman" w:cs="Times New Roman"/>
          <w:sz w:val="24"/>
          <w:szCs w:val="24"/>
        </w:rPr>
        <w:t xml:space="preserve"> </w:t>
      </w:r>
      <w:r w:rsidR="003736F3">
        <w:rPr>
          <w:rFonts w:ascii="Times New Roman" w:hAnsi="Times New Roman" w:cs="Times New Roman"/>
          <w:sz w:val="24"/>
          <w:szCs w:val="24"/>
        </w:rPr>
        <w:t>as described above, but of note are the designs used namely, the trumpet and teardrop motifs, basket-weave punching, raised knobs and concentric circles.</w:t>
      </w:r>
      <w:r w:rsidR="00B929E4">
        <w:rPr>
          <w:rFonts w:ascii="Times New Roman" w:hAnsi="Times New Roman" w:cs="Times New Roman"/>
          <w:sz w:val="24"/>
          <w:szCs w:val="24"/>
        </w:rPr>
        <w:t xml:space="preserve"> The collars follow the same pattern with a teardrop design and </w:t>
      </w:r>
      <w:r w:rsidR="004F3910">
        <w:rPr>
          <w:rFonts w:ascii="Times New Roman" w:hAnsi="Times New Roman" w:cs="Times New Roman"/>
          <w:sz w:val="24"/>
          <w:szCs w:val="24"/>
        </w:rPr>
        <w:t>basket</w:t>
      </w:r>
      <w:r w:rsidR="00B929E4">
        <w:rPr>
          <w:rFonts w:ascii="Times New Roman" w:hAnsi="Times New Roman" w:cs="Times New Roman"/>
          <w:sz w:val="24"/>
          <w:szCs w:val="24"/>
        </w:rPr>
        <w:t>-weave hatching</w:t>
      </w:r>
      <w:r w:rsidR="004F3910">
        <w:rPr>
          <w:rFonts w:ascii="Times New Roman" w:hAnsi="Times New Roman" w:cs="Times New Roman"/>
          <w:sz w:val="24"/>
          <w:szCs w:val="24"/>
        </w:rPr>
        <w:t xml:space="preserve"> along with raised knobs and punched dots. The British Museum, when showing the collar laid out, say it forms the shape of ‘an elongated lyre’,</w:t>
      </w:r>
      <w:r w:rsidR="004F3910">
        <w:rPr>
          <w:rStyle w:val="FootnoteReference"/>
          <w:rFonts w:ascii="Times New Roman" w:hAnsi="Times New Roman" w:cs="Times New Roman"/>
          <w:sz w:val="24"/>
          <w:szCs w:val="24"/>
        </w:rPr>
        <w:footnoteReference w:id="27"/>
      </w:r>
      <w:r w:rsidR="004F3910">
        <w:rPr>
          <w:rFonts w:ascii="Times New Roman" w:hAnsi="Times New Roman" w:cs="Times New Roman"/>
          <w:sz w:val="24"/>
          <w:szCs w:val="24"/>
        </w:rPr>
        <w:t xml:space="preserve"> a pattern indicative of Style </w:t>
      </w:r>
      <w:r w:rsidR="00AF3F29">
        <w:rPr>
          <w:rFonts w:ascii="Times New Roman" w:hAnsi="Times New Roman" w:cs="Times New Roman"/>
          <w:sz w:val="24"/>
          <w:szCs w:val="24"/>
        </w:rPr>
        <w:t>II</w:t>
      </w:r>
      <w:r w:rsidR="004F3910">
        <w:rPr>
          <w:rFonts w:ascii="Times New Roman" w:hAnsi="Times New Roman" w:cs="Times New Roman"/>
          <w:sz w:val="24"/>
          <w:szCs w:val="24"/>
        </w:rPr>
        <w:t xml:space="preserve"> </w:t>
      </w:r>
      <w:r w:rsidR="00542575">
        <w:rPr>
          <w:rFonts w:ascii="Times New Roman" w:hAnsi="Times New Roman" w:cs="Times New Roman"/>
          <w:sz w:val="24"/>
          <w:szCs w:val="24"/>
        </w:rPr>
        <w:t>C</w:t>
      </w:r>
      <w:r w:rsidR="00576DC5">
        <w:rPr>
          <w:rFonts w:ascii="Times New Roman" w:hAnsi="Times New Roman" w:cs="Times New Roman"/>
          <w:sz w:val="24"/>
          <w:szCs w:val="24"/>
        </w:rPr>
        <w:t>ontinental art</w:t>
      </w:r>
      <w:r w:rsidR="004F3910">
        <w:rPr>
          <w:rFonts w:ascii="Times New Roman" w:hAnsi="Times New Roman" w:cs="Times New Roman"/>
          <w:sz w:val="24"/>
          <w:szCs w:val="24"/>
        </w:rPr>
        <w:t>. This ‘lyre’ style</w:t>
      </w:r>
      <w:r w:rsidR="000A0982">
        <w:rPr>
          <w:rFonts w:ascii="Times New Roman" w:hAnsi="Times New Roman" w:cs="Times New Roman"/>
          <w:sz w:val="24"/>
          <w:szCs w:val="24"/>
        </w:rPr>
        <w:t xml:space="preserve">, which has been used since the </w:t>
      </w:r>
      <w:r w:rsidR="002E7CFF">
        <w:rPr>
          <w:rFonts w:ascii="Times New Roman" w:hAnsi="Times New Roman" w:cs="Times New Roman"/>
          <w:sz w:val="24"/>
          <w:szCs w:val="24"/>
        </w:rPr>
        <w:t>Style I</w:t>
      </w:r>
      <w:r w:rsidR="000A0982">
        <w:rPr>
          <w:rFonts w:ascii="Times New Roman" w:hAnsi="Times New Roman" w:cs="Times New Roman"/>
          <w:sz w:val="24"/>
          <w:szCs w:val="24"/>
        </w:rPr>
        <w:t xml:space="preserve"> era,</w:t>
      </w:r>
      <w:r w:rsidR="004F3910">
        <w:rPr>
          <w:rFonts w:ascii="Times New Roman" w:hAnsi="Times New Roman" w:cs="Times New Roman"/>
          <w:sz w:val="24"/>
          <w:szCs w:val="24"/>
        </w:rPr>
        <w:t xml:space="preserve"> can be seen </w:t>
      </w:r>
      <w:r w:rsidR="00576DC5">
        <w:rPr>
          <w:rFonts w:ascii="Times New Roman" w:hAnsi="Times New Roman" w:cs="Times New Roman"/>
          <w:sz w:val="24"/>
          <w:szCs w:val="24"/>
        </w:rPr>
        <w:t xml:space="preserve">on the </w:t>
      </w:r>
      <w:r w:rsidR="00576DC5" w:rsidRPr="002E7CFF">
        <w:rPr>
          <w:rFonts w:ascii="Times New Roman" w:hAnsi="Times New Roman" w:cs="Times New Roman"/>
          <w:i/>
          <w:iCs/>
          <w:sz w:val="24"/>
          <w:szCs w:val="24"/>
        </w:rPr>
        <w:t>Bronze</w:t>
      </w:r>
      <w:r w:rsidR="00576DC5">
        <w:rPr>
          <w:rFonts w:ascii="Times New Roman" w:hAnsi="Times New Roman" w:cs="Times New Roman"/>
          <w:sz w:val="24"/>
          <w:szCs w:val="24"/>
        </w:rPr>
        <w:t xml:space="preserve"> disc recovered from </w:t>
      </w:r>
      <w:proofErr w:type="spellStart"/>
      <w:r w:rsidR="00576DC5" w:rsidRPr="002E7CFF">
        <w:rPr>
          <w:rFonts w:ascii="Times New Roman" w:hAnsi="Times New Roman" w:cs="Times New Roman"/>
          <w:i/>
          <w:iCs/>
          <w:sz w:val="24"/>
          <w:szCs w:val="24"/>
        </w:rPr>
        <w:t>Auvurs</w:t>
      </w:r>
      <w:proofErr w:type="spellEnd"/>
      <w:r w:rsidR="00576DC5" w:rsidRPr="002E7CFF">
        <w:rPr>
          <w:rFonts w:ascii="Times New Roman" w:hAnsi="Times New Roman" w:cs="Times New Roman"/>
          <w:i/>
          <w:iCs/>
          <w:sz w:val="24"/>
          <w:szCs w:val="24"/>
        </w:rPr>
        <w:t>-sur-Oise, France</w:t>
      </w:r>
      <w:r w:rsidR="00576DC5">
        <w:rPr>
          <w:rFonts w:ascii="Times New Roman" w:hAnsi="Times New Roman" w:cs="Times New Roman"/>
          <w:sz w:val="24"/>
          <w:szCs w:val="24"/>
        </w:rPr>
        <w:t xml:space="preserve"> </w:t>
      </w:r>
      <w:r w:rsidR="00AF3F29">
        <w:rPr>
          <w:rFonts w:ascii="Times New Roman" w:hAnsi="Times New Roman" w:cs="Times New Roman"/>
          <w:sz w:val="24"/>
          <w:szCs w:val="24"/>
        </w:rPr>
        <w:t>and date</w:t>
      </w:r>
      <w:r w:rsidR="002E293B">
        <w:rPr>
          <w:rFonts w:ascii="Times New Roman" w:hAnsi="Times New Roman" w:cs="Times New Roman"/>
          <w:sz w:val="24"/>
          <w:szCs w:val="24"/>
        </w:rPr>
        <w:t>s</w:t>
      </w:r>
      <w:r w:rsidR="00AF3F29">
        <w:rPr>
          <w:rFonts w:ascii="Times New Roman" w:hAnsi="Times New Roman" w:cs="Times New Roman"/>
          <w:sz w:val="24"/>
          <w:szCs w:val="24"/>
        </w:rPr>
        <w:t xml:space="preserve"> to the early fourth century BCE (figure 3 below).</w:t>
      </w:r>
      <w:r w:rsidR="000A0982">
        <w:rPr>
          <w:rStyle w:val="FootnoteReference"/>
          <w:rFonts w:ascii="Times New Roman" w:hAnsi="Times New Roman" w:cs="Times New Roman"/>
          <w:sz w:val="24"/>
          <w:szCs w:val="24"/>
        </w:rPr>
        <w:footnoteReference w:id="28"/>
      </w:r>
      <w:r w:rsidR="00AF3F29">
        <w:rPr>
          <w:rFonts w:ascii="Times New Roman" w:hAnsi="Times New Roman" w:cs="Times New Roman"/>
          <w:sz w:val="24"/>
          <w:szCs w:val="24"/>
        </w:rPr>
        <w:t xml:space="preserve"> </w:t>
      </w:r>
      <w:r w:rsidR="000A0982">
        <w:rPr>
          <w:rFonts w:ascii="Times New Roman" w:hAnsi="Times New Roman" w:cs="Times New Roman"/>
          <w:sz w:val="24"/>
          <w:szCs w:val="24"/>
        </w:rPr>
        <w:t>This lyre pattern is seen in a symmetrical pattern around the face of the disc.</w:t>
      </w:r>
    </w:p>
    <w:p w14:paraId="14B3863A" w14:textId="77777777" w:rsidR="00AF3F29" w:rsidRDefault="00AF3F29" w:rsidP="00AF3F29">
      <w:pPr>
        <w:keepNext/>
        <w:jc w:val="center"/>
      </w:pPr>
      <w:r>
        <w:rPr>
          <w:rFonts w:ascii="Times New Roman" w:hAnsi="Times New Roman" w:cs="Times New Roman"/>
          <w:noProof/>
          <w:sz w:val="24"/>
          <w:szCs w:val="24"/>
        </w:rPr>
        <w:lastRenderedPageBreak/>
        <w:drawing>
          <wp:inline distT="0" distB="0" distL="0" distR="0" wp14:anchorId="348552F1" wp14:editId="5B86604F">
            <wp:extent cx="4200525" cy="3869175"/>
            <wp:effectExtent l="0" t="0" r="0" b="0"/>
            <wp:docPr id="2108834915" name="Picture 1" descr="A close-up of a silve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34915" name="Picture 1" descr="A close-up of a silver objec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45484" cy="3910587"/>
                    </a:xfrm>
                    <a:prstGeom prst="rect">
                      <a:avLst/>
                    </a:prstGeom>
                  </pic:spPr>
                </pic:pic>
              </a:graphicData>
            </a:graphic>
          </wp:inline>
        </w:drawing>
      </w:r>
    </w:p>
    <w:p w14:paraId="7957CEF4" w14:textId="71421CA1" w:rsidR="004738AA" w:rsidRDefault="00AF3F29" w:rsidP="00AF3F29">
      <w:pPr>
        <w:pStyle w:val="Caption"/>
        <w:jc w:val="center"/>
        <w:rPr>
          <w:rFonts w:ascii="Times New Roman" w:hAnsi="Times New Roman" w:cs="Times New Roman"/>
          <w:sz w:val="24"/>
          <w:szCs w:val="24"/>
        </w:rPr>
      </w:pPr>
      <w:r>
        <w:t xml:space="preserve">Figure </w:t>
      </w:r>
      <w:fldSimple w:instr=" SEQ Figure \* ARABIC ">
        <w:r w:rsidR="00542575">
          <w:rPr>
            <w:noProof/>
          </w:rPr>
          <w:t>3</w:t>
        </w:r>
      </w:fldSimple>
    </w:p>
    <w:p w14:paraId="08862D64" w14:textId="3ACBAC2D" w:rsidR="004738AA" w:rsidRDefault="000A0982" w:rsidP="00EB7B76">
      <w:pPr>
        <w:rPr>
          <w:rFonts w:ascii="Times New Roman" w:hAnsi="Times New Roman" w:cs="Times New Roman"/>
          <w:sz w:val="24"/>
          <w:szCs w:val="24"/>
        </w:rPr>
      </w:pPr>
      <w:r>
        <w:rPr>
          <w:rFonts w:ascii="Times New Roman" w:hAnsi="Times New Roman" w:cs="Times New Roman"/>
          <w:sz w:val="24"/>
          <w:szCs w:val="24"/>
        </w:rPr>
        <w:t xml:space="preserve">The raised concentric circles are also something seen in earlier forms of continental art, namely the </w:t>
      </w:r>
      <w:r w:rsidR="002E7CFF">
        <w:rPr>
          <w:rFonts w:ascii="Times New Roman" w:hAnsi="Times New Roman" w:cs="Times New Roman"/>
          <w:sz w:val="24"/>
          <w:szCs w:val="24"/>
        </w:rPr>
        <w:t xml:space="preserve">late </w:t>
      </w:r>
      <w:r>
        <w:rPr>
          <w:rFonts w:ascii="Times New Roman" w:hAnsi="Times New Roman" w:cs="Times New Roman"/>
          <w:sz w:val="24"/>
          <w:szCs w:val="24"/>
        </w:rPr>
        <w:t>Style I era.</w:t>
      </w:r>
      <w:r w:rsidR="002E7CFF">
        <w:rPr>
          <w:rFonts w:ascii="Times New Roman" w:hAnsi="Times New Roman" w:cs="Times New Roman"/>
          <w:sz w:val="24"/>
          <w:szCs w:val="24"/>
        </w:rPr>
        <w:t xml:space="preserve"> An example of this can be seen on the </w:t>
      </w:r>
      <w:r w:rsidR="002E7CFF" w:rsidRPr="002E7CFF">
        <w:rPr>
          <w:rFonts w:ascii="Times New Roman" w:hAnsi="Times New Roman" w:cs="Times New Roman"/>
          <w:i/>
          <w:iCs/>
          <w:sz w:val="24"/>
          <w:szCs w:val="24"/>
        </w:rPr>
        <w:t>Disc</w:t>
      </w:r>
      <w:r w:rsidR="002E7CFF">
        <w:rPr>
          <w:rFonts w:ascii="Times New Roman" w:hAnsi="Times New Roman" w:cs="Times New Roman"/>
          <w:sz w:val="24"/>
          <w:szCs w:val="24"/>
        </w:rPr>
        <w:t xml:space="preserve"> found at </w:t>
      </w:r>
      <w:r w:rsidR="002E7CFF" w:rsidRPr="002E7CFF">
        <w:rPr>
          <w:rFonts w:ascii="Times New Roman" w:hAnsi="Times New Roman" w:cs="Times New Roman"/>
          <w:i/>
          <w:iCs/>
          <w:sz w:val="24"/>
          <w:szCs w:val="24"/>
        </w:rPr>
        <w:t>Saint Jean-sur-</w:t>
      </w:r>
      <w:proofErr w:type="spellStart"/>
      <w:r w:rsidR="002E7CFF" w:rsidRPr="002E7CFF">
        <w:rPr>
          <w:rFonts w:ascii="Times New Roman" w:hAnsi="Times New Roman" w:cs="Times New Roman"/>
          <w:i/>
          <w:iCs/>
          <w:sz w:val="24"/>
          <w:szCs w:val="24"/>
        </w:rPr>
        <w:t>Tourbe</w:t>
      </w:r>
      <w:proofErr w:type="spellEnd"/>
      <w:r w:rsidR="002E7CFF" w:rsidRPr="002E7CFF">
        <w:rPr>
          <w:rFonts w:ascii="Times New Roman" w:hAnsi="Times New Roman" w:cs="Times New Roman"/>
          <w:i/>
          <w:iCs/>
          <w:sz w:val="24"/>
          <w:szCs w:val="24"/>
        </w:rPr>
        <w:t>, Marne, France</w:t>
      </w:r>
      <w:r w:rsidR="002E7CFF">
        <w:rPr>
          <w:rFonts w:ascii="Times New Roman" w:hAnsi="Times New Roman" w:cs="Times New Roman"/>
          <w:sz w:val="24"/>
          <w:szCs w:val="24"/>
        </w:rPr>
        <w:t xml:space="preserve"> and dates to the late fifth or early fourth century BCE, (figure 4).</w:t>
      </w:r>
      <w:r w:rsidR="002E7CFF">
        <w:rPr>
          <w:rStyle w:val="FootnoteReference"/>
          <w:rFonts w:ascii="Times New Roman" w:hAnsi="Times New Roman" w:cs="Times New Roman"/>
          <w:sz w:val="24"/>
          <w:szCs w:val="24"/>
        </w:rPr>
        <w:footnoteReference w:id="29"/>
      </w:r>
    </w:p>
    <w:p w14:paraId="29C15EB9" w14:textId="77777777" w:rsidR="002E7CFF" w:rsidRDefault="002E7CFF" w:rsidP="002E7CFF">
      <w:pPr>
        <w:keepNext/>
        <w:jc w:val="center"/>
      </w:pPr>
      <w:r>
        <w:rPr>
          <w:rFonts w:ascii="Times New Roman" w:hAnsi="Times New Roman" w:cs="Times New Roman"/>
          <w:noProof/>
          <w:sz w:val="24"/>
          <w:szCs w:val="24"/>
        </w:rPr>
        <w:drawing>
          <wp:inline distT="0" distB="0" distL="0" distR="0" wp14:anchorId="342BAA0C" wp14:editId="142145FB">
            <wp:extent cx="4567971" cy="3028950"/>
            <wp:effectExtent l="0" t="0" r="4445" b="0"/>
            <wp:docPr id="1672947526" name="Picture 2" descr="A circular metal object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47526" name="Picture 2" descr="A circular metal object with a hand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85810" cy="3040779"/>
                    </a:xfrm>
                    <a:prstGeom prst="rect">
                      <a:avLst/>
                    </a:prstGeom>
                  </pic:spPr>
                </pic:pic>
              </a:graphicData>
            </a:graphic>
          </wp:inline>
        </w:drawing>
      </w:r>
    </w:p>
    <w:p w14:paraId="02C8886E" w14:textId="61E571C6" w:rsidR="000A0982" w:rsidRDefault="002E7CFF" w:rsidP="002E7CFF">
      <w:pPr>
        <w:pStyle w:val="Caption"/>
        <w:jc w:val="center"/>
        <w:rPr>
          <w:rFonts w:ascii="Times New Roman" w:hAnsi="Times New Roman" w:cs="Times New Roman"/>
          <w:sz w:val="24"/>
          <w:szCs w:val="24"/>
        </w:rPr>
      </w:pPr>
      <w:r>
        <w:t xml:space="preserve">Figure </w:t>
      </w:r>
      <w:fldSimple w:instr=" SEQ Figure \* ARABIC ">
        <w:r w:rsidR="00542575">
          <w:rPr>
            <w:noProof/>
          </w:rPr>
          <w:t>4</w:t>
        </w:r>
      </w:fldSimple>
    </w:p>
    <w:p w14:paraId="2CE812F1" w14:textId="4CE3BDF9" w:rsidR="00481463" w:rsidRDefault="00481463" w:rsidP="00EB7B76">
      <w:pPr>
        <w:rPr>
          <w:rFonts w:ascii="Times New Roman" w:hAnsi="Times New Roman" w:cs="Times New Roman"/>
          <w:sz w:val="24"/>
          <w:szCs w:val="24"/>
        </w:rPr>
      </w:pPr>
      <w:r>
        <w:rPr>
          <w:rFonts w:ascii="Times New Roman" w:hAnsi="Times New Roman" w:cs="Times New Roman"/>
          <w:sz w:val="24"/>
          <w:szCs w:val="24"/>
        </w:rPr>
        <w:lastRenderedPageBreak/>
        <w:t>The basket-weave filling on the terminals is, according to Laing, an ornamental style of the Style V period of Insular Britain. It too though, has parallels in earlier forms of Celtic art.</w:t>
      </w:r>
      <w:r w:rsidR="00E26D6B">
        <w:rPr>
          <w:rFonts w:ascii="Times New Roman" w:hAnsi="Times New Roman" w:cs="Times New Roman"/>
          <w:sz w:val="24"/>
          <w:szCs w:val="24"/>
        </w:rPr>
        <w:t xml:space="preserve"> Whilst not basket-weave</w:t>
      </w:r>
      <w:r w:rsidR="00542575">
        <w:rPr>
          <w:rFonts w:ascii="Times New Roman" w:hAnsi="Times New Roman" w:cs="Times New Roman"/>
          <w:sz w:val="24"/>
          <w:szCs w:val="24"/>
        </w:rPr>
        <w:t>, the infilling used on this scabbard is reminiscent of the same design practice (figure 5).</w:t>
      </w:r>
      <w:r w:rsidR="00542575">
        <w:rPr>
          <w:rStyle w:val="FootnoteReference"/>
          <w:rFonts w:ascii="Times New Roman" w:hAnsi="Times New Roman" w:cs="Times New Roman"/>
          <w:sz w:val="24"/>
          <w:szCs w:val="24"/>
        </w:rPr>
        <w:footnoteReference w:id="30"/>
      </w:r>
    </w:p>
    <w:p w14:paraId="1CE66ACA" w14:textId="77777777" w:rsidR="00542575" w:rsidRDefault="00542575" w:rsidP="00542575">
      <w:pPr>
        <w:keepNext/>
        <w:jc w:val="center"/>
      </w:pPr>
      <w:r>
        <w:rPr>
          <w:rFonts w:ascii="Times New Roman" w:hAnsi="Times New Roman" w:cs="Times New Roman"/>
          <w:noProof/>
          <w:sz w:val="24"/>
          <w:szCs w:val="24"/>
        </w:rPr>
        <w:drawing>
          <wp:inline distT="0" distB="0" distL="0" distR="0" wp14:anchorId="487AD846" wp14:editId="043BF550">
            <wp:extent cx="4524375" cy="3046660"/>
            <wp:effectExtent l="0" t="0" r="0" b="1905"/>
            <wp:docPr id="72513649" name="Picture 3" descr="A close-up of a ston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3649" name="Picture 3" descr="A close-up of a stone surfac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36814" cy="3055037"/>
                    </a:xfrm>
                    <a:prstGeom prst="rect">
                      <a:avLst/>
                    </a:prstGeom>
                  </pic:spPr>
                </pic:pic>
              </a:graphicData>
            </a:graphic>
          </wp:inline>
        </w:drawing>
      </w:r>
    </w:p>
    <w:p w14:paraId="4FB86D62" w14:textId="29A65363" w:rsidR="00481463" w:rsidRDefault="00542575" w:rsidP="00542575">
      <w:pPr>
        <w:pStyle w:val="Caption"/>
        <w:jc w:val="center"/>
        <w:rPr>
          <w:rFonts w:ascii="Times New Roman" w:hAnsi="Times New Roman" w:cs="Times New Roman"/>
          <w:sz w:val="24"/>
          <w:szCs w:val="24"/>
        </w:rPr>
      </w:pPr>
      <w:r>
        <w:t xml:space="preserve">Figure </w:t>
      </w:r>
      <w:fldSimple w:instr=" SEQ Figure \* ARABIC ">
        <w:r>
          <w:rPr>
            <w:noProof/>
          </w:rPr>
          <w:t>5</w:t>
        </w:r>
      </w:fldSimple>
    </w:p>
    <w:p w14:paraId="1DB83ADB" w14:textId="70A1A4CB" w:rsidR="00481463" w:rsidRDefault="00542575" w:rsidP="00EB7B76">
      <w:pPr>
        <w:rPr>
          <w:rFonts w:ascii="Times New Roman" w:hAnsi="Times New Roman" w:cs="Times New Roman"/>
          <w:sz w:val="24"/>
          <w:szCs w:val="24"/>
        </w:rPr>
      </w:pPr>
      <w:r>
        <w:rPr>
          <w:rFonts w:ascii="Times New Roman" w:hAnsi="Times New Roman" w:cs="Times New Roman"/>
          <w:sz w:val="24"/>
          <w:szCs w:val="24"/>
        </w:rPr>
        <w:t>The Great Torc, whilst distinctly an Insular style piece and with comparisons to other Insular pieces, clearly shows influences from the Continental Celtic styles that preceded it.</w:t>
      </w:r>
    </w:p>
    <w:p w14:paraId="1987EF21" w14:textId="77777777" w:rsidR="004738AA" w:rsidRDefault="004738AA" w:rsidP="00EB7B76">
      <w:pPr>
        <w:rPr>
          <w:rFonts w:ascii="Times New Roman" w:hAnsi="Times New Roman" w:cs="Times New Roman"/>
          <w:sz w:val="24"/>
          <w:szCs w:val="24"/>
        </w:rPr>
      </w:pPr>
    </w:p>
    <w:p w14:paraId="4241B772" w14:textId="7E4FEE71" w:rsidR="004738AA" w:rsidRDefault="004738AA" w:rsidP="00EB7B76">
      <w:pPr>
        <w:rPr>
          <w:rFonts w:ascii="Times New Roman" w:hAnsi="Times New Roman" w:cs="Times New Roman"/>
          <w:sz w:val="24"/>
          <w:szCs w:val="24"/>
        </w:rPr>
      </w:pPr>
      <w:r w:rsidRPr="004738AA">
        <w:rPr>
          <w:rFonts w:ascii="Times New Roman" w:hAnsi="Times New Roman" w:cs="Times New Roman"/>
          <w:sz w:val="24"/>
          <w:szCs w:val="24"/>
          <w:u w:val="single"/>
        </w:rPr>
        <w:t>Exhibition</w:t>
      </w:r>
      <w:r w:rsidR="00442D5C">
        <w:rPr>
          <w:rFonts w:ascii="Times New Roman" w:hAnsi="Times New Roman" w:cs="Times New Roman"/>
          <w:sz w:val="24"/>
          <w:szCs w:val="24"/>
          <w:u w:val="single"/>
        </w:rPr>
        <w:t xml:space="preserve"> and Interpretation</w:t>
      </w:r>
      <w:r w:rsidR="00EB7B76" w:rsidRPr="00A42080">
        <w:rPr>
          <w:rFonts w:ascii="Times New Roman" w:hAnsi="Times New Roman" w:cs="Times New Roman"/>
          <w:sz w:val="24"/>
          <w:szCs w:val="24"/>
        </w:rPr>
        <w:t xml:space="preserve">: </w:t>
      </w:r>
    </w:p>
    <w:p w14:paraId="0BDB0E64" w14:textId="0A30CCE4" w:rsidR="004738AA" w:rsidRDefault="003F60F2" w:rsidP="004738AA">
      <w:pPr>
        <w:rPr>
          <w:rFonts w:ascii="Times New Roman" w:hAnsi="Times New Roman" w:cs="Times New Roman"/>
          <w:sz w:val="24"/>
          <w:szCs w:val="24"/>
        </w:rPr>
      </w:pPr>
      <w:r>
        <w:rPr>
          <w:rFonts w:ascii="Times New Roman" w:hAnsi="Times New Roman" w:cs="Times New Roman"/>
          <w:sz w:val="24"/>
          <w:szCs w:val="24"/>
        </w:rPr>
        <w:t xml:space="preserve">The Great Torc was found in a farmers field, but since it’s discovery it has travelled far. Not long after its finding, </w:t>
      </w:r>
      <w:r w:rsidR="004738AA">
        <w:rPr>
          <w:rFonts w:ascii="Times New Roman" w:hAnsi="Times New Roman" w:cs="Times New Roman"/>
          <w:sz w:val="24"/>
          <w:szCs w:val="24"/>
        </w:rPr>
        <w:t>Sir Stephen Lycett Green took the Great Torc and showed it to King George VI, who upon being told it belonged to him (through Treasure Trove) reportedly wore it on his neck,</w:t>
      </w:r>
      <w:r w:rsidR="009845B5">
        <w:rPr>
          <w:rStyle w:val="FootnoteReference"/>
          <w:rFonts w:ascii="Times New Roman" w:hAnsi="Times New Roman" w:cs="Times New Roman"/>
          <w:sz w:val="24"/>
          <w:szCs w:val="24"/>
        </w:rPr>
        <w:footnoteReference w:id="31"/>
      </w:r>
      <w:r w:rsidR="004738AA">
        <w:rPr>
          <w:rFonts w:ascii="Times New Roman" w:hAnsi="Times New Roman" w:cs="Times New Roman"/>
          <w:sz w:val="24"/>
          <w:szCs w:val="24"/>
        </w:rPr>
        <w:t xml:space="preserve"> but this was later denied by Sir Stephen</w:t>
      </w:r>
      <w:r w:rsidR="009845B5">
        <w:rPr>
          <w:rFonts w:ascii="Times New Roman" w:hAnsi="Times New Roman" w:cs="Times New Roman"/>
          <w:sz w:val="24"/>
          <w:szCs w:val="24"/>
        </w:rPr>
        <w:t xml:space="preserve"> but </w:t>
      </w:r>
      <w:proofErr w:type="spellStart"/>
      <w:r w:rsidR="002E293B">
        <w:rPr>
          <w:rFonts w:ascii="Times New Roman" w:hAnsi="Times New Roman" w:cs="Times New Roman"/>
          <w:sz w:val="24"/>
          <w:szCs w:val="24"/>
        </w:rPr>
        <w:t>to</w:t>
      </w:r>
      <w:proofErr w:type="spellEnd"/>
      <w:r w:rsidR="002E293B">
        <w:rPr>
          <w:rFonts w:ascii="Times New Roman" w:hAnsi="Times New Roman" w:cs="Times New Roman"/>
          <w:sz w:val="24"/>
          <w:szCs w:val="24"/>
        </w:rPr>
        <w:t xml:space="preserve"> think</w:t>
      </w:r>
      <w:r w:rsidR="009845B5">
        <w:rPr>
          <w:rFonts w:ascii="Times New Roman" w:hAnsi="Times New Roman" w:cs="Times New Roman"/>
          <w:sz w:val="24"/>
          <w:szCs w:val="24"/>
        </w:rPr>
        <w:t xml:space="preserve"> of the torc, after so many centuries, being worn by another king is thought provoking.</w:t>
      </w:r>
      <w:r w:rsidR="004738AA">
        <w:rPr>
          <w:rFonts w:ascii="Times New Roman" w:hAnsi="Times New Roman" w:cs="Times New Roman"/>
          <w:sz w:val="24"/>
          <w:szCs w:val="24"/>
        </w:rPr>
        <w:t xml:space="preserve"> </w:t>
      </w:r>
    </w:p>
    <w:p w14:paraId="6AC0A97F" w14:textId="4FACD71E" w:rsidR="007B1EE7" w:rsidRDefault="007B1EE7" w:rsidP="004738AA">
      <w:pPr>
        <w:rPr>
          <w:rFonts w:ascii="Times New Roman" w:hAnsi="Times New Roman" w:cs="Times New Roman"/>
          <w:sz w:val="24"/>
          <w:szCs w:val="24"/>
        </w:rPr>
      </w:pPr>
      <w:r>
        <w:rPr>
          <w:rFonts w:ascii="Times New Roman" w:hAnsi="Times New Roman" w:cs="Times New Roman"/>
          <w:sz w:val="24"/>
          <w:szCs w:val="24"/>
        </w:rPr>
        <w:t>The British Museum bought the Great Torc in 1951 and from then it has been examined in detail and extensively</w:t>
      </w:r>
      <w:r w:rsidR="00442468">
        <w:rPr>
          <w:rFonts w:ascii="Times New Roman" w:hAnsi="Times New Roman" w:cs="Times New Roman"/>
          <w:sz w:val="24"/>
          <w:szCs w:val="24"/>
        </w:rPr>
        <w:t xml:space="preserve"> studied</w:t>
      </w:r>
      <w:r>
        <w:rPr>
          <w:rFonts w:ascii="Times New Roman" w:hAnsi="Times New Roman" w:cs="Times New Roman"/>
          <w:sz w:val="24"/>
          <w:szCs w:val="24"/>
        </w:rPr>
        <w:t>, resulting in some of the information shown above.</w:t>
      </w:r>
      <w:r w:rsidR="00442D5C">
        <w:rPr>
          <w:rFonts w:ascii="Times New Roman" w:hAnsi="Times New Roman" w:cs="Times New Roman"/>
          <w:sz w:val="24"/>
          <w:szCs w:val="24"/>
        </w:rPr>
        <w:t xml:space="preserve"> The torc has been displayed numerous times by the museum at various locations around Britain and in Australia. The torc was a feature of the </w:t>
      </w:r>
      <w:r w:rsidR="00442D5C" w:rsidRPr="00442D5C">
        <w:rPr>
          <w:rFonts w:ascii="Times New Roman" w:hAnsi="Times New Roman" w:cs="Times New Roman"/>
          <w:i/>
          <w:iCs/>
          <w:sz w:val="24"/>
          <w:szCs w:val="24"/>
        </w:rPr>
        <w:t>Celts: Art and Identity</w:t>
      </w:r>
      <w:r w:rsidR="00442D5C">
        <w:rPr>
          <w:rFonts w:ascii="Times New Roman" w:hAnsi="Times New Roman" w:cs="Times New Roman"/>
          <w:sz w:val="24"/>
          <w:szCs w:val="24"/>
        </w:rPr>
        <w:t xml:space="preserve"> exhibition in London and Edinburgh in 2015-2016 and is currently displayed at The British Museum in London.</w:t>
      </w:r>
      <w:r w:rsidR="00442D5C">
        <w:rPr>
          <w:rStyle w:val="FootnoteReference"/>
          <w:rFonts w:ascii="Times New Roman" w:hAnsi="Times New Roman" w:cs="Times New Roman"/>
          <w:sz w:val="24"/>
          <w:szCs w:val="24"/>
        </w:rPr>
        <w:footnoteReference w:id="32"/>
      </w:r>
    </w:p>
    <w:p w14:paraId="55B7E4C4" w14:textId="77777777" w:rsidR="00D37F76" w:rsidRDefault="00D37F76" w:rsidP="004738AA">
      <w:pPr>
        <w:rPr>
          <w:rFonts w:ascii="Times New Roman" w:hAnsi="Times New Roman" w:cs="Times New Roman"/>
          <w:sz w:val="24"/>
          <w:szCs w:val="24"/>
        </w:rPr>
      </w:pPr>
    </w:p>
    <w:p w14:paraId="295C6271" w14:textId="77777777" w:rsidR="00D37F76" w:rsidRDefault="00D37F76" w:rsidP="00EB7B76">
      <w:pPr>
        <w:rPr>
          <w:rFonts w:ascii="Times New Roman" w:hAnsi="Times New Roman" w:cs="Times New Roman"/>
          <w:sz w:val="24"/>
          <w:szCs w:val="24"/>
        </w:rPr>
      </w:pPr>
    </w:p>
    <w:p w14:paraId="2017BFF2" w14:textId="7E199192" w:rsidR="00EB7B76" w:rsidRDefault="00667D44" w:rsidP="00EB7B76">
      <w:pPr>
        <w:rPr>
          <w:rFonts w:ascii="Times New Roman" w:hAnsi="Times New Roman" w:cs="Times New Roman"/>
          <w:sz w:val="24"/>
          <w:szCs w:val="24"/>
        </w:rPr>
      </w:pPr>
      <w:r>
        <w:rPr>
          <w:rFonts w:ascii="Times New Roman" w:hAnsi="Times New Roman" w:cs="Times New Roman"/>
          <w:sz w:val="24"/>
          <w:szCs w:val="24"/>
        </w:rPr>
        <w:lastRenderedPageBreak/>
        <w:t>Torcs have been attributed to the Celts since classical authors first described them. Cassius Dio</w:t>
      </w:r>
      <w:r w:rsidR="008419E9">
        <w:rPr>
          <w:rFonts w:ascii="Times New Roman" w:hAnsi="Times New Roman" w:cs="Times New Roman"/>
          <w:sz w:val="24"/>
          <w:szCs w:val="24"/>
        </w:rPr>
        <w:t>, when describing Boudicca said, ‘around her neck was a large golden necklace’</w:t>
      </w:r>
      <w:r w:rsidR="008419E9">
        <w:rPr>
          <w:rStyle w:val="FootnoteReference"/>
          <w:rFonts w:ascii="Times New Roman" w:hAnsi="Times New Roman" w:cs="Times New Roman"/>
          <w:sz w:val="24"/>
          <w:szCs w:val="24"/>
        </w:rPr>
        <w:footnoteReference w:id="33"/>
      </w:r>
      <w:r w:rsidR="008419E9">
        <w:rPr>
          <w:rFonts w:ascii="Times New Roman" w:hAnsi="Times New Roman" w:cs="Times New Roman"/>
          <w:sz w:val="24"/>
          <w:szCs w:val="24"/>
        </w:rPr>
        <w:t xml:space="preserve"> and the British Museum speaking of Barry Cunliffe’s book </w:t>
      </w:r>
      <w:r w:rsidR="008419E9" w:rsidRPr="008419E9">
        <w:rPr>
          <w:rFonts w:ascii="Times New Roman" w:hAnsi="Times New Roman" w:cs="Times New Roman"/>
          <w:i/>
          <w:iCs/>
          <w:sz w:val="24"/>
          <w:szCs w:val="24"/>
        </w:rPr>
        <w:t>Iron Age Britain</w:t>
      </w:r>
      <w:r w:rsidR="008419E9">
        <w:rPr>
          <w:rFonts w:ascii="Times New Roman" w:hAnsi="Times New Roman" w:cs="Times New Roman"/>
          <w:i/>
          <w:iCs/>
          <w:sz w:val="24"/>
          <w:szCs w:val="24"/>
        </w:rPr>
        <w:t>,</w:t>
      </w:r>
      <w:r w:rsidR="008419E9">
        <w:rPr>
          <w:rFonts w:ascii="Times New Roman" w:hAnsi="Times New Roman" w:cs="Times New Roman"/>
          <w:sz w:val="24"/>
          <w:szCs w:val="24"/>
        </w:rPr>
        <w:t xml:space="preserve"> he writes of Greek Historian Polybius </w:t>
      </w:r>
      <w:r w:rsidR="00362215">
        <w:rPr>
          <w:rFonts w:ascii="Times New Roman" w:hAnsi="Times New Roman" w:cs="Times New Roman"/>
          <w:sz w:val="24"/>
          <w:szCs w:val="24"/>
        </w:rPr>
        <w:t xml:space="preserve">(200-118BCE) </w:t>
      </w:r>
      <w:r w:rsidR="008419E9">
        <w:rPr>
          <w:rFonts w:ascii="Times New Roman" w:hAnsi="Times New Roman" w:cs="Times New Roman"/>
          <w:sz w:val="24"/>
          <w:szCs w:val="24"/>
        </w:rPr>
        <w:t xml:space="preserve">describing Celtic warriors at the battle of </w:t>
      </w:r>
      <w:proofErr w:type="spellStart"/>
      <w:r w:rsidR="008419E9">
        <w:rPr>
          <w:rFonts w:ascii="Times New Roman" w:hAnsi="Times New Roman" w:cs="Times New Roman"/>
          <w:sz w:val="24"/>
          <w:szCs w:val="24"/>
        </w:rPr>
        <w:t>Telemon</w:t>
      </w:r>
      <w:proofErr w:type="spellEnd"/>
      <w:r w:rsidR="008419E9">
        <w:rPr>
          <w:rFonts w:ascii="Times New Roman" w:hAnsi="Times New Roman" w:cs="Times New Roman"/>
          <w:sz w:val="24"/>
          <w:szCs w:val="24"/>
        </w:rPr>
        <w:t xml:space="preserve"> in 225BCE as being ‘richly adorned with gold torcs and armlets’.</w:t>
      </w:r>
      <w:r w:rsidR="008419E9">
        <w:rPr>
          <w:rStyle w:val="FootnoteReference"/>
          <w:rFonts w:ascii="Times New Roman" w:hAnsi="Times New Roman" w:cs="Times New Roman"/>
          <w:sz w:val="24"/>
          <w:szCs w:val="24"/>
        </w:rPr>
        <w:footnoteReference w:id="34"/>
      </w:r>
      <w:r w:rsidR="008419E9">
        <w:rPr>
          <w:rFonts w:ascii="Times New Roman" w:hAnsi="Times New Roman" w:cs="Times New Roman"/>
          <w:sz w:val="24"/>
          <w:szCs w:val="24"/>
        </w:rPr>
        <w:t xml:space="preserve"> This shows that torcs were an important part of Celtic culture and thus the burial of these precious items brings questions of why</w:t>
      </w:r>
      <w:r w:rsidR="00362215">
        <w:rPr>
          <w:rFonts w:ascii="Times New Roman" w:hAnsi="Times New Roman" w:cs="Times New Roman"/>
          <w:sz w:val="24"/>
          <w:szCs w:val="24"/>
        </w:rPr>
        <w:t>.</w:t>
      </w:r>
      <w:r w:rsidR="008419E9">
        <w:rPr>
          <w:rFonts w:ascii="Times New Roman" w:hAnsi="Times New Roman" w:cs="Times New Roman"/>
          <w:sz w:val="24"/>
          <w:szCs w:val="24"/>
        </w:rPr>
        <w:t xml:space="preserve"> Cunliffe</w:t>
      </w:r>
      <w:r w:rsidR="00616795">
        <w:rPr>
          <w:rStyle w:val="FootnoteReference"/>
          <w:rFonts w:ascii="Times New Roman" w:hAnsi="Times New Roman" w:cs="Times New Roman"/>
          <w:sz w:val="24"/>
          <w:szCs w:val="24"/>
        </w:rPr>
        <w:footnoteReference w:id="35"/>
      </w:r>
      <w:r w:rsidR="008419E9">
        <w:rPr>
          <w:rFonts w:ascii="Times New Roman" w:hAnsi="Times New Roman" w:cs="Times New Roman"/>
          <w:sz w:val="24"/>
          <w:szCs w:val="24"/>
        </w:rPr>
        <w:t xml:space="preserve"> considers the burials to be</w:t>
      </w:r>
      <w:r w:rsidR="002E293B">
        <w:rPr>
          <w:rFonts w:ascii="Times New Roman" w:hAnsi="Times New Roman" w:cs="Times New Roman"/>
          <w:sz w:val="24"/>
          <w:szCs w:val="24"/>
        </w:rPr>
        <w:t xml:space="preserve"> a</w:t>
      </w:r>
      <w:r w:rsidR="008419E9">
        <w:rPr>
          <w:rFonts w:ascii="Times New Roman" w:hAnsi="Times New Roman" w:cs="Times New Roman"/>
          <w:sz w:val="24"/>
          <w:szCs w:val="24"/>
        </w:rPr>
        <w:t xml:space="preserve"> ‘votive</w:t>
      </w:r>
      <w:r w:rsidR="00616795">
        <w:rPr>
          <w:rFonts w:ascii="Times New Roman" w:hAnsi="Times New Roman" w:cs="Times New Roman"/>
          <w:sz w:val="24"/>
          <w:szCs w:val="24"/>
        </w:rPr>
        <w:t xml:space="preserve"> offering</w:t>
      </w:r>
      <w:r w:rsidR="008419E9">
        <w:rPr>
          <w:rFonts w:ascii="Times New Roman" w:hAnsi="Times New Roman" w:cs="Times New Roman"/>
          <w:sz w:val="24"/>
          <w:szCs w:val="24"/>
        </w:rPr>
        <w:t>’</w:t>
      </w:r>
      <w:r w:rsidR="00616795">
        <w:rPr>
          <w:rStyle w:val="FootnoteReference"/>
          <w:rFonts w:ascii="Times New Roman" w:hAnsi="Times New Roman" w:cs="Times New Roman"/>
          <w:sz w:val="24"/>
          <w:szCs w:val="24"/>
        </w:rPr>
        <w:footnoteReference w:id="36"/>
      </w:r>
      <w:r w:rsidR="008419E9">
        <w:rPr>
          <w:rFonts w:ascii="Times New Roman" w:hAnsi="Times New Roman" w:cs="Times New Roman"/>
          <w:sz w:val="24"/>
          <w:szCs w:val="24"/>
        </w:rPr>
        <w:t xml:space="preserve"> </w:t>
      </w:r>
      <w:r w:rsidR="00616795">
        <w:rPr>
          <w:rFonts w:ascii="Times New Roman" w:hAnsi="Times New Roman" w:cs="Times New Roman"/>
          <w:sz w:val="24"/>
          <w:szCs w:val="24"/>
        </w:rPr>
        <w:t xml:space="preserve">which is a point echoed by </w:t>
      </w:r>
      <w:r w:rsidR="002E293B">
        <w:rPr>
          <w:rFonts w:ascii="Times New Roman" w:hAnsi="Times New Roman" w:cs="Times New Roman"/>
          <w:sz w:val="24"/>
          <w:szCs w:val="24"/>
        </w:rPr>
        <w:t>t</w:t>
      </w:r>
      <w:r w:rsidR="00616795">
        <w:rPr>
          <w:rFonts w:ascii="Times New Roman" w:hAnsi="Times New Roman" w:cs="Times New Roman"/>
          <w:sz w:val="24"/>
          <w:szCs w:val="24"/>
        </w:rPr>
        <w:t>he British Museum in their extensive breakdown of the hoards found at Snettisham</w:t>
      </w:r>
      <w:r w:rsidR="00A76C1F">
        <w:rPr>
          <w:rFonts w:ascii="Times New Roman" w:hAnsi="Times New Roman" w:cs="Times New Roman"/>
          <w:sz w:val="24"/>
          <w:szCs w:val="24"/>
        </w:rPr>
        <w:t>. It should be noted though that most votive offerings are made in or near water</w:t>
      </w:r>
      <w:r w:rsidR="00A876DD">
        <w:rPr>
          <w:rFonts w:ascii="Times New Roman" w:hAnsi="Times New Roman" w:cs="Times New Roman"/>
          <w:sz w:val="24"/>
          <w:szCs w:val="24"/>
        </w:rPr>
        <w:t xml:space="preserve"> and the Snettisham hoard has neither nearby.</w:t>
      </w:r>
    </w:p>
    <w:p w14:paraId="579D574D" w14:textId="620696DC" w:rsidR="00FA2AC0" w:rsidRDefault="00FA2AC0" w:rsidP="00EB7B76">
      <w:pPr>
        <w:rPr>
          <w:rFonts w:ascii="Times New Roman" w:hAnsi="Times New Roman" w:cs="Times New Roman"/>
          <w:sz w:val="24"/>
          <w:szCs w:val="24"/>
        </w:rPr>
      </w:pPr>
      <w:r>
        <w:rPr>
          <w:rFonts w:ascii="Times New Roman" w:hAnsi="Times New Roman" w:cs="Times New Roman"/>
          <w:sz w:val="24"/>
          <w:szCs w:val="24"/>
        </w:rPr>
        <w:t>The items found in the hoards at Snettisham, including the Great Torc show evidence of extensive use, meaning that these items were likely personal possessions worn by a person or people prior to depositing into the ground.</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The Great Torc was found linked to other, similar </w:t>
      </w:r>
      <w:r w:rsidR="00A76C1F">
        <w:rPr>
          <w:rFonts w:ascii="Times New Roman" w:hAnsi="Times New Roman" w:cs="Times New Roman"/>
          <w:sz w:val="24"/>
          <w:szCs w:val="24"/>
        </w:rPr>
        <w:t xml:space="preserve">designed items, </w:t>
      </w:r>
      <w:r w:rsidR="00F9222A">
        <w:rPr>
          <w:rFonts w:ascii="Times New Roman" w:hAnsi="Times New Roman" w:cs="Times New Roman"/>
          <w:sz w:val="24"/>
          <w:szCs w:val="24"/>
        </w:rPr>
        <w:t>which could mean</w:t>
      </w:r>
      <w:r w:rsidR="00A76C1F">
        <w:rPr>
          <w:rFonts w:ascii="Times New Roman" w:hAnsi="Times New Roman" w:cs="Times New Roman"/>
          <w:sz w:val="24"/>
          <w:szCs w:val="24"/>
        </w:rPr>
        <w:t xml:space="preserve"> that they were owned by the same person making an offering</w:t>
      </w:r>
      <w:r w:rsidR="00F9222A">
        <w:rPr>
          <w:rFonts w:ascii="Times New Roman" w:hAnsi="Times New Roman" w:cs="Times New Roman"/>
          <w:sz w:val="24"/>
          <w:szCs w:val="24"/>
        </w:rPr>
        <w:t>.</w:t>
      </w:r>
      <w:r w:rsidR="00A76C1F">
        <w:rPr>
          <w:rFonts w:ascii="Times New Roman" w:hAnsi="Times New Roman" w:cs="Times New Roman"/>
          <w:sz w:val="24"/>
          <w:szCs w:val="24"/>
        </w:rPr>
        <w:t xml:space="preserve"> Not everyone agrees with this theory of the hoards being votive in nature though. Dr Ian Stead’s theories of the artifacts being </w:t>
      </w:r>
      <w:r w:rsidR="00A876DD">
        <w:rPr>
          <w:rFonts w:ascii="Times New Roman" w:hAnsi="Times New Roman" w:cs="Times New Roman"/>
          <w:sz w:val="24"/>
          <w:szCs w:val="24"/>
        </w:rPr>
        <w:t>buried for safekeeping,</w:t>
      </w:r>
      <w:r w:rsidR="00A876DD">
        <w:rPr>
          <w:rStyle w:val="FootnoteReference"/>
          <w:rFonts w:ascii="Times New Roman" w:hAnsi="Times New Roman" w:cs="Times New Roman"/>
          <w:sz w:val="24"/>
          <w:szCs w:val="24"/>
        </w:rPr>
        <w:footnoteReference w:id="38"/>
      </w:r>
      <w:r w:rsidR="00A876DD">
        <w:rPr>
          <w:rFonts w:ascii="Times New Roman" w:hAnsi="Times New Roman" w:cs="Times New Roman"/>
          <w:sz w:val="24"/>
          <w:szCs w:val="24"/>
        </w:rPr>
        <w:t xml:space="preserve"> </w:t>
      </w:r>
      <w:r w:rsidR="00A76C1F">
        <w:rPr>
          <w:rFonts w:ascii="Times New Roman" w:hAnsi="Times New Roman" w:cs="Times New Roman"/>
          <w:sz w:val="24"/>
          <w:szCs w:val="24"/>
        </w:rPr>
        <w:t>are discussed by the museum</w:t>
      </w:r>
      <w:r w:rsidR="00A876DD">
        <w:rPr>
          <w:rFonts w:ascii="Times New Roman" w:hAnsi="Times New Roman" w:cs="Times New Roman"/>
          <w:sz w:val="24"/>
          <w:szCs w:val="24"/>
        </w:rPr>
        <w:t xml:space="preserve"> and </w:t>
      </w:r>
      <w:r w:rsidR="00F9222A">
        <w:rPr>
          <w:rFonts w:ascii="Times New Roman" w:hAnsi="Times New Roman" w:cs="Times New Roman"/>
          <w:sz w:val="24"/>
          <w:szCs w:val="24"/>
        </w:rPr>
        <w:t xml:space="preserve">whilst his theory has merit, </w:t>
      </w:r>
      <w:r w:rsidR="00A876DD">
        <w:rPr>
          <w:rFonts w:ascii="Times New Roman" w:hAnsi="Times New Roman" w:cs="Times New Roman"/>
          <w:sz w:val="24"/>
          <w:szCs w:val="24"/>
        </w:rPr>
        <w:t>they point to the location being a religious site</w:t>
      </w:r>
      <w:r w:rsidR="00A5418F">
        <w:rPr>
          <w:rFonts w:ascii="Times New Roman" w:hAnsi="Times New Roman" w:cs="Times New Roman"/>
          <w:sz w:val="24"/>
          <w:szCs w:val="24"/>
        </w:rPr>
        <w:t xml:space="preserve"> given it’s raised location overlooking the land and the sea in the distance.</w:t>
      </w:r>
      <w:r w:rsidR="00A5418F">
        <w:rPr>
          <w:rStyle w:val="FootnoteReference"/>
          <w:rFonts w:ascii="Times New Roman" w:hAnsi="Times New Roman" w:cs="Times New Roman"/>
          <w:sz w:val="24"/>
          <w:szCs w:val="24"/>
        </w:rPr>
        <w:footnoteReference w:id="39"/>
      </w:r>
      <w:r w:rsidR="00A5418F">
        <w:rPr>
          <w:rFonts w:ascii="Times New Roman" w:hAnsi="Times New Roman" w:cs="Times New Roman"/>
          <w:sz w:val="24"/>
          <w:szCs w:val="24"/>
        </w:rPr>
        <w:t xml:space="preserve"> </w:t>
      </w:r>
      <w:r w:rsidR="00F9222A">
        <w:rPr>
          <w:rFonts w:ascii="Times New Roman" w:hAnsi="Times New Roman" w:cs="Times New Roman"/>
          <w:sz w:val="24"/>
          <w:szCs w:val="24"/>
        </w:rPr>
        <w:t>This gives further credence to the site being a burial site used for offerings, them saying that ‘In short, Snettisham is viewed as a centre for ritual activity’.</w:t>
      </w:r>
      <w:r w:rsidR="00F9222A">
        <w:rPr>
          <w:rStyle w:val="FootnoteReference"/>
          <w:rFonts w:ascii="Times New Roman" w:hAnsi="Times New Roman" w:cs="Times New Roman"/>
          <w:sz w:val="24"/>
          <w:szCs w:val="24"/>
        </w:rPr>
        <w:footnoteReference w:id="40"/>
      </w:r>
      <w:r w:rsidR="00F9222A">
        <w:rPr>
          <w:rFonts w:ascii="Times New Roman" w:hAnsi="Times New Roman" w:cs="Times New Roman"/>
          <w:sz w:val="24"/>
          <w:szCs w:val="24"/>
        </w:rPr>
        <w:t xml:space="preserve"> </w:t>
      </w:r>
      <w:r w:rsidR="00A5418F">
        <w:rPr>
          <w:rFonts w:ascii="Times New Roman" w:hAnsi="Times New Roman" w:cs="Times New Roman"/>
          <w:sz w:val="24"/>
          <w:szCs w:val="24"/>
        </w:rPr>
        <w:t>The theories for these burials seem to be many, ultimately, we can not know exactly why they were buried only that they were and have now been recovered</w:t>
      </w:r>
      <w:r w:rsidR="00442468">
        <w:rPr>
          <w:rFonts w:ascii="Times New Roman" w:hAnsi="Times New Roman" w:cs="Times New Roman"/>
          <w:sz w:val="24"/>
          <w:szCs w:val="24"/>
        </w:rPr>
        <w:t xml:space="preserve">, </w:t>
      </w:r>
      <w:r w:rsidR="00A5418F">
        <w:rPr>
          <w:rFonts w:ascii="Times New Roman" w:hAnsi="Times New Roman" w:cs="Times New Roman"/>
          <w:sz w:val="24"/>
          <w:szCs w:val="24"/>
        </w:rPr>
        <w:t xml:space="preserve">studied </w:t>
      </w:r>
      <w:r w:rsidR="00F9222A">
        <w:rPr>
          <w:rFonts w:ascii="Times New Roman" w:hAnsi="Times New Roman" w:cs="Times New Roman"/>
          <w:sz w:val="24"/>
          <w:szCs w:val="24"/>
        </w:rPr>
        <w:t xml:space="preserve">and appreciated </w:t>
      </w:r>
      <w:r w:rsidR="00A5418F">
        <w:rPr>
          <w:rFonts w:ascii="Times New Roman" w:hAnsi="Times New Roman" w:cs="Times New Roman"/>
          <w:sz w:val="24"/>
          <w:szCs w:val="24"/>
        </w:rPr>
        <w:t>by us</w:t>
      </w:r>
      <w:r w:rsidR="00F9222A">
        <w:rPr>
          <w:rFonts w:ascii="Times New Roman" w:hAnsi="Times New Roman" w:cs="Times New Roman"/>
          <w:sz w:val="24"/>
          <w:szCs w:val="24"/>
        </w:rPr>
        <w:t>,</w:t>
      </w:r>
      <w:r w:rsidR="00A5418F">
        <w:rPr>
          <w:rFonts w:ascii="Times New Roman" w:hAnsi="Times New Roman" w:cs="Times New Roman"/>
          <w:sz w:val="24"/>
          <w:szCs w:val="24"/>
        </w:rPr>
        <w:t xml:space="preserve"> as a modern people.</w:t>
      </w:r>
    </w:p>
    <w:p w14:paraId="37FA8C18" w14:textId="77777777" w:rsidR="00A5418F" w:rsidRDefault="00A5418F" w:rsidP="00EB7B76">
      <w:pPr>
        <w:rPr>
          <w:rFonts w:ascii="Times New Roman" w:hAnsi="Times New Roman" w:cs="Times New Roman"/>
          <w:sz w:val="24"/>
          <w:szCs w:val="24"/>
        </w:rPr>
      </w:pPr>
    </w:p>
    <w:p w14:paraId="3ED15B84" w14:textId="67F7231C" w:rsidR="00A5418F" w:rsidRPr="008A6B66" w:rsidRDefault="00A5418F" w:rsidP="00EB7B76">
      <w:pPr>
        <w:rPr>
          <w:rFonts w:ascii="Times New Roman" w:hAnsi="Times New Roman" w:cs="Times New Roman"/>
          <w:sz w:val="24"/>
          <w:szCs w:val="24"/>
          <w:u w:val="single"/>
        </w:rPr>
      </w:pPr>
      <w:r w:rsidRPr="008A6B66">
        <w:rPr>
          <w:rFonts w:ascii="Times New Roman" w:hAnsi="Times New Roman" w:cs="Times New Roman"/>
          <w:sz w:val="24"/>
          <w:szCs w:val="24"/>
          <w:u w:val="single"/>
        </w:rPr>
        <w:t>Conclusion:</w:t>
      </w:r>
    </w:p>
    <w:p w14:paraId="2C696170" w14:textId="792BBEE5" w:rsidR="00A5418F" w:rsidRDefault="00A5418F" w:rsidP="00EB7B76">
      <w:pPr>
        <w:rPr>
          <w:rFonts w:ascii="Times New Roman" w:hAnsi="Times New Roman" w:cs="Times New Roman"/>
          <w:sz w:val="24"/>
          <w:szCs w:val="24"/>
        </w:rPr>
      </w:pPr>
      <w:r>
        <w:rPr>
          <w:rFonts w:ascii="Times New Roman" w:hAnsi="Times New Roman" w:cs="Times New Roman"/>
          <w:sz w:val="24"/>
          <w:szCs w:val="24"/>
        </w:rPr>
        <w:t xml:space="preserve">The Great Torc is a beautiful piece of Insular Celtic art that shows evidence of an expansive Celtic history in its decoration and formation. </w:t>
      </w:r>
      <w:r w:rsidR="00442468">
        <w:rPr>
          <w:rFonts w:ascii="Times New Roman" w:hAnsi="Times New Roman" w:cs="Times New Roman"/>
          <w:sz w:val="24"/>
          <w:szCs w:val="24"/>
        </w:rPr>
        <w:t xml:space="preserve">It is fairly unique with its differing terminals, and its construction is impressive with its eight coiled ropes making it very thick and sturdy whilst retaining its flexibility. </w:t>
      </w:r>
      <w:r w:rsidR="001305E2">
        <w:rPr>
          <w:rFonts w:ascii="Times New Roman" w:hAnsi="Times New Roman" w:cs="Times New Roman"/>
          <w:sz w:val="24"/>
          <w:szCs w:val="24"/>
        </w:rPr>
        <w:t xml:space="preserve">The soldering does seem a little out of place as the overall construction seems very good, yet the terminals show signs of not being soldered fully; there seems to be no logical reason for this. </w:t>
      </w:r>
      <w:r w:rsidR="002B362B">
        <w:rPr>
          <w:rFonts w:ascii="Times New Roman" w:hAnsi="Times New Roman" w:cs="Times New Roman"/>
          <w:sz w:val="24"/>
          <w:szCs w:val="24"/>
        </w:rPr>
        <w:t xml:space="preserve">The torc and the artifacts found with it have provided years of study and discussion on not only </w:t>
      </w:r>
      <w:r w:rsidR="00362215">
        <w:rPr>
          <w:rFonts w:ascii="Times New Roman" w:hAnsi="Times New Roman" w:cs="Times New Roman"/>
          <w:sz w:val="24"/>
          <w:szCs w:val="24"/>
        </w:rPr>
        <w:t>their</w:t>
      </w:r>
      <w:r w:rsidR="002B362B">
        <w:rPr>
          <w:rFonts w:ascii="Times New Roman" w:hAnsi="Times New Roman" w:cs="Times New Roman"/>
          <w:sz w:val="24"/>
          <w:szCs w:val="24"/>
        </w:rPr>
        <w:t xml:space="preserve"> creation and styling, but also </w:t>
      </w:r>
      <w:r w:rsidR="00362215">
        <w:rPr>
          <w:rFonts w:ascii="Times New Roman" w:hAnsi="Times New Roman" w:cs="Times New Roman"/>
          <w:sz w:val="24"/>
          <w:szCs w:val="24"/>
        </w:rPr>
        <w:t>their</w:t>
      </w:r>
      <w:r w:rsidR="002B362B">
        <w:rPr>
          <w:rFonts w:ascii="Times New Roman" w:hAnsi="Times New Roman" w:cs="Times New Roman"/>
          <w:sz w:val="24"/>
          <w:szCs w:val="24"/>
        </w:rPr>
        <w:t xml:space="preserve"> reason for being where </w:t>
      </w:r>
      <w:r w:rsidR="00362215">
        <w:rPr>
          <w:rFonts w:ascii="Times New Roman" w:hAnsi="Times New Roman" w:cs="Times New Roman"/>
          <w:sz w:val="24"/>
          <w:szCs w:val="24"/>
        </w:rPr>
        <w:t>they</w:t>
      </w:r>
      <w:r w:rsidR="002B362B">
        <w:rPr>
          <w:rFonts w:ascii="Times New Roman" w:hAnsi="Times New Roman" w:cs="Times New Roman"/>
          <w:sz w:val="24"/>
          <w:szCs w:val="24"/>
        </w:rPr>
        <w:t xml:space="preserve"> </w:t>
      </w:r>
      <w:r w:rsidR="00362215">
        <w:rPr>
          <w:rFonts w:ascii="Times New Roman" w:hAnsi="Times New Roman" w:cs="Times New Roman"/>
          <w:sz w:val="24"/>
          <w:szCs w:val="24"/>
        </w:rPr>
        <w:t>were</w:t>
      </w:r>
      <w:r w:rsidR="002B362B">
        <w:rPr>
          <w:rFonts w:ascii="Times New Roman" w:hAnsi="Times New Roman" w:cs="Times New Roman"/>
          <w:sz w:val="24"/>
          <w:szCs w:val="24"/>
        </w:rPr>
        <w:t xml:space="preserve"> discovered</w:t>
      </w:r>
      <w:r w:rsidR="00362215">
        <w:rPr>
          <w:rFonts w:ascii="Times New Roman" w:hAnsi="Times New Roman" w:cs="Times New Roman"/>
          <w:sz w:val="24"/>
          <w:szCs w:val="24"/>
        </w:rPr>
        <w:t>.</w:t>
      </w:r>
      <w:r w:rsidR="001305E2">
        <w:rPr>
          <w:rFonts w:ascii="Times New Roman" w:hAnsi="Times New Roman" w:cs="Times New Roman"/>
          <w:sz w:val="24"/>
          <w:szCs w:val="24"/>
        </w:rPr>
        <w:t xml:space="preserve"> The question of whether it is a votive offering or not is an expansive one, but whatever its reason for being where it lay, i</w:t>
      </w:r>
      <w:r w:rsidR="002B362B">
        <w:rPr>
          <w:rFonts w:ascii="Times New Roman" w:hAnsi="Times New Roman" w:cs="Times New Roman"/>
          <w:sz w:val="24"/>
          <w:szCs w:val="24"/>
        </w:rPr>
        <w:t>t is a fascinating piece of British history that deserves its place on display for generations of people to enjoy.</w:t>
      </w:r>
    </w:p>
    <w:p w14:paraId="3AD24433" w14:textId="59834FB3" w:rsidR="008A6B66" w:rsidRPr="008A6B66" w:rsidRDefault="008A6B66" w:rsidP="00EB7B76">
      <w:pPr>
        <w:rPr>
          <w:rFonts w:ascii="Times New Roman" w:hAnsi="Times New Roman" w:cs="Times New Roman"/>
          <w:b/>
          <w:bCs/>
          <w:sz w:val="24"/>
          <w:szCs w:val="24"/>
        </w:rPr>
      </w:pPr>
      <w:r w:rsidRPr="008A6B66">
        <w:rPr>
          <w:rFonts w:ascii="Times New Roman" w:hAnsi="Times New Roman" w:cs="Times New Roman"/>
          <w:b/>
          <w:bCs/>
          <w:sz w:val="24"/>
          <w:szCs w:val="24"/>
        </w:rPr>
        <w:lastRenderedPageBreak/>
        <w:t>Bibliography:</w:t>
      </w:r>
    </w:p>
    <w:p w14:paraId="59827124" w14:textId="77777777"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Cunliffe, Barry, </w:t>
      </w:r>
      <w:r w:rsidRPr="004467B6">
        <w:rPr>
          <w:rFonts w:ascii="Times New Roman" w:hAnsi="Times New Roman" w:cs="Times New Roman"/>
          <w:i/>
          <w:iCs/>
          <w:sz w:val="24"/>
          <w:szCs w:val="24"/>
        </w:rPr>
        <w:t>The Ancient Celts</w:t>
      </w:r>
      <w:r>
        <w:rPr>
          <w:rFonts w:ascii="Times New Roman" w:hAnsi="Times New Roman" w:cs="Times New Roman"/>
          <w:sz w:val="24"/>
          <w:szCs w:val="24"/>
        </w:rPr>
        <w:t>, (Oxford: Oxford University Press, 2018).</w:t>
      </w:r>
    </w:p>
    <w:p w14:paraId="7C3B495E" w14:textId="77777777"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Dio, Cassius, </w:t>
      </w:r>
      <w:r w:rsidRPr="00233153">
        <w:rPr>
          <w:rFonts w:ascii="Times New Roman" w:hAnsi="Times New Roman" w:cs="Times New Roman"/>
          <w:i/>
          <w:iCs/>
          <w:sz w:val="24"/>
          <w:szCs w:val="24"/>
        </w:rPr>
        <w:t>Roman History Books 61-70</w:t>
      </w:r>
      <w:r>
        <w:rPr>
          <w:rFonts w:ascii="Times New Roman" w:hAnsi="Times New Roman" w:cs="Times New Roman"/>
          <w:sz w:val="24"/>
          <w:szCs w:val="24"/>
        </w:rPr>
        <w:t>, (London: Harvard University Press, 1925).</w:t>
      </w:r>
    </w:p>
    <w:p w14:paraId="097A8C72" w14:textId="77777777"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Encyclopaedia Britannica, </w:t>
      </w:r>
      <w:r w:rsidRPr="00880C0A">
        <w:rPr>
          <w:rFonts w:ascii="Times New Roman" w:hAnsi="Times New Roman" w:cs="Times New Roman"/>
          <w:i/>
          <w:iCs/>
          <w:sz w:val="24"/>
          <w:szCs w:val="24"/>
        </w:rPr>
        <w:t>Electrum</w:t>
      </w:r>
      <w:r>
        <w:rPr>
          <w:rFonts w:ascii="Times New Roman" w:hAnsi="Times New Roman" w:cs="Times New Roman"/>
          <w:sz w:val="24"/>
          <w:szCs w:val="24"/>
        </w:rPr>
        <w:t xml:space="preserve">, 8 March 2025. </w:t>
      </w:r>
      <w:hyperlink r:id="rId12" w:history="1">
        <w:r w:rsidRPr="002D178B">
          <w:rPr>
            <w:rStyle w:val="Hyperlink"/>
            <w:rFonts w:ascii="Times New Roman" w:hAnsi="Times New Roman" w:cs="Times New Roman"/>
            <w:sz w:val="24"/>
            <w:szCs w:val="24"/>
          </w:rPr>
          <w:t>https://www.britannica.com/science/electrum</w:t>
        </w:r>
      </w:hyperlink>
      <w:r>
        <w:rPr>
          <w:rFonts w:ascii="Times New Roman" w:hAnsi="Times New Roman" w:cs="Times New Roman"/>
          <w:sz w:val="24"/>
          <w:szCs w:val="24"/>
        </w:rPr>
        <w:t xml:space="preserve"> [accessed 26 March 2025].</w:t>
      </w:r>
    </w:p>
    <w:p w14:paraId="3D6A971A" w14:textId="77777777" w:rsidR="008A6B66" w:rsidRPr="005F19CD" w:rsidRDefault="008A6B66" w:rsidP="008A6B66">
      <w:pPr>
        <w:rPr>
          <w:rFonts w:ascii="Times New Roman" w:hAnsi="Times New Roman" w:cs="Times New Roman"/>
          <w:sz w:val="24"/>
          <w:szCs w:val="24"/>
        </w:rPr>
      </w:pPr>
      <w:r w:rsidRPr="005F19CD">
        <w:rPr>
          <w:rFonts w:ascii="Times New Roman" w:hAnsi="Times New Roman" w:cs="Times New Roman"/>
          <w:sz w:val="24"/>
          <w:szCs w:val="24"/>
        </w:rPr>
        <w:t xml:space="preserve">Laing, Lloyd and Jennifer, </w:t>
      </w:r>
      <w:r w:rsidRPr="005F19CD">
        <w:rPr>
          <w:rFonts w:ascii="Times New Roman" w:hAnsi="Times New Roman" w:cs="Times New Roman"/>
          <w:i/>
          <w:iCs/>
          <w:sz w:val="24"/>
          <w:szCs w:val="24"/>
        </w:rPr>
        <w:t>Art Of The Celts</w:t>
      </w:r>
      <w:r w:rsidRPr="005F19CD">
        <w:rPr>
          <w:rFonts w:ascii="Times New Roman" w:hAnsi="Times New Roman" w:cs="Times New Roman"/>
          <w:sz w:val="24"/>
          <w:szCs w:val="24"/>
        </w:rPr>
        <w:t xml:space="preserve">, (London: Thames </w:t>
      </w:r>
      <w:r>
        <w:rPr>
          <w:rFonts w:ascii="Times New Roman" w:hAnsi="Times New Roman" w:cs="Times New Roman"/>
          <w:sz w:val="24"/>
          <w:szCs w:val="24"/>
        </w:rPr>
        <w:t>A</w:t>
      </w:r>
      <w:r w:rsidRPr="005F19CD">
        <w:rPr>
          <w:rFonts w:ascii="Times New Roman" w:hAnsi="Times New Roman" w:cs="Times New Roman"/>
          <w:sz w:val="24"/>
          <w:szCs w:val="24"/>
        </w:rPr>
        <w:t>nd Hudson Ltd, 1992).</w:t>
      </w:r>
    </w:p>
    <w:p w14:paraId="3D33A84C" w14:textId="77777777" w:rsidR="008A6B66" w:rsidRDefault="008A6B66" w:rsidP="008A6B66">
      <w:pPr>
        <w:rPr>
          <w:rFonts w:ascii="Times New Roman" w:hAnsi="Times New Roman" w:cs="Times New Roman"/>
          <w:sz w:val="24"/>
          <w:szCs w:val="24"/>
        </w:rPr>
      </w:pPr>
      <w:proofErr w:type="spellStart"/>
      <w:r>
        <w:rPr>
          <w:rFonts w:ascii="Times New Roman" w:hAnsi="Times New Roman" w:cs="Times New Roman"/>
          <w:sz w:val="24"/>
          <w:szCs w:val="24"/>
        </w:rPr>
        <w:t>Machling</w:t>
      </w:r>
      <w:proofErr w:type="spellEnd"/>
      <w:r>
        <w:rPr>
          <w:rFonts w:ascii="Times New Roman" w:hAnsi="Times New Roman" w:cs="Times New Roman"/>
          <w:sz w:val="24"/>
          <w:szCs w:val="24"/>
        </w:rPr>
        <w:t xml:space="preserve">, Tess, ‘Pattern And Purpose: A New Story About The Creation Of The Snettisham Great Torc’, </w:t>
      </w:r>
      <w:r w:rsidRPr="00CC7538">
        <w:rPr>
          <w:rFonts w:ascii="Times New Roman" w:hAnsi="Times New Roman" w:cs="Times New Roman"/>
          <w:i/>
          <w:iCs/>
          <w:sz w:val="24"/>
          <w:szCs w:val="24"/>
        </w:rPr>
        <w:t>The Big Book Of Torcs</w:t>
      </w:r>
      <w:r>
        <w:rPr>
          <w:rFonts w:ascii="Times New Roman" w:hAnsi="Times New Roman" w:cs="Times New Roman"/>
          <w:sz w:val="24"/>
          <w:szCs w:val="24"/>
        </w:rPr>
        <w:t xml:space="preserve">, 29 May 2022. </w:t>
      </w:r>
      <w:hyperlink r:id="rId13" w:history="1">
        <w:r w:rsidRPr="00D80244">
          <w:rPr>
            <w:rStyle w:val="Hyperlink"/>
            <w:rFonts w:ascii="Times New Roman" w:hAnsi="Times New Roman" w:cs="Times New Roman"/>
            <w:sz w:val="24"/>
            <w:szCs w:val="24"/>
          </w:rPr>
          <w:t>https://bigbookoftorcs.com/2022/05/29/pattern-and-purpose-a-new-story-about-the-creation-of-the-snettisham-great-torc/</w:t>
        </w:r>
      </w:hyperlink>
      <w:r>
        <w:rPr>
          <w:rFonts w:ascii="Times New Roman" w:hAnsi="Times New Roman" w:cs="Times New Roman"/>
          <w:sz w:val="24"/>
          <w:szCs w:val="24"/>
        </w:rPr>
        <w:t xml:space="preserve"> [accessed 31 March 2025].</w:t>
      </w:r>
    </w:p>
    <w:p w14:paraId="01CC3C03" w14:textId="62162566" w:rsidR="008A6B66" w:rsidRDefault="008A6B66" w:rsidP="008A6B66">
      <w:pPr>
        <w:rPr>
          <w:rFonts w:ascii="Times New Roman" w:hAnsi="Times New Roman" w:cs="Times New Roman"/>
          <w:sz w:val="24"/>
          <w:szCs w:val="24"/>
        </w:rPr>
      </w:pPr>
      <w:proofErr w:type="spellStart"/>
      <w:r>
        <w:rPr>
          <w:rFonts w:ascii="Times New Roman" w:hAnsi="Times New Roman" w:cs="Times New Roman"/>
          <w:sz w:val="24"/>
          <w:szCs w:val="24"/>
        </w:rPr>
        <w:t>Machling</w:t>
      </w:r>
      <w:proofErr w:type="spellEnd"/>
      <w:r>
        <w:rPr>
          <w:rFonts w:ascii="Times New Roman" w:hAnsi="Times New Roman" w:cs="Times New Roman"/>
          <w:sz w:val="24"/>
          <w:szCs w:val="24"/>
        </w:rPr>
        <w:t xml:space="preserve">, Tess &amp; Williamson, Roland, ‘Thoughts On The Grotesque Torc And The Snettisham (Ken Hill) Hoards In The Light Of New Research’, </w:t>
      </w:r>
      <w:r w:rsidRPr="00BD07EC">
        <w:rPr>
          <w:rFonts w:ascii="Times New Roman" w:hAnsi="Times New Roman" w:cs="Times New Roman"/>
          <w:i/>
          <w:iCs/>
          <w:sz w:val="24"/>
          <w:szCs w:val="24"/>
        </w:rPr>
        <w:t>Big Book Of Torcs</w:t>
      </w:r>
      <w:r>
        <w:rPr>
          <w:rFonts w:ascii="Times New Roman" w:hAnsi="Times New Roman" w:cs="Times New Roman"/>
          <w:sz w:val="24"/>
          <w:szCs w:val="24"/>
        </w:rPr>
        <w:t>, 22</w:t>
      </w:r>
      <w:r w:rsidR="0095159B">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September 2020. </w:t>
      </w:r>
      <w:hyperlink r:id="rId14" w:history="1">
        <w:r w:rsidRPr="00E03CF9">
          <w:rPr>
            <w:rStyle w:val="Hyperlink"/>
            <w:rFonts w:ascii="Times New Roman" w:hAnsi="Times New Roman" w:cs="Times New Roman"/>
            <w:sz w:val="24"/>
            <w:szCs w:val="24"/>
          </w:rPr>
          <w:t>https://bigbookoftorcs.com/2020/09/22/thoughts-on-the-grotesque-torc/</w:t>
        </w:r>
      </w:hyperlink>
      <w:r>
        <w:rPr>
          <w:rFonts w:ascii="Times New Roman" w:hAnsi="Times New Roman" w:cs="Times New Roman"/>
          <w:sz w:val="24"/>
          <w:szCs w:val="24"/>
        </w:rPr>
        <w:t xml:space="preserve"> [accessed 21 March 2025].</w:t>
      </w:r>
    </w:p>
    <w:p w14:paraId="1326EEBF" w14:textId="4FFF652A"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Megaw, Ruth and Vincent, </w:t>
      </w:r>
      <w:r w:rsidRPr="00144056">
        <w:rPr>
          <w:rFonts w:ascii="Times New Roman" w:hAnsi="Times New Roman" w:cs="Times New Roman"/>
          <w:i/>
          <w:iCs/>
          <w:sz w:val="24"/>
          <w:szCs w:val="24"/>
        </w:rPr>
        <w:t>Celtic Art: From Its Beginnings To The Book Of Kells</w:t>
      </w:r>
      <w:r>
        <w:rPr>
          <w:rFonts w:ascii="Times New Roman" w:hAnsi="Times New Roman" w:cs="Times New Roman"/>
          <w:sz w:val="24"/>
          <w:szCs w:val="24"/>
        </w:rPr>
        <w:t>, (London: Thames And Hudson Ltd, 1991).</w:t>
      </w:r>
    </w:p>
    <w:p w14:paraId="57A1DCF2" w14:textId="77777777"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The </w:t>
      </w:r>
      <w:r w:rsidRPr="005F19CD">
        <w:rPr>
          <w:rFonts w:ascii="Times New Roman" w:hAnsi="Times New Roman" w:cs="Times New Roman"/>
          <w:sz w:val="24"/>
          <w:szCs w:val="24"/>
        </w:rPr>
        <w:t xml:space="preserve">British Museum, </w:t>
      </w:r>
      <w:r w:rsidRPr="005F19CD">
        <w:rPr>
          <w:rFonts w:ascii="Times New Roman" w:hAnsi="Times New Roman" w:cs="Times New Roman"/>
          <w:i/>
          <w:iCs/>
          <w:sz w:val="24"/>
          <w:szCs w:val="24"/>
        </w:rPr>
        <w:t>Celts: Art And Identity</w:t>
      </w:r>
      <w:r w:rsidRPr="005F19CD">
        <w:rPr>
          <w:rFonts w:ascii="Times New Roman" w:hAnsi="Times New Roman" w:cs="Times New Roman"/>
          <w:sz w:val="24"/>
          <w:szCs w:val="24"/>
        </w:rPr>
        <w:t>, ed. by Julia Farley and Fraser Hunter</w:t>
      </w:r>
      <w:r>
        <w:rPr>
          <w:rFonts w:ascii="Times New Roman" w:hAnsi="Times New Roman" w:cs="Times New Roman"/>
          <w:sz w:val="24"/>
          <w:szCs w:val="24"/>
        </w:rPr>
        <w:t>, (London: The British Museum Press, 2015).</w:t>
      </w:r>
    </w:p>
    <w:p w14:paraId="77A60C4C" w14:textId="77777777"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The British Museum, </w:t>
      </w:r>
      <w:r w:rsidRPr="00952DFC">
        <w:rPr>
          <w:rFonts w:ascii="Times New Roman" w:hAnsi="Times New Roman" w:cs="Times New Roman"/>
          <w:i/>
          <w:iCs/>
          <w:sz w:val="24"/>
          <w:szCs w:val="24"/>
        </w:rPr>
        <w:t>The Snettisham Hoards: Volume 1</w:t>
      </w:r>
      <w:r>
        <w:rPr>
          <w:rFonts w:ascii="Times New Roman" w:hAnsi="Times New Roman" w:cs="Times New Roman"/>
          <w:sz w:val="24"/>
          <w:szCs w:val="24"/>
        </w:rPr>
        <w:t>, ed. by Julia Farley and Jody Joy, (London: The British Museum, 2024).</w:t>
      </w:r>
    </w:p>
    <w:p w14:paraId="3832BE64" w14:textId="77777777" w:rsidR="008A6B66" w:rsidRDefault="008A6B66" w:rsidP="008A6B66">
      <w:pPr>
        <w:rPr>
          <w:rFonts w:ascii="Times New Roman" w:hAnsi="Times New Roman" w:cs="Times New Roman"/>
          <w:sz w:val="24"/>
          <w:szCs w:val="24"/>
        </w:rPr>
      </w:pPr>
      <w:r>
        <w:rPr>
          <w:rFonts w:ascii="Times New Roman" w:hAnsi="Times New Roman" w:cs="Times New Roman"/>
          <w:sz w:val="24"/>
          <w:szCs w:val="24"/>
        </w:rPr>
        <w:t xml:space="preserve">The British Museum, </w:t>
      </w:r>
      <w:r w:rsidRPr="00952DFC">
        <w:rPr>
          <w:rFonts w:ascii="Times New Roman" w:hAnsi="Times New Roman" w:cs="Times New Roman"/>
          <w:i/>
          <w:iCs/>
          <w:sz w:val="24"/>
          <w:szCs w:val="24"/>
        </w:rPr>
        <w:t xml:space="preserve">The Snettisham Hoards: Volume </w:t>
      </w:r>
      <w:r>
        <w:rPr>
          <w:rFonts w:ascii="Times New Roman" w:hAnsi="Times New Roman" w:cs="Times New Roman"/>
          <w:i/>
          <w:iCs/>
          <w:sz w:val="24"/>
          <w:szCs w:val="24"/>
        </w:rPr>
        <w:t>2</w:t>
      </w:r>
      <w:r>
        <w:rPr>
          <w:rFonts w:ascii="Times New Roman" w:hAnsi="Times New Roman" w:cs="Times New Roman"/>
          <w:sz w:val="24"/>
          <w:szCs w:val="24"/>
        </w:rPr>
        <w:t>, ed. by Julia Farley and Jody Joy, (London: The British Museum, 2024).</w:t>
      </w:r>
    </w:p>
    <w:p w14:paraId="091DDBB5" w14:textId="52626B45" w:rsidR="008A6B66" w:rsidRPr="00A42080" w:rsidRDefault="008A6B66" w:rsidP="008A6B66">
      <w:pPr>
        <w:rPr>
          <w:rFonts w:ascii="Times New Roman" w:hAnsi="Times New Roman" w:cs="Times New Roman"/>
          <w:sz w:val="24"/>
          <w:szCs w:val="24"/>
        </w:rPr>
      </w:pPr>
      <w:r>
        <w:rPr>
          <w:rFonts w:ascii="Times New Roman" w:hAnsi="Times New Roman" w:cs="Times New Roman"/>
          <w:sz w:val="24"/>
          <w:szCs w:val="24"/>
        </w:rPr>
        <w:t>The British Museum, ‘Torc’</w:t>
      </w:r>
      <w:r w:rsidR="00894759">
        <w:rPr>
          <w:rFonts w:ascii="Times New Roman" w:hAnsi="Times New Roman" w:cs="Times New Roman"/>
          <w:sz w:val="24"/>
          <w:szCs w:val="24"/>
        </w:rPr>
        <w:t>, (date unknown)</w:t>
      </w:r>
      <w:r>
        <w:rPr>
          <w:rFonts w:ascii="Times New Roman" w:hAnsi="Times New Roman" w:cs="Times New Roman"/>
          <w:sz w:val="24"/>
          <w:szCs w:val="24"/>
        </w:rPr>
        <w:t xml:space="preserve">. </w:t>
      </w:r>
      <w:hyperlink r:id="rId15" w:history="1">
        <w:r w:rsidRPr="00E03CF9">
          <w:rPr>
            <w:rStyle w:val="Hyperlink"/>
            <w:rFonts w:ascii="Times New Roman" w:hAnsi="Times New Roman" w:cs="Times New Roman"/>
            <w:sz w:val="24"/>
            <w:szCs w:val="24"/>
          </w:rPr>
          <w:t>https://www.britishmuseum.org/collection/object/H_1951-0402-2</w:t>
        </w:r>
      </w:hyperlink>
      <w:r>
        <w:rPr>
          <w:rFonts w:ascii="Times New Roman" w:hAnsi="Times New Roman" w:cs="Times New Roman"/>
          <w:sz w:val="24"/>
          <w:szCs w:val="24"/>
        </w:rPr>
        <w:t xml:space="preserve"> [accessed 21 March 2025].</w:t>
      </w:r>
    </w:p>
    <w:sectPr w:rsidR="008A6B66" w:rsidRPr="00A420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E2961" w14:textId="77777777" w:rsidR="0007710B" w:rsidRDefault="0007710B" w:rsidP="0007710B">
      <w:pPr>
        <w:spacing w:after="0" w:line="240" w:lineRule="auto"/>
      </w:pPr>
      <w:r>
        <w:separator/>
      </w:r>
    </w:p>
  </w:endnote>
  <w:endnote w:type="continuationSeparator" w:id="0">
    <w:p w14:paraId="4EA56530" w14:textId="77777777" w:rsidR="0007710B" w:rsidRDefault="0007710B" w:rsidP="0007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7336" w14:textId="77777777" w:rsidR="0007710B" w:rsidRDefault="0007710B" w:rsidP="0007710B">
      <w:pPr>
        <w:spacing w:after="0" w:line="240" w:lineRule="auto"/>
      </w:pPr>
      <w:r>
        <w:separator/>
      </w:r>
    </w:p>
  </w:footnote>
  <w:footnote w:type="continuationSeparator" w:id="0">
    <w:p w14:paraId="63C6A310" w14:textId="77777777" w:rsidR="0007710B" w:rsidRDefault="0007710B" w:rsidP="0007710B">
      <w:pPr>
        <w:spacing w:after="0" w:line="240" w:lineRule="auto"/>
      </w:pPr>
      <w:r>
        <w:continuationSeparator/>
      </w:r>
    </w:p>
  </w:footnote>
  <w:footnote w:id="1">
    <w:p w14:paraId="5A0986EC" w14:textId="5BF92EEC" w:rsidR="0007710B" w:rsidRDefault="0007710B">
      <w:pPr>
        <w:pStyle w:val="FootnoteText"/>
      </w:pPr>
      <w:r>
        <w:rPr>
          <w:rStyle w:val="FootnoteReference"/>
        </w:rPr>
        <w:footnoteRef/>
      </w:r>
      <w:r>
        <w:t xml:space="preserve"> Lloyd and Jennfier Laing, </w:t>
      </w:r>
      <w:r w:rsidRPr="0007710B">
        <w:rPr>
          <w:i/>
          <w:iCs/>
        </w:rPr>
        <w:t>Art Of The Celts</w:t>
      </w:r>
      <w:r>
        <w:t xml:space="preserve">, (London: Thames </w:t>
      </w:r>
      <w:r w:rsidR="00CA640D">
        <w:t>A</w:t>
      </w:r>
      <w:r>
        <w:t>nd Hudson Ltd, 1992), p. 8.</w:t>
      </w:r>
    </w:p>
  </w:footnote>
  <w:footnote w:id="2">
    <w:p w14:paraId="3DE4EDCE" w14:textId="7D0F6E54" w:rsidR="009D1CC4" w:rsidRDefault="009D1CC4">
      <w:pPr>
        <w:pStyle w:val="FootnoteText"/>
      </w:pPr>
      <w:r>
        <w:rPr>
          <w:rStyle w:val="FootnoteReference"/>
        </w:rPr>
        <w:footnoteRef/>
      </w:r>
      <w:r>
        <w:t xml:space="preserve"> The British Museum, ‘Torc’</w:t>
      </w:r>
      <w:r w:rsidR="00820CA6">
        <w:t xml:space="preserve"> (date unknown)</w:t>
      </w:r>
      <w:r>
        <w:t xml:space="preserve">. </w:t>
      </w:r>
      <w:hyperlink r:id="rId1" w:history="1">
        <w:r w:rsidRPr="00E03CF9">
          <w:rPr>
            <w:rStyle w:val="Hyperlink"/>
          </w:rPr>
          <w:t>https://www.britishmuseum.org/collection/object/H_1951-0402-2</w:t>
        </w:r>
      </w:hyperlink>
      <w:r>
        <w:t xml:space="preserve"> [accessed 21 March 2025].</w:t>
      </w:r>
    </w:p>
  </w:footnote>
  <w:footnote w:id="3">
    <w:p w14:paraId="6830C5D9" w14:textId="19B7B7FD" w:rsidR="00A42080" w:rsidRDefault="00A42080">
      <w:pPr>
        <w:pStyle w:val="FootnoteText"/>
      </w:pPr>
      <w:r>
        <w:rPr>
          <w:rStyle w:val="FootnoteReference"/>
        </w:rPr>
        <w:footnoteRef/>
      </w:r>
      <w:r>
        <w:t xml:space="preserve"> </w:t>
      </w:r>
      <w:r w:rsidR="009D1CC4">
        <w:t xml:space="preserve">The </w:t>
      </w:r>
      <w:r>
        <w:t xml:space="preserve">British Museum, </w:t>
      </w:r>
      <w:r w:rsidRPr="00A42080">
        <w:rPr>
          <w:i/>
          <w:iCs/>
        </w:rPr>
        <w:t>Celts: Art And Identity</w:t>
      </w:r>
      <w:r>
        <w:t>, ed. by Julia Farley and Fraser Hunter, (London: The British Museum Press, 2015), p. 41.</w:t>
      </w:r>
    </w:p>
  </w:footnote>
  <w:footnote w:id="4">
    <w:p w14:paraId="7A708EBD" w14:textId="3259BBA8" w:rsidR="00454017" w:rsidRDefault="00454017">
      <w:pPr>
        <w:pStyle w:val="FootnoteText"/>
      </w:pPr>
      <w:r>
        <w:rPr>
          <w:rStyle w:val="FootnoteReference"/>
        </w:rPr>
        <w:footnoteRef/>
      </w:r>
      <w:r>
        <w:t xml:space="preserve"> Tess </w:t>
      </w:r>
      <w:proofErr w:type="spellStart"/>
      <w:r>
        <w:t>Machling</w:t>
      </w:r>
      <w:proofErr w:type="spellEnd"/>
      <w:r>
        <w:t xml:space="preserve"> &amp; Roland Williamson, ‘Thoughts On The Grotesque Torc And The Snettisham (Ken Hill) Hoards In The Light Of New Research’, </w:t>
      </w:r>
      <w:r w:rsidRPr="00454017">
        <w:rPr>
          <w:i/>
          <w:iCs/>
        </w:rPr>
        <w:t>Big Book Of Torcs</w:t>
      </w:r>
      <w:r>
        <w:t xml:space="preserve">, 22 September 2020. </w:t>
      </w:r>
      <w:hyperlink r:id="rId2" w:history="1">
        <w:r w:rsidRPr="00E03CF9">
          <w:rPr>
            <w:rStyle w:val="Hyperlink"/>
          </w:rPr>
          <w:t>https://bigbookoftorcs.com/2020/09/22/thoughts-on-the-grotesque-torc/</w:t>
        </w:r>
      </w:hyperlink>
      <w:r>
        <w:t xml:space="preserve"> [accessed 21 March 2025].</w:t>
      </w:r>
    </w:p>
  </w:footnote>
  <w:footnote w:id="5">
    <w:p w14:paraId="21B1D66F" w14:textId="4D94591C" w:rsidR="00F001BD" w:rsidRDefault="00F001BD">
      <w:pPr>
        <w:pStyle w:val="FootnoteText"/>
      </w:pPr>
      <w:r>
        <w:rPr>
          <w:rStyle w:val="FootnoteReference"/>
        </w:rPr>
        <w:footnoteRef/>
      </w:r>
      <w:r>
        <w:t xml:space="preserve"> The British Museum, </w:t>
      </w:r>
      <w:r w:rsidRPr="00C268D5">
        <w:rPr>
          <w:i/>
          <w:iCs/>
        </w:rPr>
        <w:t>The Snettisham Hoards: Volume 1</w:t>
      </w:r>
      <w:r>
        <w:t>,</w:t>
      </w:r>
      <w:r w:rsidR="001B12F6">
        <w:t xml:space="preserve"> ed. by Julia Farley and Jody Joy,</w:t>
      </w:r>
      <w:r>
        <w:t xml:space="preserve"> (London: The British </w:t>
      </w:r>
      <w:r w:rsidR="009462E3">
        <w:t>M</w:t>
      </w:r>
      <w:r>
        <w:t>useum, 2024), p. 8.</w:t>
      </w:r>
    </w:p>
  </w:footnote>
  <w:footnote w:id="6">
    <w:p w14:paraId="0E5CA3E7" w14:textId="0FC773E2" w:rsidR="00C268D5" w:rsidRDefault="00C268D5">
      <w:pPr>
        <w:pStyle w:val="FootnoteText"/>
      </w:pPr>
      <w:r>
        <w:rPr>
          <w:rStyle w:val="FootnoteReference"/>
        </w:rPr>
        <w:footnoteRef/>
      </w:r>
      <w:r w:rsidR="00F001BD">
        <w:t xml:space="preserve"> Ibid.</w:t>
      </w:r>
      <w:r>
        <w:t>, p</w:t>
      </w:r>
      <w:r w:rsidR="00EA2CD1">
        <w:t>.</w:t>
      </w:r>
      <w:r>
        <w:t xml:space="preserve"> 26.</w:t>
      </w:r>
    </w:p>
  </w:footnote>
  <w:footnote w:id="7">
    <w:p w14:paraId="3424BD71" w14:textId="12B6BB7F" w:rsidR="00EA2CD1" w:rsidRDefault="00EA2CD1">
      <w:pPr>
        <w:pStyle w:val="FootnoteText"/>
      </w:pPr>
      <w:r>
        <w:rPr>
          <w:rStyle w:val="FootnoteReference"/>
        </w:rPr>
        <w:footnoteRef/>
      </w:r>
      <w:r>
        <w:t xml:space="preserve"> Ibid., p. 26.</w:t>
      </w:r>
    </w:p>
  </w:footnote>
  <w:footnote w:id="8">
    <w:p w14:paraId="3670ABF2" w14:textId="77457249" w:rsidR="005633F0" w:rsidRDefault="005633F0">
      <w:pPr>
        <w:pStyle w:val="FootnoteText"/>
      </w:pPr>
      <w:r>
        <w:rPr>
          <w:rStyle w:val="FootnoteReference"/>
        </w:rPr>
        <w:footnoteRef/>
      </w:r>
      <w:r>
        <w:t xml:space="preserve"> The </w:t>
      </w:r>
      <w:r w:rsidR="00D673F5">
        <w:t>Treasure Trove regulations have now been superseded by the Treasure Act 1996.</w:t>
      </w:r>
    </w:p>
  </w:footnote>
  <w:footnote w:id="9">
    <w:p w14:paraId="2A9313B3" w14:textId="65E675E2" w:rsidR="00670AC7" w:rsidRPr="00670AC7" w:rsidRDefault="00670AC7">
      <w:pPr>
        <w:pStyle w:val="FootnoteText"/>
      </w:pPr>
      <w:r>
        <w:rPr>
          <w:rStyle w:val="FootnoteReference"/>
        </w:rPr>
        <w:footnoteRef/>
      </w:r>
      <w:r>
        <w:t xml:space="preserve"> The British Museum, </w:t>
      </w:r>
      <w:r w:rsidRPr="00A42080">
        <w:rPr>
          <w:i/>
          <w:iCs/>
        </w:rPr>
        <w:t>Celts: Art And Identity</w:t>
      </w:r>
      <w:r>
        <w:rPr>
          <w:i/>
          <w:iCs/>
        </w:rPr>
        <w:t xml:space="preserve">, </w:t>
      </w:r>
      <w:r>
        <w:t>p. 106.</w:t>
      </w:r>
    </w:p>
  </w:footnote>
  <w:footnote w:id="10">
    <w:p w14:paraId="059B5A7F" w14:textId="06D34EB1" w:rsidR="009671A9" w:rsidRPr="009671A9" w:rsidRDefault="009671A9">
      <w:pPr>
        <w:pStyle w:val="FootnoteText"/>
      </w:pPr>
      <w:r>
        <w:rPr>
          <w:rStyle w:val="FootnoteReference"/>
        </w:rPr>
        <w:footnoteRef/>
      </w:r>
      <w:r>
        <w:t xml:space="preserve"> The British Museum, </w:t>
      </w:r>
      <w:r w:rsidRPr="00C268D5">
        <w:rPr>
          <w:i/>
          <w:iCs/>
        </w:rPr>
        <w:t xml:space="preserve">The Snettisham Hoards: Volume </w:t>
      </w:r>
      <w:r>
        <w:rPr>
          <w:i/>
          <w:iCs/>
        </w:rPr>
        <w:t xml:space="preserve">1, </w:t>
      </w:r>
      <w:r>
        <w:t>p. 365.</w:t>
      </w:r>
    </w:p>
  </w:footnote>
  <w:footnote w:id="11">
    <w:p w14:paraId="7AC97012" w14:textId="653A4BA1" w:rsidR="009671A9" w:rsidRDefault="009671A9">
      <w:pPr>
        <w:pStyle w:val="FootnoteText"/>
      </w:pPr>
      <w:r>
        <w:rPr>
          <w:rStyle w:val="FootnoteReference"/>
        </w:rPr>
        <w:footnoteRef/>
      </w:r>
      <w:r>
        <w:t xml:space="preserve"> The British Museum, ‘Torc’</w:t>
      </w:r>
      <w:r w:rsidR="00820CA6">
        <w:t>, (date unknown)</w:t>
      </w:r>
      <w:r>
        <w:t xml:space="preserve">. </w:t>
      </w:r>
      <w:hyperlink r:id="rId3" w:history="1">
        <w:r w:rsidRPr="00E03CF9">
          <w:rPr>
            <w:rStyle w:val="Hyperlink"/>
          </w:rPr>
          <w:t>https://www.britishmuseum.org/collection/object/H_1951-0402-2</w:t>
        </w:r>
      </w:hyperlink>
      <w:r>
        <w:t xml:space="preserve"> [accessed 29 March 2025].</w:t>
      </w:r>
    </w:p>
  </w:footnote>
  <w:footnote w:id="12">
    <w:p w14:paraId="28C8B93A" w14:textId="68E89B1E" w:rsidR="004D31D7" w:rsidRDefault="004D31D7">
      <w:pPr>
        <w:pStyle w:val="FootnoteText"/>
      </w:pPr>
      <w:r>
        <w:rPr>
          <w:rStyle w:val="FootnoteReference"/>
        </w:rPr>
        <w:footnoteRef/>
      </w:r>
      <w:r>
        <w:t xml:space="preserve"> Encyclopaedia Britannica, </w:t>
      </w:r>
      <w:r w:rsidRPr="004D31D7">
        <w:rPr>
          <w:i/>
          <w:iCs/>
        </w:rPr>
        <w:t>Electrum</w:t>
      </w:r>
      <w:r>
        <w:t xml:space="preserve">, 8 March 2025 </w:t>
      </w:r>
      <w:hyperlink r:id="rId4" w:history="1">
        <w:r w:rsidRPr="002D178B">
          <w:rPr>
            <w:rStyle w:val="Hyperlink"/>
          </w:rPr>
          <w:t>https://www.britannica.com/science/electrum</w:t>
        </w:r>
      </w:hyperlink>
      <w:r>
        <w:t xml:space="preserve"> [accessed 26 March 2025].</w:t>
      </w:r>
    </w:p>
  </w:footnote>
  <w:footnote w:id="13">
    <w:p w14:paraId="538E54AD" w14:textId="367A6938" w:rsidR="00CA640D" w:rsidRDefault="00CA640D">
      <w:pPr>
        <w:pStyle w:val="FootnoteText"/>
      </w:pPr>
      <w:r>
        <w:rPr>
          <w:rStyle w:val="FootnoteReference"/>
        </w:rPr>
        <w:footnoteRef/>
      </w:r>
      <w:r>
        <w:t xml:space="preserve"> Ruth and Vincent Megaw, </w:t>
      </w:r>
      <w:r w:rsidRPr="00CA640D">
        <w:rPr>
          <w:i/>
          <w:iCs/>
        </w:rPr>
        <w:t>Celtic Art: From Its Beginnings To The Book Of Kells</w:t>
      </w:r>
      <w:r>
        <w:t>, (London: Thames And Hudson, 1991), p. 215.</w:t>
      </w:r>
    </w:p>
  </w:footnote>
  <w:footnote w:id="14">
    <w:p w14:paraId="1D1B0BB3" w14:textId="43677472" w:rsidR="00CA640D" w:rsidRDefault="00CA640D">
      <w:pPr>
        <w:pStyle w:val="FootnoteText"/>
      </w:pPr>
      <w:r>
        <w:rPr>
          <w:rStyle w:val="FootnoteReference"/>
        </w:rPr>
        <w:footnoteRef/>
      </w:r>
      <w:r>
        <w:t xml:space="preserve"> Ibid., p. 215.</w:t>
      </w:r>
    </w:p>
  </w:footnote>
  <w:footnote w:id="15">
    <w:p w14:paraId="1C8C7454" w14:textId="631B3A12" w:rsidR="00CA640D" w:rsidRDefault="00CA640D">
      <w:pPr>
        <w:pStyle w:val="FootnoteText"/>
      </w:pPr>
      <w:r>
        <w:rPr>
          <w:rStyle w:val="FootnoteReference"/>
        </w:rPr>
        <w:footnoteRef/>
      </w:r>
      <w:r>
        <w:t xml:space="preserve"> Ibid., p. 215.</w:t>
      </w:r>
    </w:p>
  </w:footnote>
  <w:footnote w:id="16">
    <w:p w14:paraId="60DD0AFA" w14:textId="3342AF7F" w:rsidR="005F59E6" w:rsidRDefault="005F59E6">
      <w:pPr>
        <w:pStyle w:val="FootnoteText"/>
      </w:pPr>
      <w:r>
        <w:rPr>
          <w:rStyle w:val="FootnoteReference"/>
        </w:rPr>
        <w:footnoteRef/>
      </w:r>
      <w:r>
        <w:t xml:space="preserve"> The British Museum, </w:t>
      </w:r>
      <w:r w:rsidRPr="00C74988">
        <w:rPr>
          <w:i/>
          <w:iCs/>
        </w:rPr>
        <w:t>The Snettisham Hoards: Volume 2</w:t>
      </w:r>
      <w:r>
        <w:t>, ed. by Julia Farley and Jody Joy, (London: The British Museum, 2024), p. 473.</w:t>
      </w:r>
    </w:p>
  </w:footnote>
  <w:footnote w:id="17">
    <w:p w14:paraId="0E640A9A" w14:textId="3FB818E9" w:rsidR="005F59E6" w:rsidRDefault="005F59E6">
      <w:pPr>
        <w:pStyle w:val="FootnoteText"/>
      </w:pPr>
      <w:r>
        <w:rPr>
          <w:rStyle w:val="FootnoteReference"/>
        </w:rPr>
        <w:footnoteRef/>
      </w:r>
      <w:r>
        <w:t xml:space="preserve"> Ibid., p. 473.</w:t>
      </w:r>
    </w:p>
  </w:footnote>
  <w:footnote w:id="18">
    <w:p w14:paraId="6DF64993" w14:textId="5067CC82" w:rsidR="00D426D8" w:rsidRDefault="00D426D8">
      <w:pPr>
        <w:pStyle w:val="FootnoteText"/>
      </w:pPr>
      <w:r>
        <w:rPr>
          <w:rStyle w:val="FootnoteReference"/>
        </w:rPr>
        <w:footnoteRef/>
      </w:r>
      <w:r>
        <w:t xml:space="preserve"> Lloyd and Jennifer Laing, </w:t>
      </w:r>
      <w:r w:rsidRPr="002E7CFF">
        <w:rPr>
          <w:i/>
          <w:iCs/>
        </w:rPr>
        <w:t>Art Of The Celts</w:t>
      </w:r>
      <w:r>
        <w:t>, p. 66.</w:t>
      </w:r>
    </w:p>
  </w:footnote>
  <w:footnote w:id="19">
    <w:p w14:paraId="68D8C31B" w14:textId="2AE5DD2A" w:rsidR="00C74988" w:rsidRDefault="00C74988">
      <w:pPr>
        <w:pStyle w:val="FootnoteText"/>
      </w:pPr>
      <w:r>
        <w:rPr>
          <w:rStyle w:val="FootnoteReference"/>
        </w:rPr>
        <w:footnoteRef/>
      </w:r>
      <w:r>
        <w:t xml:space="preserve"> </w:t>
      </w:r>
      <w:r w:rsidR="00D426D8">
        <w:t xml:space="preserve">The British Museum, </w:t>
      </w:r>
      <w:r w:rsidR="00D426D8" w:rsidRPr="00C74988">
        <w:rPr>
          <w:i/>
          <w:iCs/>
        </w:rPr>
        <w:t>The Snettisham Hoards: Volume 2</w:t>
      </w:r>
      <w:r w:rsidR="00D426D8">
        <w:rPr>
          <w:i/>
          <w:iCs/>
        </w:rPr>
        <w:t>,</w:t>
      </w:r>
      <w:r>
        <w:t xml:space="preserve"> p. 468.</w:t>
      </w:r>
    </w:p>
  </w:footnote>
  <w:footnote w:id="20">
    <w:p w14:paraId="3FDDB10D" w14:textId="368B4A24" w:rsidR="00C74988" w:rsidRDefault="00C74988">
      <w:pPr>
        <w:pStyle w:val="FootnoteText"/>
      </w:pPr>
      <w:r>
        <w:rPr>
          <w:rStyle w:val="FootnoteReference"/>
        </w:rPr>
        <w:footnoteRef/>
      </w:r>
      <w:r>
        <w:t xml:space="preserve"> Ibid., p. 468.</w:t>
      </w:r>
    </w:p>
  </w:footnote>
  <w:footnote w:id="21">
    <w:p w14:paraId="1CFA4F8F" w14:textId="7E504008" w:rsidR="008B5F06" w:rsidRDefault="008B5F06">
      <w:pPr>
        <w:pStyle w:val="FootnoteText"/>
      </w:pPr>
      <w:r>
        <w:rPr>
          <w:rStyle w:val="FootnoteReference"/>
        </w:rPr>
        <w:footnoteRef/>
      </w:r>
      <w:r>
        <w:t xml:space="preserve"> Ibid., p. 499.</w:t>
      </w:r>
    </w:p>
  </w:footnote>
  <w:footnote w:id="22">
    <w:p w14:paraId="402C9FB2" w14:textId="6FE1CC5A" w:rsidR="00987295" w:rsidRDefault="00987295">
      <w:pPr>
        <w:pStyle w:val="FootnoteText"/>
      </w:pPr>
      <w:r>
        <w:rPr>
          <w:rStyle w:val="FootnoteReference"/>
        </w:rPr>
        <w:footnoteRef/>
      </w:r>
      <w:r>
        <w:t xml:space="preserve"> </w:t>
      </w:r>
      <w:r w:rsidR="00AF3F29">
        <w:t>T</w:t>
      </w:r>
      <w:r>
        <w:t xml:space="preserve">ess </w:t>
      </w:r>
      <w:proofErr w:type="spellStart"/>
      <w:r>
        <w:t>Machling</w:t>
      </w:r>
      <w:proofErr w:type="spellEnd"/>
      <w:r>
        <w:t xml:space="preserve">, </w:t>
      </w:r>
      <w:r w:rsidR="00AF3F29">
        <w:t xml:space="preserve">‘Pattern And Purpose: A New Story About The Creation Of The Snettisham Great Torc’, </w:t>
      </w:r>
      <w:r w:rsidR="00AF3F29" w:rsidRPr="002E7CFF">
        <w:rPr>
          <w:i/>
          <w:iCs/>
        </w:rPr>
        <w:t>The Big Book Of Torcs</w:t>
      </w:r>
      <w:r w:rsidR="00AF3F29">
        <w:t xml:space="preserve">, 29 May 2022. </w:t>
      </w:r>
      <w:hyperlink r:id="rId5" w:history="1">
        <w:r w:rsidR="00AF3F29" w:rsidRPr="00D80244">
          <w:rPr>
            <w:rStyle w:val="Hyperlink"/>
          </w:rPr>
          <w:t>https://bigbookoftorcs.com/2022/05/29/pattern-and-purpose-a-new-story-about-the-creation-of-the-snettisham-great-torc/</w:t>
        </w:r>
      </w:hyperlink>
      <w:r w:rsidR="00AF3F29">
        <w:t xml:space="preserve"> [accessed 31 March 2025].</w:t>
      </w:r>
    </w:p>
  </w:footnote>
  <w:footnote w:id="23">
    <w:p w14:paraId="40AEBA8B" w14:textId="04616EE5" w:rsidR="005E6046" w:rsidRDefault="005E6046">
      <w:pPr>
        <w:pStyle w:val="FootnoteText"/>
      </w:pPr>
      <w:r>
        <w:rPr>
          <w:rStyle w:val="FootnoteReference"/>
        </w:rPr>
        <w:footnoteRef/>
      </w:r>
      <w:r>
        <w:t xml:space="preserve"> Lloyd and Jennifer Laing, </w:t>
      </w:r>
      <w:r w:rsidRPr="002E7CFF">
        <w:rPr>
          <w:i/>
          <w:iCs/>
        </w:rPr>
        <w:t>Art Of The Celts</w:t>
      </w:r>
      <w:r>
        <w:t>, p. 108.</w:t>
      </w:r>
    </w:p>
  </w:footnote>
  <w:footnote w:id="24">
    <w:p w14:paraId="199853C6" w14:textId="5BB81FB0" w:rsidR="005E6046" w:rsidRPr="005E6046" w:rsidRDefault="005E6046">
      <w:pPr>
        <w:pStyle w:val="FootnoteText"/>
        <w:rPr>
          <w:b/>
          <w:bCs/>
        </w:rPr>
      </w:pPr>
      <w:r>
        <w:rPr>
          <w:rStyle w:val="FootnoteReference"/>
        </w:rPr>
        <w:footnoteRef/>
      </w:r>
      <w:r>
        <w:t xml:space="preserve"> Ibid., p. 108.</w:t>
      </w:r>
    </w:p>
  </w:footnote>
  <w:footnote w:id="25">
    <w:p w14:paraId="5BE29E94" w14:textId="410ED088" w:rsidR="009A43B0" w:rsidRDefault="009A43B0">
      <w:pPr>
        <w:pStyle w:val="FootnoteText"/>
      </w:pPr>
      <w:r>
        <w:rPr>
          <w:rStyle w:val="FootnoteReference"/>
        </w:rPr>
        <w:footnoteRef/>
      </w:r>
      <w:r>
        <w:t xml:space="preserve"> Ibid., p. 41</w:t>
      </w:r>
      <w:r w:rsidR="000A0982">
        <w:t>-</w:t>
      </w:r>
      <w:r>
        <w:t>42.</w:t>
      </w:r>
    </w:p>
  </w:footnote>
  <w:footnote w:id="26">
    <w:p w14:paraId="609DDF36" w14:textId="6BD4E99F" w:rsidR="00B929E4" w:rsidRDefault="00B929E4">
      <w:pPr>
        <w:pStyle w:val="FootnoteText"/>
      </w:pPr>
      <w:r>
        <w:rPr>
          <w:rStyle w:val="FootnoteReference"/>
        </w:rPr>
        <w:footnoteRef/>
      </w:r>
      <w:r>
        <w:t xml:space="preserve"> The British Museum, </w:t>
      </w:r>
      <w:r w:rsidRPr="00B929E4">
        <w:rPr>
          <w:i/>
          <w:iCs/>
        </w:rPr>
        <w:t>The Snettisham Hoards: Volume 2</w:t>
      </w:r>
      <w:r>
        <w:t>, p</w:t>
      </w:r>
      <w:r w:rsidR="00A5418F">
        <w:t>.</w:t>
      </w:r>
      <w:r>
        <w:t xml:space="preserve"> 522.</w:t>
      </w:r>
    </w:p>
  </w:footnote>
  <w:footnote w:id="27">
    <w:p w14:paraId="4739D9DB" w14:textId="410F28B5" w:rsidR="004F3910" w:rsidRDefault="004F3910">
      <w:pPr>
        <w:pStyle w:val="FootnoteText"/>
      </w:pPr>
      <w:r>
        <w:rPr>
          <w:rStyle w:val="FootnoteReference"/>
        </w:rPr>
        <w:footnoteRef/>
      </w:r>
      <w:r>
        <w:t xml:space="preserve"> Ibid., p. 522.</w:t>
      </w:r>
    </w:p>
  </w:footnote>
  <w:footnote w:id="28">
    <w:p w14:paraId="049801B4" w14:textId="48420DF4" w:rsidR="000A0982" w:rsidRDefault="000A0982">
      <w:pPr>
        <w:pStyle w:val="FootnoteText"/>
      </w:pPr>
      <w:r>
        <w:rPr>
          <w:rStyle w:val="FootnoteReference"/>
        </w:rPr>
        <w:footnoteRef/>
      </w:r>
      <w:r>
        <w:t xml:space="preserve"> Barry Cunliffe, </w:t>
      </w:r>
      <w:r w:rsidRPr="000A0982">
        <w:rPr>
          <w:i/>
          <w:iCs/>
        </w:rPr>
        <w:t>The Ancient Celts</w:t>
      </w:r>
      <w:r>
        <w:t>, (Oxford: Oxford University Press, 2018), p. 254.</w:t>
      </w:r>
    </w:p>
  </w:footnote>
  <w:footnote w:id="29">
    <w:p w14:paraId="32991EC1" w14:textId="6A405805" w:rsidR="002E7CFF" w:rsidRDefault="002E7CFF">
      <w:pPr>
        <w:pStyle w:val="FootnoteText"/>
      </w:pPr>
      <w:r>
        <w:rPr>
          <w:rStyle w:val="FootnoteReference"/>
        </w:rPr>
        <w:footnoteRef/>
      </w:r>
      <w:r>
        <w:t xml:space="preserve"> Lloyd and Jennifer Laing, </w:t>
      </w:r>
      <w:r w:rsidRPr="002E7CFF">
        <w:rPr>
          <w:i/>
          <w:iCs/>
        </w:rPr>
        <w:t>Art Of The Celts</w:t>
      </w:r>
      <w:r>
        <w:t>, p. 46.</w:t>
      </w:r>
    </w:p>
  </w:footnote>
  <w:footnote w:id="30">
    <w:p w14:paraId="57FBE654" w14:textId="7AB0CDD2" w:rsidR="00542575" w:rsidRDefault="00542575">
      <w:pPr>
        <w:pStyle w:val="FootnoteText"/>
      </w:pPr>
      <w:r>
        <w:rPr>
          <w:rStyle w:val="FootnoteReference"/>
        </w:rPr>
        <w:footnoteRef/>
      </w:r>
      <w:r>
        <w:t xml:space="preserve"> Ruth and Vincent Megaw, </w:t>
      </w:r>
      <w:r w:rsidRPr="00CA640D">
        <w:rPr>
          <w:i/>
          <w:iCs/>
        </w:rPr>
        <w:t>Celtic Art: From Its Beginnings To The Book Of Kells</w:t>
      </w:r>
      <w:r>
        <w:rPr>
          <w:i/>
          <w:iCs/>
        </w:rPr>
        <w:t xml:space="preserve">, </w:t>
      </w:r>
      <w:r w:rsidR="00A5418F">
        <w:t>p</w:t>
      </w:r>
      <w:r>
        <w:rPr>
          <w:i/>
          <w:iCs/>
        </w:rPr>
        <w:t xml:space="preserve">. </w:t>
      </w:r>
      <w:r w:rsidRPr="00A5418F">
        <w:t>129</w:t>
      </w:r>
      <w:r>
        <w:rPr>
          <w:i/>
          <w:iCs/>
        </w:rPr>
        <w:t>.</w:t>
      </w:r>
    </w:p>
  </w:footnote>
  <w:footnote w:id="31">
    <w:p w14:paraId="5E38EA22" w14:textId="391A57F3" w:rsidR="009845B5" w:rsidRDefault="009845B5">
      <w:pPr>
        <w:pStyle w:val="FootnoteText"/>
      </w:pPr>
      <w:r>
        <w:rPr>
          <w:rStyle w:val="FootnoteReference"/>
        </w:rPr>
        <w:footnoteRef/>
      </w:r>
      <w:r>
        <w:t xml:space="preserve"> The British Museum, </w:t>
      </w:r>
      <w:r w:rsidRPr="00B929E4">
        <w:rPr>
          <w:i/>
          <w:iCs/>
        </w:rPr>
        <w:t>The Snettisham Hoards: Volume</w:t>
      </w:r>
      <w:r>
        <w:rPr>
          <w:i/>
          <w:iCs/>
        </w:rPr>
        <w:t>1</w:t>
      </w:r>
      <w:r>
        <w:t>, p</w:t>
      </w:r>
      <w:r w:rsidR="00A5418F">
        <w:t>.</w:t>
      </w:r>
      <w:r>
        <w:t xml:space="preserve"> 13.</w:t>
      </w:r>
    </w:p>
  </w:footnote>
  <w:footnote w:id="32">
    <w:p w14:paraId="4243B47F" w14:textId="28578DAB" w:rsidR="00442D5C" w:rsidRDefault="00442D5C">
      <w:pPr>
        <w:pStyle w:val="FootnoteText"/>
      </w:pPr>
      <w:r>
        <w:rPr>
          <w:rStyle w:val="FootnoteReference"/>
        </w:rPr>
        <w:footnoteRef/>
      </w:r>
      <w:r>
        <w:t xml:space="preserve"> The British Museum, ‘Torc’</w:t>
      </w:r>
      <w:r w:rsidR="00820CA6">
        <w:t>, (date unknown)</w:t>
      </w:r>
      <w:r>
        <w:t xml:space="preserve">. </w:t>
      </w:r>
      <w:hyperlink r:id="rId6" w:history="1">
        <w:r w:rsidRPr="00E03CF9">
          <w:rPr>
            <w:rStyle w:val="Hyperlink"/>
          </w:rPr>
          <w:t>https://www.britishmuseum.org/collection/object/H_1951-0402-2</w:t>
        </w:r>
      </w:hyperlink>
      <w:r>
        <w:t xml:space="preserve"> [accessed 31 March 2025].</w:t>
      </w:r>
    </w:p>
  </w:footnote>
  <w:footnote w:id="33">
    <w:p w14:paraId="68CED97B" w14:textId="297CDD9A" w:rsidR="008419E9" w:rsidRDefault="008419E9">
      <w:pPr>
        <w:pStyle w:val="FootnoteText"/>
      </w:pPr>
      <w:r>
        <w:rPr>
          <w:rStyle w:val="FootnoteReference"/>
        </w:rPr>
        <w:footnoteRef/>
      </w:r>
      <w:r>
        <w:t xml:space="preserve"> Cassius Dio, </w:t>
      </w:r>
      <w:r w:rsidRPr="008419E9">
        <w:rPr>
          <w:i/>
          <w:iCs/>
        </w:rPr>
        <w:t>Roman History Books 61-70</w:t>
      </w:r>
      <w:r>
        <w:t>, (London: Harvard University Press, 1925), p. 85.</w:t>
      </w:r>
    </w:p>
  </w:footnote>
  <w:footnote w:id="34">
    <w:p w14:paraId="60B871BA" w14:textId="69FD650B" w:rsidR="008419E9" w:rsidRDefault="008419E9">
      <w:pPr>
        <w:pStyle w:val="FootnoteText"/>
      </w:pPr>
      <w:r>
        <w:rPr>
          <w:rStyle w:val="FootnoteReference"/>
        </w:rPr>
        <w:footnoteRef/>
      </w:r>
      <w:r>
        <w:t xml:space="preserve"> The British Museum, </w:t>
      </w:r>
      <w:r w:rsidRPr="00B929E4">
        <w:rPr>
          <w:i/>
          <w:iCs/>
        </w:rPr>
        <w:t>The Snettisham Hoards: Volume</w:t>
      </w:r>
      <w:r w:rsidR="00FA2AC0">
        <w:rPr>
          <w:i/>
          <w:iCs/>
        </w:rPr>
        <w:t xml:space="preserve"> 2</w:t>
      </w:r>
      <w:r>
        <w:t>, p</w:t>
      </w:r>
      <w:r w:rsidR="00A5418F">
        <w:t>.</w:t>
      </w:r>
      <w:r>
        <w:t xml:space="preserve"> 546.</w:t>
      </w:r>
    </w:p>
  </w:footnote>
  <w:footnote w:id="35">
    <w:p w14:paraId="22030065" w14:textId="5439070B" w:rsidR="00616795" w:rsidRPr="00616795" w:rsidRDefault="00616795">
      <w:pPr>
        <w:pStyle w:val="FootnoteText"/>
      </w:pPr>
      <w:r>
        <w:rPr>
          <w:rStyle w:val="FootnoteReference"/>
        </w:rPr>
        <w:footnoteRef/>
      </w:r>
      <w:r>
        <w:t xml:space="preserve"> Barry Cunliffe, </w:t>
      </w:r>
      <w:r w:rsidRPr="000A0982">
        <w:rPr>
          <w:i/>
          <w:iCs/>
        </w:rPr>
        <w:t>The Ancient Celts</w:t>
      </w:r>
      <w:r>
        <w:rPr>
          <w:i/>
          <w:iCs/>
        </w:rPr>
        <w:t xml:space="preserve">, </w:t>
      </w:r>
      <w:r>
        <w:t>p. 288.</w:t>
      </w:r>
    </w:p>
  </w:footnote>
  <w:footnote w:id="36">
    <w:p w14:paraId="3E902EDF" w14:textId="294AE679" w:rsidR="00616795" w:rsidRDefault="00616795">
      <w:pPr>
        <w:pStyle w:val="FootnoteText"/>
      </w:pPr>
      <w:r>
        <w:rPr>
          <w:rStyle w:val="FootnoteReference"/>
        </w:rPr>
        <w:footnoteRef/>
      </w:r>
      <w:r>
        <w:t xml:space="preserve"> A votive offering was an offering to the gods and deposited somewhere, like a burial or river/lake without the intention to recover. Items were often broken in order to signify a ritual ‘killing’ of the item to give it more purpose.</w:t>
      </w:r>
    </w:p>
  </w:footnote>
  <w:footnote w:id="37">
    <w:p w14:paraId="2A120E11" w14:textId="1575F9D0" w:rsidR="00FA2AC0" w:rsidRDefault="00FA2AC0">
      <w:pPr>
        <w:pStyle w:val="FootnoteText"/>
      </w:pPr>
      <w:r>
        <w:rPr>
          <w:rStyle w:val="FootnoteReference"/>
        </w:rPr>
        <w:footnoteRef/>
      </w:r>
      <w:r>
        <w:t xml:space="preserve"> The British Museum, </w:t>
      </w:r>
      <w:r w:rsidRPr="00B929E4">
        <w:rPr>
          <w:i/>
          <w:iCs/>
        </w:rPr>
        <w:t>The Snettisham Hoards: Volume</w:t>
      </w:r>
      <w:r>
        <w:rPr>
          <w:i/>
          <w:iCs/>
        </w:rPr>
        <w:t xml:space="preserve"> 2</w:t>
      </w:r>
      <w:r>
        <w:t>, p</w:t>
      </w:r>
      <w:r w:rsidR="00A5418F">
        <w:t>.</w:t>
      </w:r>
      <w:r>
        <w:t xml:space="preserve"> 498.</w:t>
      </w:r>
    </w:p>
  </w:footnote>
  <w:footnote w:id="38">
    <w:p w14:paraId="36D891F0" w14:textId="0F38EA02" w:rsidR="00A876DD" w:rsidRDefault="00A876DD">
      <w:pPr>
        <w:pStyle w:val="FootnoteText"/>
      </w:pPr>
      <w:r>
        <w:rPr>
          <w:rStyle w:val="FootnoteReference"/>
        </w:rPr>
        <w:footnoteRef/>
      </w:r>
      <w:r>
        <w:t xml:space="preserve"> Ibid., p</w:t>
      </w:r>
      <w:r w:rsidR="00A5418F">
        <w:t>.</w:t>
      </w:r>
      <w:r>
        <w:t xml:space="preserve"> 584.</w:t>
      </w:r>
    </w:p>
  </w:footnote>
  <w:footnote w:id="39">
    <w:p w14:paraId="1FDD9AF8" w14:textId="13208DD6" w:rsidR="00A5418F" w:rsidRDefault="00A5418F">
      <w:pPr>
        <w:pStyle w:val="FootnoteText"/>
      </w:pPr>
      <w:r>
        <w:rPr>
          <w:rStyle w:val="FootnoteReference"/>
        </w:rPr>
        <w:footnoteRef/>
      </w:r>
      <w:r>
        <w:t xml:space="preserve"> Ibid., p.</w:t>
      </w:r>
      <w:r w:rsidR="00F9222A">
        <w:t xml:space="preserve"> </w:t>
      </w:r>
      <w:r>
        <w:t>585.</w:t>
      </w:r>
    </w:p>
  </w:footnote>
  <w:footnote w:id="40">
    <w:p w14:paraId="10E8C83E" w14:textId="1C8E1DF9" w:rsidR="00F9222A" w:rsidRDefault="00F9222A">
      <w:pPr>
        <w:pStyle w:val="FootnoteText"/>
      </w:pPr>
      <w:r>
        <w:rPr>
          <w:rStyle w:val="FootnoteReference"/>
        </w:rPr>
        <w:footnoteRef/>
      </w:r>
      <w:r>
        <w:t xml:space="preserve"> Ibid., p. 586.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6EA"/>
    <w:rsid w:val="0005790E"/>
    <w:rsid w:val="0007710B"/>
    <w:rsid w:val="00086987"/>
    <w:rsid w:val="000A013E"/>
    <w:rsid w:val="000A0982"/>
    <w:rsid w:val="000D6AF0"/>
    <w:rsid w:val="000F7ED2"/>
    <w:rsid w:val="001305E2"/>
    <w:rsid w:val="00167D68"/>
    <w:rsid w:val="0017427A"/>
    <w:rsid w:val="001B12F6"/>
    <w:rsid w:val="00233F60"/>
    <w:rsid w:val="002B362B"/>
    <w:rsid w:val="002E293B"/>
    <w:rsid w:val="002E7CFF"/>
    <w:rsid w:val="003014BA"/>
    <w:rsid w:val="00344E1E"/>
    <w:rsid w:val="00355434"/>
    <w:rsid w:val="00362215"/>
    <w:rsid w:val="003645A7"/>
    <w:rsid w:val="003669FD"/>
    <w:rsid w:val="003736F3"/>
    <w:rsid w:val="003747E7"/>
    <w:rsid w:val="0039779A"/>
    <w:rsid w:val="003B72F8"/>
    <w:rsid w:val="003D1DFA"/>
    <w:rsid w:val="003F60F2"/>
    <w:rsid w:val="004140A5"/>
    <w:rsid w:val="00426A86"/>
    <w:rsid w:val="00437A39"/>
    <w:rsid w:val="00442468"/>
    <w:rsid w:val="00442D5C"/>
    <w:rsid w:val="00452069"/>
    <w:rsid w:val="00454017"/>
    <w:rsid w:val="00454C7A"/>
    <w:rsid w:val="004738AA"/>
    <w:rsid w:val="004744C0"/>
    <w:rsid w:val="00481463"/>
    <w:rsid w:val="004D31D7"/>
    <w:rsid w:val="004F2DDF"/>
    <w:rsid w:val="004F3910"/>
    <w:rsid w:val="00542575"/>
    <w:rsid w:val="00562F3A"/>
    <w:rsid w:val="005633F0"/>
    <w:rsid w:val="005716C8"/>
    <w:rsid w:val="00576DC5"/>
    <w:rsid w:val="005B2E93"/>
    <w:rsid w:val="005E6046"/>
    <w:rsid w:val="005E7CAD"/>
    <w:rsid w:val="005F59E6"/>
    <w:rsid w:val="00614084"/>
    <w:rsid w:val="00615C79"/>
    <w:rsid w:val="00616795"/>
    <w:rsid w:val="00627BB4"/>
    <w:rsid w:val="00640000"/>
    <w:rsid w:val="00667D44"/>
    <w:rsid w:val="00670AC7"/>
    <w:rsid w:val="007A3AAB"/>
    <w:rsid w:val="007A5B4B"/>
    <w:rsid w:val="007B1EE7"/>
    <w:rsid w:val="007C3721"/>
    <w:rsid w:val="007D1280"/>
    <w:rsid w:val="00820CA6"/>
    <w:rsid w:val="008419E9"/>
    <w:rsid w:val="00877A64"/>
    <w:rsid w:val="00894759"/>
    <w:rsid w:val="008A6B66"/>
    <w:rsid w:val="008B4389"/>
    <w:rsid w:val="008B5F06"/>
    <w:rsid w:val="00900CDE"/>
    <w:rsid w:val="00921560"/>
    <w:rsid w:val="00940771"/>
    <w:rsid w:val="009462E3"/>
    <w:rsid w:val="00951224"/>
    <w:rsid w:val="0095159B"/>
    <w:rsid w:val="009671A9"/>
    <w:rsid w:val="009845B5"/>
    <w:rsid w:val="00987295"/>
    <w:rsid w:val="009A43B0"/>
    <w:rsid w:val="009B1E0D"/>
    <w:rsid w:val="009D1CC4"/>
    <w:rsid w:val="00A0432C"/>
    <w:rsid w:val="00A42080"/>
    <w:rsid w:val="00A5418F"/>
    <w:rsid w:val="00A713DE"/>
    <w:rsid w:val="00A76C1F"/>
    <w:rsid w:val="00A876DD"/>
    <w:rsid w:val="00AF3F29"/>
    <w:rsid w:val="00B929E4"/>
    <w:rsid w:val="00C268D5"/>
    <w:rsid w:val="00C54029"/>
    <w:rsid w:val="00C74988"/>
    <w:rsid w:val="00CA640D"/>
    <w:rsid w:val="00CC6FAB"/>
    <w:rsid w:val="00CE3AE9"/>
    <w:rsid w:val="00D07CCD"/>
    <w:rsid w:val="00D240BA"/>
    <w:rsid w:val="00D37F76"/>
    <w:rsid w:val="00D426D8"/>
    <w:rsid w:val="00D476EA"/>
    <w:rsid w:val="00D673F5"/>
    <w:rsid w:val="00E26D6B"/>
    <w:rsid w:val="00E468D3"/>
    <w:rsid w:val="00EA2CD1"/>
    <w:rsid w:val="00EB7B76"/>
    <w:rsid w:val="00F001BD"/>
    <w:rsid w:val="00F35A95"/>
    <w:rsid w:val="00F44A50"/>
    <w:rsid w:val="00F9222A"/>
    <w:rsid w:val="00FA2AC0"/>
    <w:rsid w:val="00FB7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61556"/>
  <w15:chartTrackingRefBased/>
  <w15:docId w15:val="{9A0F44C9-E0AE-45DC-B773-B9C823998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6EA"/>
    <w:rPr>
      <w:rFonts w:eastAsiaTheme="majorEastAsia" w:cstheme="majorBidi"/>
      <w:color w:val="272727" w:themeColor="text1" w:themeTint="D8"/>
    </w:rPr>
  </w:style>
  <w:style w:type="paragraph" w:styleId="Title">
    <w:name w:val="Title"/>
    <w:basedOn w:val="Normal"/>
    <w:next w:val="Normal"/>
    <w:link w:val="TitleChar"/>
    <w:uiPriority w:val="10"/>
    <w:qFormat/>
    <w:rsid w:val="00D47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6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6EA"/>
    <w:pPr>
      <w:spacing w:before="160"/>
      <w:jc w:val="center"/>
    </w:pPr>
    <w:rPr>
      <w:i/>
      <w:iCs/>
      <w:color w:val="404040" w:themeColor="text1" w:themeTint="BF"/>
    </w:rPr>
  </w:style>
  <w:style w:type="character" w:customStyle="1" w:styleId="QuoteChar">
    <w:name w:val="Quote Char"/>
    <w:basedOn w:val="DefaultParagraphFont"/>
    <w:link w:val="Quote"/>
    <w:uiPriority w:val="29"/>
    <w:rsid w:val="00D476EA"/>
    <w:rPr>
      <w:i/>
      <w:iCs/>
      <w:color w:val="404040" w:themeColor="text1" w:themeTint="BF"/>
    </w:rPr>
  </w:style>
  <w:style w:type="paragraph" w:styleId="ListParagraph">
    <w:name w:val="List Paragraph"/>
    <w:basedOn w:val="Normal"/>
    <w:uiPriority w:val="34"/>
    <w:qFormat/>
    <w:rsid w:val="00D476EA"/>
    <w:pPr>
      <w:ind w:left="720"/>
      <w:contextualSpacing/>
    </w:pPr>
  </w:style>
  <w:style w:type="character" w:styleId="IntenseEmphasis">
    <w:name w:val="Intense Emphasis"/>
    <w:basedOn w:val="DefaultParagraphFont"/>
    <w:uiPriority w:val="21"/>
    <w:qFormat/>
    <w:rsid w:val="00D476EA"/>
    <w:rPr>
      <w:i/>
      <w:iCs/>
      <w:color w:val="0F4761" w:themeColor="accent1" w:themeShade="BF"/>
    </w:rPr>
  </w:style>
  <w:style w:type="paragraph" w:styleId="IntenseQuote">
    <w:name w:val="Intense Quote"/>
    <w:basedOn w:val="Normal"/>
    <w:next w:val="Normal"/>
    <w:link w:val="IntenseQuoteChar"/>
    <w:uiPriority w:val="30"/>
    <w:qFormat/>
    <w:rsid w:val="00D47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6EA"/>
    <w:rPr>
      <w:i/>
      <w:iCs/>
      <w:color w:val="0F4761" w:themeColor="accent1" w:themeShade="BF"/>
    </w:rPr>
  </w:style>
  <w:style w:type="character" w:styleId="IntenseReference">
    <w:name w:val="Intense Reference"/>
    <w:basedOn w:val="DefaultParagraphFont"/>
    <w:uiPriority w:val="32"/>
    <w:qFormat/>
    <w:rsid w:val="00D476EA"/>
    <w:rPr>
      <w:b/>
      <w:bCs/>
      <w:smallCaps/>
      <w:color w:val="0F4761" w:themeColor="accent1" w:themeShade="BF"/>
      <w:spacing w:val="5"/>
    </w:rPr>
  </w:style>
  <w:style w:type="paragraph" w:styleId="FootnoteText">
    <w:name w:val="footnote text"/>
    <w:basedOn w:val="Normal"/>
    <w:link w:val="FootnoteTextChar"/>
    <w:uiPriority w:val="99"/>
    <w:semiHidden/>
    <w:unhideWhenUsed/>
    <w:rsid w:val="000771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710B"/>
    <w:rPr>
      <w:sz w:val="20"/>
      <w:szCs w:val="20"/>
    </w:rPr>
  </w:style>
  <w:style w:type="character" w:styleId="FootnoteReference">
    <w:name w:val="footnote reference"/>
    <w:basedOn w:val="DefaultParagraphFont"/>
    <w:uiPriority w:val="99"/>
    <w:semiHidden/>
    <w:unhideWhenUsed/>
    <w:rsid w:val="0007710B"/>
    <w:rPr>
      <w:vertAlign w:val="superscript"/>
    </w:rPr>
  </w:style>
  <w:style w:type="paragraph" w:styleId="Caption">
    <w:name w:val="caption"/>
    <w:basedOn w:val="Normal"/>
    <w:next w:val="Normal"/>
    <w:uiPriority w:val="35"/>
    <w:unhideWhenUsed/>
    <w:qFormat/>
    <w:rsid w:val="009D1CC4"/>
    <w:pPr>
      <w:spacing w:after="200" w:line="240" w:lineRule="auto"/>
    </w:pPr>
    <w:rPr>
      <w:i/>
      <w:iCs/>
      <w:color w:val="0E2841" w:themeColor="text2"/>
      <w:sz w:val="18"/>
      <w:szCs w:val="18"/>
    </w:rPr>
  </w:style>
  <w:style w:type="character" w:styleId="Hyperlink">
    <w:name w:val="Hyperlink"/>
    <w:basedOn w:val="DefaultParagraphFont"/>
    <w:uiPriority w:val="99"/>
    <w:unhideWhenUsed/>
    <w:rsid w:val="009D1CC4"/>
    <w:rPr>
      <w:color w:val="467886" w:themeColor="hyperlink"/>
      <w:u w:val="single"/>
    </w:rPr>
  </w:style>
  <w:style w:type="character" w:styleId="UnresolvedMention">
    <w:name w:val="Unresolved Mention"/>
    <w:basedOn w:val="DefaultParagraphFont"/>
    <w:uiPriority w:val="99"/>
    <w:semiHidden/>
    <w:unhideWhenUsed/>
    <w:rsid w:val="009D1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igbookoftorcs.com/2022/05/29/pattern-and-purpose-a-new-story-about-the-creation-of-the-snettisham-great-tor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ritannica.com/science/electru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britishmuseum.org/collection/object/H_1951-0402-2"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igbookoftorcs.com/2020/09/22/thoughts-on-the-grotesque-torc/"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ishmuseum.org/collection/object/H_1951-0402-2" TargetMode="External"/><Relationship Id="rId2" Type="http://schemas.openxmlformats.org/officeDocument/2006/relationships/hyperlink" Target="https://bigbookoftorcs.com/2020/09/22/thoughts-on-the-grotesque-torc/" TargetMode="External"/><Relationship Id="rId1" Type="http://schemas.openxmlformats.org/officeDocument/2006/relationships/hyperlink" Target="https://www.britishmuseum.org/collection/object/H_1951-0402-2" TargetMode="External"/><Relationship Id="rId6" Type="http://schemas.openxmlformats.org/officeDocument/2006/relationships/hyperlink" Target="https://www.britishmuseum.org/collection/object/H_1951-0402-2" TargetMode="External"/><Relationship Id="rId5" Type="http://schemas.openxmlformats.org/officeDocument/2006/relationships/hyperlink" Target="https://bigbookoftorcs.com/2022/05/29/pattern-and-purpose-a-new-story-about-the-creation-of-the-snettisham-great-torc/" TargetMode="External"/><Relationship Id="rId4" Type="http://schemas.openxmlformats.org/officeDocument/2006/relationships/hyperlink" Target="https://www.britannica.com/science/elect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C6F61-1123-46F5-B2E6-10A82F566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8</Pages>
  <Words>2296</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Trowt</dc:creator>
  <cp:keywords/>
  <dc:description/>
  <cp:lastModifiedBy>David Trowt</cp:lastModifiedBy>
  <cp:revision>39</cp:revision>
  <dcterms:created xsi:type="dcterms:W3CDTF">2025-03-09T10:29:00Z</dcterms:created>
  <dcterms:modified xsi:type="dcterms:W3CDTF">2025-04-02T15:48:00Z</dcterms:modified>
</cp:coreProperties>
</file>