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144A7" w14:textId="77777777" w:rsidR="00884C29" w:rsidRPr="00195600" w:rsidRDefault="00884C29">
      <w:pPr>
        <w:pStyle w:val="BodyA"/>
        <w:rPr>
          <w:color w:val="auto"/>
        </w:rPr>
      </w:pPr>
    </w:p>
    <w:p w14:paraId="1D2375B7" w14:textId="77777777" w:rsidR="00884C29" w:rsidRPr="00195600" w:rsidRDefault="003C4E44">
      <w:pPr>
        <w:pStyle w:val="BodyA"/>
        <w:jc w:val="center"/>
        <w:rPr>
          <w:color w:val="auto"/>
          <w:u w:val="single"/>
        </w:rPr>
      </w:pPr>
      <w:r w:rsidRPr="00195600">
        <w:rPr>
          <w:color w:val="auto"/>
          <w:u w:val="single"/>
        </w:rPr>
        <w:t xml:space="preserve">Assignment 2 – </w:t>
      </w:r>
      <w:r w:rsidRPr="00195600">
        <w:rPr>
          <w:color w:val="auto"/>
          <w:u w:val="single"/>
          <w:lang w:val="pt-PT"/>
        </w:rPr>
        <w:t>Legal Processes</w:t>
      </w:r>
    </w:p>
    <w:p w14:paraId="7467A60C" w14:textId="77777777" w:rsidR="00884C29" w:rsidRPr="00195600" w:rsidRDefault="003C4E44">
      <w:pPr>
        <w:pStyle w:val="BodyA"/>
        <w:jc w:val="center"/>
        <w:rPr>
          <w:color w:val="auto"/>
          <w:u w:val="single"/>
        </w:rPr>
      </w:pPr>
      <w:r w:rsidRPr="00195600">
        <w:rPr>
          <w:color w:val="auto"/>
          <w:u w:val="single"/>
        </w:rPr>
        <w:t>BMLW4003</w:t>
      </w:r>
    </w:p>
    <w:p w14:paraId="475A1FE2" w14:textId="77777777" w:rsidR="00884C29" w:rsidRPr="00195600" w:rsidRDefault="003C4E44">
      <w:pPr>
        <w:pStyle w:val="BodyA"/>
        <w:jc w:val="center"/>
        <w:rPr>
          <w:color w:val="auto"/>
          <w:u w:val="single"/>
        </w:rPr>
      </w:pPr>
      <w:r w:rsidRPr="00195600">
        <w:rPr>
          <w:color w:val="auto"/>
          <w:u w:val="single"/>
        </w:rPr>
        <w:t>Sian Turvey</w:t>
      </w:r>
    </w:p>
    <w:p w14:paraId="6785EEF3" w14:textId="77777777" w:rsidR="00884C29" w:rsidRPr="00195600" w:rsidRDefault="003C4E44">
      <w:pPr>
        <w:pStyle w:val="BodyA"/>
        <w:jc w:val="center"/>
        <w:rPr>
          <w:color w:val="auto"/>
          <w:u w:val="single"/>
        </w:rPr>
      </w:pPr>
      <w:r w:rsidRPr="00195600">
        <w:rPr>
          <w:color w:val="auto"/>
          <w:u w:val="single"/>
        </w:rPr>
        <w:t>2115653</w:t>
      </w:r>
    </w:p>
    <w:p w14:paraId="182CD5EB" w14:textId="77777777" w:rsidR="00884C29" w:rsidRPr="00195600" w:rsidRDefault="00884C29">
      <w:pPr>
        <w:pStyle w:val="BodyA"/>
        <w:jc w:val="center"/>
        <w:rPr>
          <w:color w:val="auto"/>
          <w:u w:val="single"/>
        </w:rPr>
      </w:pPr>
    </w:p>
    <w:p w14:paraId="0B175298" w14:textId="77777777" w:rsidR="00884C29" w:rsidRPr="00195600" w:rsidRDefault="00884C29">
      <w:pPr>
        <w:pStyle w:val="BodyA"/>
        <w:jc w:val="center"/>
        <w:rPr>
          <w:color w:val="auto"/>
          <w:u w:val="single"/>
        </w:rPr>
      </w:pPr>
    </w:p>
    <w:p w14:paraId="18C849DE" w14:textId="77777777" w:rsidR="00884C29" w:rsidRPr="00195600" w:rsidRDefault="003C4E44">
      <w:pPr>
        <w:pStyle w:val="BodyA"/>
        <w:jc w:val="center"/>
        <w:rPr>
          <w:color w:val="auto"/>
          <w:u w:val="single"/>
        </w:rPr>
      </w:pPr>
      <w:r w:rsidRPr="00195600">
        <w:rPr>
          <w:color w:val="auto"/>
          <w:u w:val="single"/>
        </w:rPr>
        <w:t xml:space="preserve">Does the principle of statutory interpretation </w:t>
      </w:r>
      <w:proofErr w:type="gramStart"/>
      <w:r w:rsidRPr="00195600">
        <w:rPr>
          <w:color w:val="auto"/>
          <w:u w:val="single"/>
        </w:rPr>
        <w:t>diminish</w:t>
      </w:r>
      <w:proofErr w:type="gramEnd"/>
      <w:r w:rsidRPr="00195600">
        <w:rPr>
          <w:color w:val="auto"/>
          <w:u w:val="single"/>
        </w:rPr>
        <w:t xml:space="preserve"> </w:t>
      </w:r>
    </w:p>
    <w:p w14:paraId="56C68969" w14:textId="77777777" w:rsidR="00884C29" w:rsidRPr="00195600" w:rsidRDefault="003C4E44">
      <w:pPr>
        <w:pStyle w:val="BodyA"/>
        <w:jc w:val="center"/>
        <w:rPr>
          <w:color w:val="auto"/>
          <w:u w:val="single"/>
        </w:rPr>
      </w:pPr>
      <w:r w:rsidRPr="00195600">
        <w:rPr>
          <w:color w:val="auto"/>
          <w:u w:val="single"/>
        </w:rPr>
        <w:t xml:space="preserve">the status of legislation as the primary source of </w:t>
      </w:r>
    </w:p>
    <w:p w14:paraId="19927117" w14:textId="77777777" w:rsidR="00884C29" w:rsidRPr="00195600" w:rsidRDefault="003C4E44">
      <w:pPr>
        <w:pStyle w:val="BodyA"/>
        <w:jc w:val="center"/>
        <w:rPr>
          <w:color w:val="auto"/>
          <w:u w:val="single"/>
        </w:rPr>
      </w:pPr>
      <w:r w:rsidRPr="00195600">
        <w:rPr>
          <w:color w:val="auto"/>
          <w:u w:val="single"/>
        </w:rPr>
        <w:t>Law in the UK?</w:t>
      </w:r>
    </w:p>
    <w:p w14:paraId="22094112" w14:textId="77777777" w:rsidR="00884C29" w:rsidRPr="00195600" w:rsidRDefault="00884C29">
      <w:pPr>
        <w:pStyle w:val="BodyA"/>
        <w:jc w:val="center"/>
        <w:rPr>
          <w:color w:val="auto"/>
          <w:u w:val="single"/>
        </w:rPr>
      </w:pPr>
    </w:p>
    <w:p w14:paraId="58120E7A" w14:textId="77777777" w:rsidR="00884C29" w:rsidRPr="00195600" w:rsidRDefault="00884C29">
      <w:pPr>
        <w:pStyle w:val="BodyA"/>
        <w:jc w:val="center"/>
        <w:rPr>
          <w:color w:val="auto"/>
          <w:u w:val="single"/>
        </w:rPr>
      </w:pPr>
    </w:p>
    <w:p w14:paraId="47C24E57" w14:textId="77777777" w:rsidR="00884C29" w:rsidRPr="00195600" w:rsidRDefault="003C4E44">
      <w:pPr>
        <w:pStyle w:val="BodyA"/>
        <w:jc w:val="center"/>
        <w:rPr>
          <w:color w:val="auto"/>
          <w:u w:val="single"/>
        </w:rPr>
      </w:pPr>
      <w:r w:rsidRPr="00195600">
        <w:rPr>
          <w:color w:val="auto"/>
          <w:u w:val="single"/>
        </w:rPr>
        <w:t>By Harrison Bright</w:t>
      </w:r>
    </w:p>
    <w:p w14:paraId="0444284A" w14:textId="77777777" w:rsidR="00884C29" w:rsidRPr="00195600" w:rsidRDefault="00884C29">
      <w:pPr>
        <w:pStyle w:val="BodyA"/>
        <w:jc w:val="center"/>
        <w:rPr>
          <w:color w:val="auto"/>
          <w:u w:val="single"/>
        </w:rPr>
      </w:pPr>
    </w:p>
    <w:p w14:paraId="45CA59B4" w14:textId="77777777" w:rsidR="00884C29" w:rsidRPr="00195600" w:rsidRDefault="00884C29">
      <w:pPr>
        <w:pStyle w:val="BodyA"/>
        <w:jc w:val="center"/>
        <w:rPr>
          <w:color w:val="auto"/>
          <w:u w:val="single"/>
        </w:rPr>
      </w:pPr>
    </w:p>
    <w:p w14:paraId="7EE0186B" w14:textId="77777777" w:rsidR="00884C29" w:rsidRPr="00195600" w:rsidRDefault="00884C29">
      <w:pPr>
        <w:pStyle w:val="BodyA"/>
        <w:jc w:val="center"/>
        <w:rPr>
          <w:color w:val="auto"/>
          <w:u w:val="single"/>
        </w:rPr>
      </w:pPr>
    </w:p>
    <w:p w14:paraId="7615AC64" w14:textId="77777777" w:rsidR="00884C29" w:rsidRPr="00195600" w:rsidRDefault="00884C29">
      <w:pPr>
        <w:pStyle w:val="BodyA"/>
        <w:jc w:val="center"/>
        <w:rPr>
          <w:color w:val="auto"/>
          <w:u w:val="single"/>
        </w:rPr>
      </w:pPr>
    </w:p>
    <w:p w14:paraId="38836B58" w14:textId="77777777" w:rsidR="00884C29" w:rsidRPr="00195600" w:rsidRDefault="00884C29">
      <w:pPr>
        <w:pStyle w:val="BodyA"/>
        <w:jc w:val="center"/>
        <w:rPr>
          <w:color w:val="auto"/>
          <w:u w:val="single"/>
        </w:rPr>
      </w:pPr>
    </w:p>
    <w:p w14:paraId="24B9E1EB" w14:textId="77777777" w:rsidR="00884C29" w:rsidRPr="00195600" w:rsidRDefault="00884C29">
      <w:pPr>
        <w:pStyle w:val="BodyA"/>
        <w:jc w:val="center"/>
        <w:rPr>
          <w:color w:val="auto"/>
          <w:u w:val="single"/>
        </w:rPr>
      </w:pPr>
    </w:p>
    <w:p w14:paraId="0A1CAAC6" w14:textId="77777777" w:rsidR="00884C29" w:rsidRPr="00195600" w:rsidRDefault="00884C29">
      <w:pPr>
        <w:pStyle w:val="BodyA"/>
        <w:jc w:val="center"/>
        <w:rPr>
          <w:color w:val="auto"/>
          <w:u w:val="single"/>
        </w:rPr>
      </w:pPr>
    </w:p>
    <w:p w14:paraId="08D01C77" w14:textId="77777777" w:rsidR="00884C29" w:rsidRPr="00195600" w:rsidRDefault="00884C29">
      <w:pPr>
        <w:pStyle w:val="BodyA"/>
        <w:jc w:val="center"/>
        <w:rPr>
          <w:color w:val="auto"/>
          <w:u w:val="single"/>
        </w:rPr>
      </w:pPr>
    </w:p>
    <w:p w14:paraId="32E0ACFD" w14:textId="77777777" w:rsidR="00884C29" w:rsidRPr="00195600" w:rsidRDefault="00884C29">
      <w:pPr>
        <w:pStyle w:val="BodyA"/>
        <w:jc w:val="center"/>
        <w:rPr>
          <w:color w:val="auto"/>
          <w:u w:val="single"/>
        </w:rPr>
      </w:pPr>
    </w:p>
    <w:p w14:paraId="705942BE" w14:textId="77777777" w:rsidR="00884C29" w:rsidRPr="00195600" w:rsidRDefault="00884C29">
      <w:pPr>
        <w:pStyle w:val="BodyA"/>
        <w:jc w:val="center"/>
        <w:rPr>
          <w:color w:val="auto"/>
          <w:u w:val="single"/>
        </w:rPr>
      </w:pPr>
    </w:p>
    <w:p w14:paraId="2B627540" w14:textId="77777777" w:rsidR="00884C29" w:rsidRPr="00195600" w:rsidRDefault="00884C29">
      <w:pPr>
        <w:pStyle w:val="BodyA"/>
        <w:jc w:val="center"/>
        <w:rPr>
          <w:color w:val="auto"/>
          <w:u w:val="single"/>
        </w:rPr>
      </w:pPr>
    </w:p>
    <w:p w14:paraId="7B38E666" w14:textId="77777777" w:rsidR="00884C29" w:rsidRPr="00195600" w:rsidRDefault="00884C29">
      <w:pPr>
        <w:pStyle w:val="BodyA"/>
        <w:jc w:val="center"/>
        <w:rPr>
          <w:color w:val="auto"/>
          <w:u w:val="single"/>
        </w:rPr>
      </w:pPr>
    </w:p>
    <w:p w14:paraId="50EBC234" w14:textId="77777777" w:rsidR="00884C29" w:rsidRPr="00195600" w:rsidRDefault="00884C29">
      <w:pPr>
        <w:pStyle w:val="BodyA"/>
        <w:jc w:val="center"/>
        <w:rPr>
          <w:color w:val="auto"/>
          <w:u w:val="single"/>
        </w:rPr>
      </w:pPr>
    </w:p>
    <w:p w14:paraId="7F861523" w14:textId="77777777" w:rsidR="00884C29" w:rsidRPr="00195600" w:rsidRDefault="00884C29">
      <w:pPr>
        <w:pStyle w:val="BodyA"/>
        <w:jc w:val="center"/>
        <w:rPr>
          <w:color w:val="auto"/>
          <w:u w:val="single"/>
        </w:rPr>
      </w:pPr>
    </w:p>
    <w:p w14:paraId="55E5CE28" w14:textId="77777777" w:rsidR="00884C29" w:rsidRPr="00195600" w:rsidRDefault="00884C29">
      <w:pPr>
        <w:pStyle w:val="BodyA"/>
        <w:jc w:val="center"/>
        <w:rPr>
          <w:color w:val="auto"/>
          <w:u w:val="single"/>
        </w:rPr>
      </w:pPr>
    </w:p>
    <w:p w14:paraId="6C22CAD7" w14:textId="77777777" w:rsidR="00884C29" w:rsidRPr="00195600" w:rsidRDefault="00884C29">
      <w:pPr>
        <w:pStyle w:val="BodyA"/>
        <w:jc w:val="center"/>
        <w:rPr>
          <w:color w:val="auto"/>
          <w:u w:val="single"/>
        </w:rPr>
      </w:pPr>
    </w:p>
    <w:p w14:paraId="0DCC930B" w14:textId="77777777" w:rsidR="00884C29" w:rsidRPr="00195600" w:rsidRDefault="00884C29">
      <w:pPr>
        <w:pStyle w:val="BodyA"/>
        <w:jc w:val="center"/>
        <w:rPr>
          <w:color w:val="auto"/>
          <w:u w:val="single"/>
        </w:rPr>
      </w:pPr>
    </w:p>
    <w:p w14:paraId="7C31C710" w14:textId="77777777" w:rsidR="00884C29" w:rsidRPr="00195600" w:rsidRDefault="00884C29">
      <w:pPr>
        <w:pStyle w:val="BodyA"/>
        <w:rPr>
          <w:color w:val="auto"/>
          <w:u w:val="single"/>
        </w:rPr>
      </w:pPr>
    </w:p>
    <w:p w14:paraId="1CAEA840" w14:textId="77777777" w:rsidR="00884C29" w:rsidRPr="00195600" w:rsidRDefault="003C4E44">
      <w:pPr>
        <w:pStyle w:val="BodyA"/>
        <w:rPr>
          <w:color w:val="auto"/>
        </w:rPr>
      </w:pPr>
      <w:r w:rsidRPr="00195600">
        <w:rPr>
          <w:color w:val="auto"/>
        </w:rPr>
        <w:lastRenderedPageBreak/>
        <w:t xml:space="preserve">This </w:t>
      </w:r>
      <w:r w:rsidRPr="00195600">
        <w:rPr>
          <w:color w:val="auto"/>
        </w:rPr>
        <w:t xml:space="preserve">essay will be discussing whether the principle of statutory interpretation diminishes the status of legislation as the primary source of law in the UK. Discussing what statutory interpretation is and why it is important. Then after it will review whether </w:t>
      </w:r>
      <w:proofErr w:type="gramStart"/>
      <w:r w:rsidRPr="00195600">
        <w:rPr>
          <w:color w:val="auto"/>
        </w:rPr>
        <w:t>l</w:t>
      </w:r>
      <w:r w:rsidRPr="00195600">
        <w:rPr>
          <w:color w:val="auto"/>
        </w:rPr>
        <w:t>aw-makers</w:t>
      </w:r>
      <w:proofErr w:type="gramEnd"/>
      <w:r w:rsidRPr="00195600">
        <w:rPr>
          <w:color w:val="auto"/>
        </w:rPr>
        <w:t xml:space="preserve"> need to be more transparent in conveying their message through statute. Also looking at if there are rules or laws that support statutory interpretation. Finally concluding by reviewing what has </w:t>
      </w:r>
      <w:proofErr w:type="gramStart"/>
      <w:r w:rsidRPr="00195600">
        <w:rPr>
          <w:color w:val="auto"/>
        </w:rPr>
        <w:t>been discussed</w:t>
      </w:r>
      <w:proofErr w:type="gramEnd"/>
      <w:r w:rsidRPr="00195600">
        <w:rPr>
          <w:color w:val="auto"/>
        </w:rPr>
        <w:t xml:space="preserve"> and </w:t>
      </w:r>
      <w:r w:rsidRPr="00195600">
        <w:rPr>
          <w:color w:val="auto"/>
          <w:lang w:val="it-IT"/>
        </w:rPr>
        <w:t>deci</w:t>
      </w:r>
      <w:r w:rsidRPr="00195600">
        <w:rPr>
          <w:color w:val="auto"/>
        </w:rPr>
        <w:t xml:space="preserve">ding whether </w:t>
      </w:r>
      <w:r w:rsidRPr="00195600">
        <w:rPr>
          <w:color w:val="auto"/>
          <w:lang w:val="it-IT"/>
        </w:rPr>
        <w:t>statutory</w:t>
      </w:r>
      <w:r w:rsidRPr="00195600">
        <w:rPr>
          <w:color w:val="auto"/>
        </w:rPr>
        <w:t xml:space="preserve"> inter</w:t>
      </w:r>
      <w:r w:rsidRPr="00195600">
        <w:rPr>
          <w:color w:val="auto"/>
        </w:rPr>
        <w:t>pretation diminishes the status of legislation as the main source of law in the UK.</w:t>
      </w:r>
    </w:p>
    <w:p w14:paraId="73796767" w14:textId="77777777" w:rsidR="00884C29" w:rsidRPr="00195600" w:rsidRDefault="00884C29">
      <w:pPr>
        <w:pStyle w:val="BodyA"/>
        <w:rPr>
          <w:color w:val="auto"/>
        </w:rPr>
      </w:pPr>
    </w:p>
    <w:p w14:paraId="1380D78D" w14:textId="77777777" w:rsidR="00884C29" w:rsidRPr="00195600" w:rsidRDefault="003C4E44">
      <w:pPr>
        <w:pStyle w:val="BodyA"/>
        <w:rPr>
          <w:color w:val="auto"/>
        </w:rPr>
      </w:pPr>
      <w:r w:rsidRPr="00195600">
        <w:rPr>
          <w:color w:val="auto"/>
        </w:rPr>
        <w:t xml:space="preserve">Firstly, statutory interpretation is where the judiciary interprets the legislation made by parliament. So now knowing this it must </w:t>
      </w:r>
      <w:proofErr w:type="gramStart"/>
      <w:r w:rsidRPr="00195600">
        <w:rPr>
          <w:color w:val="auto"/>
        </w:rPr>
        <w:t>be established</w:t>
      </w:r>
      <w:proofErr w:type="gramEnd"/>
      <w:r w:rsidRPr="00195600">
        <w:rPr>
          <w:color w:val="auto"/>
        </w:rPr>
        <w:t xml:space="preserve"> what approach is startin</w:t>
      </w:r>
      <w:r w:rsidRPr="00195600">
        <w:rPr>
          <w:color w:val="auto"/>
        </w:rPr>
        <w:t xml:space="preserve">g with The Literal rule as per Lord Esher, R v Judge of the City of London Court (1982), where he states ““If the words of the Act are clear then you must follow them”. Meaning if the law </w:t>
      </w:r>
      <w:proofErr w:type="gramStart"/>
      <w:r w:rsidRPr="00195600">
        <w:rPr>
          <w:color w:val="auto"/>
        </w:rPr>
        <w:t>doesn’t</w:t>
      </w:r>
      <w:proofErr w:type="gramEnd"/>
      <w:r w:rsidRPr="00195600">
        <w:rPr>
          <w:color w:val="auto"/>
        </w:rPr>
        <w:t xml:space="preserve"> appear to be in anyway ambiguous then they must be followed </w:t>
      </w:r>
      <w:r w:rsidRPr="00195600">
        <w:rPr>
          <w:color w:val="auto"/>
        </w:rPr>
        <w:t xml:space="preserve">in that regard. The next rule to be looked at is The Golden Rule, which is </w:t>
      </w:r>
      <w:proofErr w:type="gramStart"/>
      <w:r w:rsidRPr="00195600">
        <w:rPr>
          <w:color w:val="auto"/>
        </w:rPr>
        <w:t>similar to</w:t>
      </w:r>
      <w:proofErr w:type="gramEnd"/>
      <w:r w:rsidRPr="00195600">
        <w:rPr>
          <w:color w:val="auto"/>
        </w:rPr>
        <w:t xml:space="preserve"> the previous rule, however, allows it to be a separate entity when a person attempts to use the statute in a bizarre manner. As per Alder v George (1964) where the defend</w:t>
      </w:r>
      <w:r w:rsidRPr="00195600">
        <w:rPr>
          <w:color w:val="auto"/>
        </w:rPr>
        <w:t xml:space="preserve">ant had </w:t>
      </w:r>
      <w:proofErr w:type="gramStart"/>
      <w:r w:rsidRPr="00195600">
        <w:rPr>
          <w:color w:val="auto"/>
        </w:rPr>
        <w:t>been arrested</w:t>
      </w:r>
      <w:proofErr w:type="gramEnd"/>
      <w:r w:rsidRPr="00195600">
        <w:rPr>
          <w:color w:val="auto"/>
        </w:rPr>
        <w:t xml:space="preserve"> due to obstructing HM forces while inside a location which was prohibited. The defendant stated he </w:t>
      </w:r>
      <w:proofErr w:type="gramStart"/>
      <w:r w:rsidRPr="00195600">
        <w:rPr>
          <w:color w:val="auto"/>
        </w:rPr>
        <w:t>wasn’t</w:t>
      </w:r>
      <w:proofErr w:type="gramEnd"/>
      <w:r w:rsidRPr="00195600">
        <w:rPr>
          <w:color w:val="auto"/>
        </w:rPr>
        <w:t xml:space="preserve"> in a prohibited area since he was already in the prohibited area, in this instance the court upheld its conviction and applied T</w:t>
      </w:r>
      <w:r w:rsidRPr="00195600">
        <w:rPr>
          <w:color w:val="auto"/>
        </w:rPr>
        <w:t xml:space="preserve">he Golden Rule due to the bizarre circumstances. Moving onto The Mischief Rule which </w:t>
      </w:r>
      <w:proofErr w:type="gramStart"/>
      <w:r w:rsidRPr="00195600">
        <w:rPr>
          <w:color w:val="auto"/>
        </w:rPr>
        <w:t>was used</w:t>
      </w:r>
      <w:proofErr w:type="gramEnd"/>
      <w:r w:rsidRPr="00195600">
        <w:rPr>
          <w:color w:val="auto"/>
        </w:rPr>
        <w:t xml:space="preserve"> in Heydon’s Case (1584) where the court came to the decision that the statute had been used to prevent mischief due to an issue from common law. </w:t>
      </w:r>
      <w:proofErr w:type="gramStart"/>
      <w:r w:rsidRPr="00195600">
        <w:rPr>
          <w:color w:val="auto"/>
        </w:rPr>
        <w:t>Essentially judge</w:t>
      </w:r>
      <w:r w:rsidRPr="00195600">
        <w:rPr>
          <w:color w:val="auto"/>
        </w:rPr>
        <w:t>s</w:t>
      </w:r>
      <w:proofErr w:type="gramEnd"/>
      <w:r w:rsidRPr="00195600">
        <w:rPr>
          <w:color w:val="auto"/>
        </w:rPr>
        <w:t xml:space="preserve"> must consider what purpose Parliament had for bringing about the legislation and what was the issue from the previous common law that demanded change. The last way that the statute can </w:t>
      </w:r>
      <w:proofErr w:type="gramStart"/>
      <w:r w:rsidRPr="00195600">
        <w:rPr>
          <w:color w:val="auto"/>
        </w:rPr>
        <w:t>be interpreted</w:t>
      </w:r>
      <w:proofErr w:type="gramEnd"/>
      <w:r w:rsidRPr="00195600">
        <w:rPr>
          <w:color w:val="auto"/>
        </w:rPr>
        <w:t xml:space="preserve"> is The Purpose Approach, as seen in Pepper (Inspector </w:t>
      </w:r>
      <w:r w:rsidRPr="00195600">
        <w:rPr>
          <w:color w:val="auto"/>
        </w:rPr>
        <w:t xml:space="preserve">of Taxes) V Hart (1993) in which the House of Lords allowed the judiciary to use a statement from any minister or supporter of the legislation when it was passed in Parliament. This would only </w:t>
      </w:r>
      <w:proofErr w:type="gramStart"/>
      <w:r w:rsidRPr="00195600">
        <w:rPr>
          <w:color w:val="auto"/>
        </w:rPr>
        <w:t>be used</w:t>
      </w:r>
      <w:proofErr w:type="gramEnd"/>
      <w:r w:rsidRPr="00195600">
        <w:rPr>
          <w:color w:val="auto"/>
        </w:rPr>
        <w:t xml:space="preserve"> if The Literal Rule cannot be used due to there being a</w:t>
      </w:r>
      <w:r w:rsidRPr="00195600">
        <w:rPr>
          <w:color w:val="auto"/>
        </w:rPr>
        <w:t>mbiguity as it would be ignorant for the judiciary to do so but also undercut any purpose the legislation.</w:t>
      </w:r>
    </w:p>
    <w:p w14:paraId="50D9FCE3" w14:textId="146B9B21" w:rsidR="00884C29" w:rsidRPr="00195600" w:rsidRDefault="003C4E44">
      <w:pPr>
        <w:pStyle w:val="Body"/>
        <w:spacing w:after="160" w:line="259" w:lineRule="auto"/>
        <w:rPr>
          <w:rFonts w:ascii="Calibri" w:eastAsia="Calibri" w:hAnsi="Calibri" w:cs="Calibri"/>
          <w:color w:val="auto"/>
          <w:sz w:val="22"/>
          <w:szCs w:val="22"/>
        </w:rPr>
      </w:pPr>
      <w:bookmarkStart w:id="0" w:name="_Hlk102400649"/>
      <w:r w:rsidRPr="00195600">
        <w:rPr>
          <w:rFonts w:ascii="Calibri" w:hAnsi="Calibri"/>
          <w:color w:val="auto"/>
          <w:sz w:val="22"/>
          <w:szCs w:val="22"/>
          <w:lang w:val="en-US"/>
        </w:rPr>
        <w:t xml:space="preserve">When making the law, Parliament should be </w:t>
      </w:r>
      <w:r w:rsidR="00BD53EB" w:rsidRPr="00195600">
        <w:rPr>
          <w:rFonts w:ascii="Calibri" w:hAnsi="Calibri"/>
          <w:color w:val="auto"/>
          <w:sz w:val="22"/>
          <w:szCs w:val="22"/>
          <w:lang w:val="en-US"/>
        </w:rPr>
        <w:t>clearer</w:t>
      </w:r>
      <w:r w:rsidRPr="00195600">
        <w:rPr>
          <w:rFonts w:ascii="Calibri" w:hAnsi="Calibri"/>
          <w:color w:val="auto"/>
          <w:sz w:val="22"/>
          <w:szCs w:val="22"/>
          <w:lang w:val="en-US"/>
        </w:rPr>
        <w:t>. Acts of Parliament are often ambiguous and leave things out. This ranges from vague and unspeci</w:t>
      </w:r>
      <w:r w:rsidRPr="00195600">
        <w:rPr>
          <w:rFonts w:ascii="Calibri" w:hAnsi="Calibri"/>
          <w:color w:val="auto"/>
          <w:sz w:val="22"/>
          <w:szCs w:val="22"/>
          <w:lang w:val="en-US"/>
        </w:rPr>
        <w:t>fic wording to areas which should be covered being missed out, leaving some areas with no statutory basis</w:t>
      </w:r>
      <w:proofErr w:type="gramStart"/>
      <w:r w:rsidRPr="00195600">
        <w:rPr>
          <w:rFonts w:ascii="Calibri" w:hAnsi="Calibri"/>
          <w:color w:val="auto"/>
          <w:sz w:val="22"/>
          <w:szCs w:val="22"/>
          <w:lang w:val="en-US"/>
        </w:rPr>
        <w:t xml:space="preserve">.  </w:t>
      </w:r>
      <w:proofErr w:type="gramEnd"/>
    </w:p>
    <w:p w14:paraId="55C760F0" w14:textId="51213CA9" w:rsidR="00884C29" w:rsidRPr="00195600" w:rsidRDefault="003C4E44">
      <w:pPr>
        <w:pStyle w:val="Body"/>
        <w:spacing w:after="160" w:line="259" w:lineRule="auto"/>
        <w:rPr>
          <w:rFonts w:ascii="Calibri" w:eastAsia="Calibri" w:hAnsi="Calibri" w:cs="Calibri"/>
          <w:color w:val="auto"/>
          <w:sz w:val="22"/>
          <w:szCs w:val="22"/>
          <w:u w:val="single"/>
        </w:rPr>
      </w:pPr>
      <w:r w:rsidRPr="00195600">
        <w:rPr>
          <w:rFonts w:ascii="Calibri" w:hAnsi="Calibri"/>
          <w:color w:val="auto"/>
          <w:sz w:val="22"/>
          <w:szCs w:val="22"/>
          <w:lang w:val="en-US"/>
        </w:rPr>
        <w:t xml:space="preserve">An act should include as </w:t>
      </w:r>
      <w:proofErr w:type="gramStart"/>
      <w:r w:rsidRPr="00195600">
        <w:rPr>
          <w:rFonts w:ascii="Calibri" w:hAnsi="Calibri"/>
          <w:color w:val="auto"/>
          <w:sz w:val="22"/>
          <w:szCs w:val="22"/>
          <w:lang w:val="en-US"/>
        </w:rPr>
        <w:t>many</w:t>
      </w:r>
      <w:proofErr w:type="gramEnd"/>
      <w:r w:rsidRPr="00195600">
        <w:rPr>
          <w:rFonts w:ascii="Calibri" w:hAnsi="Calibri"/>
          <w:color w:val="auto"/>
          <w:sz w:val="22"/>
          <w:szCs w:val="22"/>
          <w:lang w:val="en-US"/>
        </w:rPr>
        <w:t xml:space="preserve"> possibilities and cover as much as possible. Otherwise, things that </w:t>
      </w:r>
      <w:proofErr w:type="gramStart"/>
      <w:r w:rsidRPr="00195600">
        <w:rPr>
          <w:rFonts w:ascii="Calibri" w:hAnsi="Calibri"/>
          <w:color w:val="auto"/>
          <w:sz w:val="22"/>
          <w:szCs w:val="22"/>
          <w:lang w:val="en-US"/>
        </w:rPr>
        <w:t>are not included</w:t>
      </w:r>
      <w:proofErr w:type="gramEnd"/>
      <w:r w:rsidRPr="00195600">
        <w:rPr>
          <w:rFonts w:ascii="Calibri" w:hAnsi="Calibri"/>
          <w:color w:val="auto"/>
          <w:sz w:val="22"/>
          <w:szCs w:val="22"/>
          <w:lang w:val="en-US"/>
        </w:rPr>
        <w:t xml:space="preserve">, or new things that come </w:t>
      </w:r>
      <w:r w:rsidRPr="00195600">
        <w:rPr>
          <w:rFonts w:ascii="Calibri" w:hAnsi="Calibri"/>
          <w:color w:val="auto"/>
          <w:sz w:val="22"/>
          <w:szCs w:val="22"/>
          <w:lang w:val="en-US"/>
        </w:rPr>
        <w:t xml:space="preserve">about are excluded on the face of it, meaning that reform is necessary. However, reform is often not an option for improving law as it will only be done in some circumstances, and when reform does take </w:t>
      </w:r>
      <w:r w:rsidR="00C34545" w:rsidRPr="00195600">
        <w:rPr>
          <w:rFonts w:ascii="Calibri" w:hAnsi="Calibri"/>
          <w:color w:val="auto"/>
          <w:sz w:val="22"/>
          <w:szCs w:val="22"/>
          <w:lang w:val="en-US"/>
        </w:rPr>
        <w:t>place,</w:t>
      </w:r>
      <w:r w:rsidRPr="00195600">
        <w:rPr>
          <w:rFonts w:ascii="Calibri" w:hAnsi="Calibri"/>
          <w:color w:val="auto"/>
          <w:sz w:val="22"/>
          <w:szCs w:val="22"/>
          <w:lang w:val="en-US"/>
        </w:rPr>
        <w:t xml:space="preserve"> it is </w:t>
      </w:r>
      <w:proofErr w:type="gramStart"/>
      <w:r w:rsidRPr="00195600">
        <w:rPr>
          <w:rFonts w:ascii="Calibri" w:hAnsi="Calibri"/>
          <w:color w:val="auto"/>
          <w:sz w:val="22"/>
          <w:szCs w:val="22"/>
          <w:lang w:val="en-US"/>
        </w:rPr>
        <w:t>a long process</w:t>
      </w:r>
      <w:proofErr w:type="gramEnd"/>
      <w:r w:rsidRPr="00195600">
        <w:rPr>
          <w:rFonts w:ascii="Calibri" w:hAnsi="Calibri"/>
          <w:color w:val="auto"/>
          <w:sz w:val="22"/>
          <w:szCs w:val="22"/>
          <w:lang w:val="en-US"/>
        </w:rPr>
        <w:t>. The Law Commission give re</w:t>
      </w:r>
      <w:r w:rsidRPr="00195600">
        <w:rPr>
          <w:rFonts w:ascii="Calibri" w:hAnsi="Calibri"/>
          <w:color w:val="auto"/>
          <w:sz w:val="22"/>
          <w:szCs w:val="22"/>
          <w:lang w:val="en-US"/>
        </w:rPr>
        <w:t xml:space="preserve">ports and recommendations on which areas of law need </w:t>
      </w:r>
      <w:proofErr w:type="gramStart"/>
      <w:r w:rsidRPr="00195600">
        <w:rPr>
          <w:rFonts w:ascii="Calibri" w:hAnsi="Calibri"/>
          <w:color w:val="auto"/>
          <w:sz w:val="22"/>
          <w:szCs w:val="22"/>
          <w:lang w:val="en-US"/>
        </w:rPr>
        <w:t>reforming,</w:t>
      </w:r>
      <w:proofErr w:type="gramEnd"/>
      <w:r w:rsidRPr="00195600">
        <w:rPr>
          <w:rFonts w:ascii="Calibri" w:hAnsi="Calibri"/>
          <w:color w:val="auto"/>
          <w:sz w:val="22"/>
          <w:szCs w:val="22"/>
          <w:lang w:val="en-US"/>
        </w:rPr>
        <w:t xml:space="preserve"> however Parliament do not have to listen. Due to the issues with reform, statutory interpretation comes into play. It plays the vital role in allowing Parliament</w:t>
      </w:r>
      <w:r w:rsidRPr="00195600">
        <w:rPr>
          <w:rFonts w:ascii="Calibri" w:hAnsi="Calibri"/>
          <w:color w:val="auto"/>
          <w:sz w:val="22"/>
          <w:szCs w:val="22"/>
          <w:lang w:val="en-US"/>
        </w:rPr>
        <w:t>’</w:t>
      </w:r>
      <w:r w:rsidRPr="00195600">
        <w:rPr>
          <w:rFonts w:ascii="Calibri" w:hAnsi="Calibri"/>
          <w:color w:val="auto"/>
          <w:sz w:val="22"/>
          <w:szCs w:val="22"/>
          <w:lang w:val="en-US"/>
        </w:rPr>
        <w:t xml:space="preserve">s true intention to </w:t>
      </w:r>
      <w:proofErr w:type="gramStart"/>
      <w:r w:rsidRPr="00195600">
        <w:rPr>
          <w:rFonts w:ascii="Calibri" w:hAnsi="Calibri"/>
          <w:color w:val="auto"/>
          <w:sz w:val="22"/>
          <w:szCs w:val="22"/>
          <w:lang w:val="en-US"/>
        </w:rPr>
        <w:t>be applied</w:t>
      </w:r>
      <w:proofErr w:type="gramEnd"/>
      <w:r w:rsidRPr="00195600">
        <w:rPr>
          <w:rFonts w:ascii="Calibri" w:hAnsi="Calibri"/>
          <w:color w:val="auto"/>
          <w:sz w:val="22"/>
          <w:szCs w:val="22"/>
          <w:lang w:val="en-US"/>
        </w:rPr>
        <w:t>, even when the act is not written accordingly so.</w:t>
      </w:r>
      <w:bookmarkEnd w:id="0"/>
      <w:r w:rsidRPr="00195600">
        <w:rPr>
          <w:rFonts w:ascii="Calibri" w:hAnsi="Calibri"/>
          <w:color w:val="auto"/>
          <w:sz w:val="22"/>
          <w:szCs w:val="22"/>
          <w:u w:val="single"/>
          <w:lang w:val="en-US"/>
        </w:rPr>
        <w:t xml:space="preserve"> </w:t>
      </w:r>
      <w:bookmarkStart w:id="1" w:name="_Hlk1024006492"/>
      <w:r w:rsidRPr="00195600">
        <w:rPr>
          <w:rFonts w:ascii="Calibri" w:hAnsi="Calibri"/>
          <w:color w:val="auto"/>
          <w:sz w:val="22"/>
          <w:szCs w:val="22"/>
          <w:lang w:val="en-US"/>
        </w:rPr>
        <w:t xml:space="preserve">If it </w:t>
      </w:r>
      <w:proofErr w:type="gramStart"/>
      <w:r w:rsidRPr="00195600">
        <w:rPr>
          <w:rFonts w:ascii="Calibri" w:hAnsi="Calibri"/>
          <w:color w:val="auto"/>
          <w:sz w:val="22"/>
          <w:szCs w:val="22"/>
          <w:lang w:val="en-US"/>
        </w:rPr>
        <w:t>weren</w:t>
      </w:r>
      <w:r w:rsidRPr="00195600">
        <w:rPr>
          <w:rFonts w:ascii="Calibri" w:hAnsi="Calibri"/>
          <w:color w:val="auto"/>
          <w:sz w:val="22"/>
          <w:szCs w:val="22"/>
          <w:lang w:val="en-US"/>
        </w:rPr>
        <w:t>’</w:t>
      </w:r>
      <w:r w:rsidRPr="00195600">
        <w:rPr>
          <w:rFonts w:ascii="Calibri" w:hAnsi="Calibri"/>
          <w:color w:val="auto"/>
          <w:sz w:val="22"/>
          <w:szCs w:val="22"/>
          <w:lang w:val="en-US"/>
        </w:rPr>
        <w:t>t</w:t>
      </w:r>
      <w:proofErr w:type="gramEnd"/>
      <w:r w:rsidRPr="00195600">
        <w:rPr>
          <w:rFonts w:ascii="Calibri" w:hAnsi="Calibri"/>
          <w:color w:val="auto"/>
          <w:sz w:val="22"/>
          <w:szCs w:val="22"/>
          <w:lang w:val="en-US"/>
        </w:rPr>
        <w:t xml:space="preserve"> for statutory interpretation, then the judiciary would frequently have to refer cases to the Government. This would </w:t>
      </w:r>
      <w:proofErr w:type="gramStart"/>
      <w:r w:rsidRPr="00195600">
        <w:rPr>
          <w:rFonts w:ascii="Calibri" w:hAnsi="Calibri"/>
          <w:color w:val="auto"/>
          <w:sz w:val="22"/>
          <w:szCs w:val="22"/>
          <w:lang w:val="en-US"/>
        </w:rPr>
        <w:t>take up</w:t>
      </w:r>
      <w:proofErr w:type="gramEnd"/>
      <w:r w:rsidRPr="00195600">
        <w:rPr>
          <w:rFonts w:ascii="Calibri" w:hAnsi="Calibri"/>
          <w:color w:val="auto"/>
          <w:sz w:val="22"/>
          <w:szCs w:val="22"/>
          <w:lang w:val="en-US"/>
        </w:rPr>
        <w:t xml:space="preserve"> too</w:t>
      </w:r>
      <w:r w:rsidRPr="00195600">
        <w:rPr>
          <w:rFonts w:ascii="Calibri" w:hAnsi="Calibri"/>
          <w:color w:val="auto"/>
          <w:sz w:val="22"/>
          <w:szCs w:val="22"/>
          <w:lang w:val="en-US"/>
        </w:rPr>
        <w:t xml:space="preserve"> much time and would cause a delay in an already lengthy court process.</w:t>
      </w:r>
    </w:p>
    <w:p w14:paraId="5CDEB42C" w14:textId="73F42729" w:rsidR="00884C29" w:rsidRPr="00195600" w:rsidRDefault="003C4E44">
      <w:pPr>
        <w:pStyle w:val="BodyA"/>
        <w:rPr>
          <w:color w:val="auto"/>
          <w:u w:val="single"/>
        </w:rPr>
      </w:pPr>
      <w:r w:rsidRPr="00195600">
        <w:rPr>
          <w:color w:val="auto"/>
        </w:rPr>
        <w:t xml:space="preserve">Now moving to the reasoning behind statutory interpretation, if a specific point </w:t>
      </w:r>
      <w:proofErr w:type="gramStart"/>
      <w:r w:rsidRPr="00195600">
        <w:rPr>
          <w:color w:val="auto"/>
        </w:rPr>
        <w:t>is not covered</w:t>
      </w:r>
      <w:proofErr w:type="gramEnd"/>
      <w:r w:rsidRPr="00195600">
        <w:rPr>
          <w:color w:val="auto"/>
        </w:rPr>
        <w:t xml:space="preserve"> then it </w:t>
      </w:r>
      <w:r w:rsidRPr="00195600">
        <w:rPr>
          <w:color w:val="auto"/>
        </w:rPr>
        <w:t>will be missed and not included in the legislation. However, statutory interpre</w:t>
      </w:r>
      <w:r w:rsidRPr="00195600">
        <w:rPr>
          <w:color w:val="auto"/>
        </w:rPr>
        <w:t xml:space="preserve">tation means if </w:t>
      </w:r>
      <w:proofErr w:type="gramStart"/>
      <w:r w:rsidRPr="00195600">
        <w:rPr>
          <w:color w:val="auto"/>
        </w:rPr>
        <w:t>there’s</w:t>
      </w:r>
      <w:proofErr w:type="gramEnd"/>
      <w:r w:rsidRPr="00195600">
        <w:rPr>
          <w:color w:val="auto"/>
        </w:rPr>
        <w:t xml:space="preserve"> a broad term it can be interpreted to cover more things specifically. Issues can arise where a term is so ambiguous that it cannot </w:t>
      </w:r>
      <w:proofErr w:type="gramStart"/>
      <w:r w:rsidRPr="00195600">
        <w:rPr>
          <w:color w:val="auto"/>
        </w:rPr>
        <w:t>be interpreted</w:t>
      </w:r>
      <w:proofErr w:type="gramEnd"/>
      <w:r w:rsidRPr="00195600">
        <w:rPr>
          <w:color w:val="auto"/>
        </w:rPr>
        <w:t xml:space="preserve"> accurately by the judiciary. This can occur when </w:t>
      </w:r>
      <w:proofErr w:type="gramStart"/>
      <w:r w:rsidRPr="00195600">
        <w:rPr>
          <w:color w:val="auto"/>
        </w:rPr>
        <w:t>Parliaments</w:t>
      </w:r>
      <w:proofErr w:type="gramEnd"/>
      <w:r w:rsidRPr="00195600">
        <w:rPr>
          <w:color w:val="auto"/>
        </w:rPr>
        <w:t xml:space="preserve"> intentions are not comple</w:t>
      </w:r>
      <w:r w:rsidRPr="00195600">
        <w:rPr>
          <w:color w:val="auto"/>
        </w:rPr>
        <w:t xml:space="preserve">tely clear. This can lead to statutes being misinterpreted, and </w:t>
      </w:r>
      <w:r w:rsidRPr="00195600">
        <w:rPr>
          <w:color w:val="auto"/>
        </w:rPr>
        <w:lastRenderedPageBreak/>
        <w:t xml:space="preserve">then the repercussions of this </w:t>
      </w:r>
      <w:proofErr w:type="gramStart"/>
      <w:r w:rsidRPr="00195600">
        <w:rPr>
          <w:color w:val="auto"/>
        </w:rPr>
        <w:t>is</w:t>
      </w:r>
      <w:proofErr w:type="gramEnd"/>
      <w:r w:rsidRPr="00195600">
        <w:rPr>
          <w:color w:val="auto"/>
        </w:rPr>
        <w:t xml:space="preserve"> that the law is extended to an area that should not be covered by the act.</w:t>
      </w:r>
    </w:p>
    <w:p w14:paraId="66B2E5C8" w14:textId="2C2B698D" w:rsidR="00884C29" w:rsidRPr="00195600" w:rsidRDefault="003C4E44">
      <w:pPr>
        <w:pStyle w:val="BodyA"/>
        <w:rPr>
          <w:color w:val="auto"/>
          <w:lang w:val="en-GB"/>
        </w:rPr>
      </w:pPr>
      <w:r w:rsidRPr="00195600">
        <w:rPr>
          <w:color w:val="auto"/>
        </w:rPr>
        <w:t xml:space="preserve">Legislation can be ambiguous which is why statutory interpretation is good because </w:t>
      </w:r>
      <w:r w:rsidRPr="00195600">
        <w:rPr>
          <w:color w:val="auto"/>
        </w:rPr>
        <w:t xml:space="preserve">it means that the actual intent of the law from Parliament can </w:t>
      </w:r>
      <w:proofErr w:type="gramStart"/>
      <w:r w:rsidRPr="00195600">
        <w:rPr>
          <w:color w:val="auto"/>
        </w:rPr>
        <w:t>be enforced</w:t>
      </w:r>
      <w:proofErr w:type="gramEnd"/>
      <w:r w:rsidRPr="00195600">
        <w:rPr>
          <w:color w:val="auto"/>
        </w:rPr>
        <w:t xml:space="preserve">. However, another negative issue is that each judge will be interpreting the statute subjectively. This therefore means that things could be interpreted in </w:t>
      </w:r>
      <w:proofErr w:type="gramStart"/>
      <w:r w:rsidRPr="00195600">
        <w:rPr>
          <w:color w:val="auto"/>
        </w:rPr>
        <w:t>different ways</w:t>
      </w:r>
      <w:proofErr w:type="gramEnd"/>
      <w:r w:rsidRPr="00195600">
        <w:rPr>
          <w:color w:val="auto"/>
        </w:rPr>
        <w:t xml:space="preserve">. If there </w:t>
      </w:r>
      <w:r w:rsidRPr="00195600">
        <w:rPr>
          <w:color w:val="auto"/>
        </w:rPr>
        <w:t xml:space="preserve">are cases that are similar but where there is no precedent to </w:t>
      </w:r>
      <w:proofErr w:type="gramStart"/>
      <w:r w:rsidRPr="00195600">
        <w:rPr>
          <w:color w:val="auto"/>
        </w:rPr>
        <w:t>be followed</w:t>
      </w:r>
      <w:proofErr w:type="gramEnd"/>
      <w:r w:rsidRPr="00195600">
        <w:rPr>
          <w:color w:val="auto"/>
        </w:rPr>
        <w:t xml:space="preserve">, this could be a large issue with similar cases having different outcomes. Due to the ambiguity with certain laws, it </w:t>
      </w:r>
      <w:proofErr w:type="gramStart"/>
      <w:r w:rsidRPr="00195600">
        <w:rPr>
          <w:color w:val="auto"/>
        </w:rPr>
        <w:t>wouldn’t</w:t>
      </w:r>
      <w:proofErr w:type="gramEnd"/>
      <w:r w:rsidRPr="00195600">
        <w:rPr>
          <w:color w:val="auto"/>
        </w:rPr>
        <w:t xml:space="preserve"> diminish the law itself </w:t>
      </w:r>
      <w:r w:rsidRPr="00195600">
        <w:rPr>
          <w:color w:val="auto"/>
        </w:rPr>
        <w:t>because statutory interpretati</w:t>
      </w:r>
      <w:r w:rsidRPr="00195600">
        <w:rPr>
          <w:color w:val="auto"/>
        </w:rPr>
        <w:t xml:space="preserve">on is needed in some cases to uphold the original intention. For example, in the Criminal Justice Act (1988) it states how a defendant would need to provide a valid reason in court for carrying a knife in public using one of the following reasons “for use </w:t>
      </w:r>
      <w:r w:rsidRPr="00195600">
        <w:rPr>
          <w:color w:val="auto"/>
        </w:rPr>
        <w:t>at work, for religious reasons or as part of any national costume.” Which may raise even more questions. For example, should say a chef be carrying a knife around in public? Would this be a justified reason? Even though they may not have been in the kitche</w:t>
      </w:r>
      <w:r w:rsidRPr="00195600">
        <w:rPr>
          <w:color w:val="auto"/>
        </w:rPr>
        <w:t xml:space="preserve">n at the time. In this instance statutory interpretation </w:t>
      </w:r>
      <w:proofErr w:type="gramStart"/>
      <w:r w:rsidRPr="00195600">
        <w:rPr>
          <w:color w:val="auto"/>
        </w:rPr>
        <w:t>is needed</w:t>
      </w:r>
      <w:proofErr w:type="gramEnd"/>
      <w:r w:rsidRPr="00195600">
        <w:rPr>
          <w:color w:val="auto"/>
        </w:rPr>
        <w:t xml:space="preserve"> as the legislation </w:t>
      </w:r>
      <w:r w:rsidRPr="00195600">
        <w:rPr>
          <w:color w:val="auto"/>
          <w:lang w:val="en-GB"/>
        </w:rPr>
        <w:t>is ambiguous.</w:t>
      </w:r>
    </w:p>
    <w:p w14:paraId="782615C6" w14:textId="06EC3294" w:rsidR="00884C29" w:rsidRPr="00195600" w:rsidRDefault="003C4E44">
      <w:pPr>
        <w:pStyle w:val="BodyA"/>
        <w:rPr>
          <w:color w:val="auto"/>
          <w:lang w:val="en-GB"/>
        </w:rPr>
      </w:pPr>
      <w:r w:rsidRPr="00195600">
        <w:rPr>
          <w:color w:val="auto"/>
          <w:lang w:val="en-GB"/>
        </w:rPr>
        <w:t xml:space="preserve">If there were any drafting errors made in any legislation by mistake, then statutory interpretation would be able to interpret it so that it can be used in </w:t>
      </w:r>
      <w:r w:rsidRPr="00195600">
        <w:rPr>
          <w:color w:val="auto"/>
          <w:lang w:val="en-GB"/>
        </w:rPr>
        <w:t xml:space="preserve">the intended manner. Herbert Smith Freehills (2013) discusses where a “drafting error in Equality Act” was revealed. Here, the Equality Act </w:t>
      </w:r>
      <w:r w:rsidR="00BD53EB" w:rsidRPr="00195600">
        <w:rPr>
          <w:color w:val="auto"/>
          <w:lang w:val="en-GB"/>
        </w:rPr>
        <w:t>(</w:t>
      </w:r>
      <w:r w:rsidRPr="00195600">
        <w:rPr>
          <w:color w:val="auto"/>
          <w:lang w:val="en-GB"/>
        </w:rPr>
        <w:t>2010</w:t>
      </w:r>
      <w:r w:rsidR="00BD53EB" w:rsidRPr="00195600">
        <w:rPr>
          <w:color w:val="auto"/>
          <w:lang w:val="en-GB"/>
        </w:rPr>
        <w:t xml:space="preserve">) </w:t>
      </w:r>
      <w:r w:rsidRPr="00195600">
        <w:rPr>
          <w:color w:val="auto"/>
          <w:lang w:val="en-GB"/>
        </w:rPr>
        <w:t>made the law unclear on the previously clear area of post-termination victimisation, due to how it was drafted.</w:t>
      </w:r>
      <w:r w:rsidRPr="00195600">
        <w:rPr>
          <w:color w:val="auto"/>
          <w:lang w:val="en-GB"/>
        </w:rPr>
        <w:t xml:space="preserve">  It was assumed that this area was covered </w:t>
      </w:r>
      <w:r w:rsidR="00C34545" w:rsidRPr="00195600">
        <w:rPr>
          <w:color w:val="auto"/>
          <w:lang w:val="en-GB"/>
        </w:rPr>
        <w:t>elsewhere</w:t>
      </w:r>
      <w:r w:rsidRPr="00195600">
        <w:rPr>
          <w:color w:val="auto"/>
          <w:lang w:val="en-GB"/>
        </w:rPr>
        <w:t xml:space="preserve"> in the act, but as it wasn’t the area was now unclear. This is a clear of example of a drafting error, as it is a simple human mistake in wrongful assumption that has led to the error. As per Onu v Akw</w:t>
      </w:r>
      <w:r w:rsidRPr="00195600">
        <w:rPr>
          <w:color w:val="auto"/>
          <w:lang w:val="en-GB"/>
        </w:rPr>
        <w:t>iwu</w:t>
      </w:r>
      <w:r w:rsidR="00C34545" w:rsidRPr="00195600">
        <w:rPr>
          <w:color w:val="auto"/>
          <w:lang w:val="en-GB"/>
        </w:rPr>
        <w:t xml:space="preserve"> (2013)</w:t>
      </w:r>
      <w:r w:rsidRPr="00195600">
        <w:rPr>
          <w:color w:val="auto"/>
          <w:lang w:val="en-GB"/>
        </w:rPr>
        <w:t>, the court interpreted the act, returning it to the original position, allowing post-termination</w:t>
      </w:r>
      <w:bookmarkEnd w:id="1"/>
      <w:r w:rsidRPr="00195600">
        <w:rPr>
          <w:color w:val="auto"/>
          <w:lang w:val="en-GB"/>
        </w:rPr>
        <w:t xml:space="preserve"> victimisation to be held unlawful. This shows the importance and great need for statutory interpretation, to allow for any errors to be corrected through c</w:t>
      </w:r>
      <w:r w:rsidRPr="00195600">
        <w:rPr>
          <w:color w:val="auto"/>
          <w:lang w:val="en-GB"/>
        </w:rPr>
        <w:t xml:space="preserve">ase law. </w:t>
      </w:r>
    </w:p>
    <w:p w14:paraId="681E5140" w14:textId="77777777" w:rsidR="00884C29" w:rsidRPr="00195600" w:rsidRDefault="003C4E44">
      <w:pPr>
        <w:pStyle w:val="BodyA"/>
        <w:rPr>
          <w:color w:val="auto"/>
        </w:rPr>
      </w:pPr>
      <w:r w:rsidRPr="00195600">
        <w:rPr>
          <w:color w:val="auto"/>
          <w:lang w:val="en-GB"/>
        </w:rPr>
        <w:t>Should there be new developments and something new occurs then statutory interpretation can be used to interpret it to include the legislation in court. For example, technology</w:t>
      </w:r>
      <w:r w:rsidRPr="00195600">
        <w:rPr>
          <w:color w:val="auto"/>
        </w:rPr>
        <w:t xml:space="preserve"> and social media are always developing which acts may have to be inte</w:t>
      </w:r>
      <w:r w:rsidRPr="00195600">
        <w:rPr>
          <w:color w:val="auto"/>
        </w:rPr>
        <w:t>rpreted to include until they are reformed. Furthermore, the language is always evolving in its use even as recent as 50 years ago it was different to what it is now, if there are language differences then it would be down to the judiciary to use statutory</w:t>
      </w:r>
      <w:r w:rsidRPr="00195600">
        <w:rPr>
          <w:color w:val="auto"/>
        </w:rPr>
        <w:t xml:space="preserve"> interpretation in order to interpret what the Government of the time intended by the legislation then go on to apply this with using more modern-day vocabulary.</w:t>
      </w:r>
    </w:p>
    <w:p w14:paraId="6E1FFC0F" w14:textId="77777777" w:rsidR="00884C29" w:rsidRPr="00195600" w:rsidRDefault="00884C29">
      <w:pPr>
        <w:pStyle w:val="BodyA"/>
        <w:jc w:val="center"/>
        <w:rPr>
          <w:color w:val="auto"/>
          <w:u w:val="single"/>
        </w:rPr>
      </w:pPr>
    </w:p>
    <w:p w14:paraId="5C15B64C" w14:textId="77777777" w:rsidR="00884C29" w:rsidRPr="00195600" w:rsidRDefault="003C4E44">
      <w:pPr>
        <w:pStyle w:val="BodyA"/>
        <w:rPr>
          <w:color w:val="auto"/>
        </w:rPr>
      </w:pPr>
      <w:r w:rsidRPr="00195600">
        <w:rPr>
          <w:color w:val="auto"/>
        </w:rPr>
        <w:t xml:space="preserve">It must now </w:t>
      </w:r>
      <w:proofErr w:type="gramStart"/>
      <w:r w:rsidRPr="00195600">
        <w:rPr>
          <w:color w:val="auto"/>
        </w:rPr>
        <w:t>be established</w:t>
      </w:r>
      <w:proofErr w:type="gramEnd"/>
      <w:r w:rsidRPr="00195600">
        <w:rPr>
          <w:color w:val="auto"/>
        </w:rPr>
        <w:t xml:space="preserve"> if there is any legislation in place that supports and provides cl</w:t>
      </w:r>
      <w:r w:rsidRPr="00195600">
        <w:rPr>
          <w:color w:val="auto"/>
        </w:rPr>
        <w:t xml:space="preserve">arity on the boundaries of statutory interpretation by the Government. As in the Interpretation Act (1978) it does underpin statutory interpretation because this shows that parliament have shown that interpretation </w:t>
      </w:r>
      <w:proofErr w:type="gramStart"/>
      <w:r w:rsidRPr="00195600">
        <w:rPr>
          <w:color w:val="auto"/>
        </w:rPr>
        <w:t>is needed</w:t>
      </w:r>
      <w:proofErr w:type="gramEnd"/>
      <w:r w:rsidRPr="00195600">
        <w:rPr>
          <w:color w:val="auto"/>
        </w:rPr>
        <w:t xml:space="preserve">. Parliament have stated </w:t>
      </w:r>
      <w:proofErr w:type="gramStart"/>
      <w:r w:rsidRPr="00195600">
        <w:rPr>
          <w:color w:val="auto"/>
        </w:rPr>
        <w:t>some</w:t>
      </w:r>
      <w:proofErr w:type="gramEnd"/>
      <w:r w:rsidRPr="00195600">
        <w:rPr>
          <w:color w:val="auto"/>
        </w:rPr>
        <w:t xml:space="preserve"> in</w:t>
      </w:r>
      <w:r w:rsidRPr="00195600">
        <w:rPr>
          <w:color w:val="auto"/>
        </w:rPr>
        <w:t xml:space="preserve">terpretations, such as, “words importing the masculine gender include the feminine” and the same vice versa. Parliament shows here that they are aware of how </w:t>
      </w:r>
      <w:proofErr w:type="gramStart"/>
      <w:r w:rsidRPr="00195600">
        <w:rPr>
          <w:color w:val="auto"/>
        </w:rPr>
        <w:t>some</w:t>
      </w:r>
      <w:proofErr w:type="gramEnd"/>
      <w:r w:rsidRPr="00195600">
        <w:rPr>
          <w:color w:val="auto"/>
        </w:rPr>
        <w:t xml:space="preserve"> areas of statues need clarification. However, they can only go so far in an act, meaning the </w:t>
      </w:r>
      <w:r w:rsidRPr="00195600">
        <w:rPr>
          <w:color w:val="auto"/>
        </w:rPr>
        <w:t>judiciary and statutory interpretation must do the rest.</w:t>
      </w:r>
    </w:p>
    <w:p w14:paraId="47FF5C59" w14:textId="77777777" w:rsidR="00884C29" w:rsidRPr="00195600" w:rsidRDefault="00884C29">
      <w:pPr>
        <w:pStyle w:val="BodyA"/>
        <w:rPr>
          <w:color w:val="auto"/>
          <w:u w:val="single"/>
        </w:rPr>
      </w:pPr>
    </w:p>
    <w:p w14:paraId="2A869AE6" w14:textId="77777777" w:rsidR="00884C29" w:rsidRPr="00195600" w:rsidRDefault="003C4E44">
      <w:pPr>
        <w:pStyle w:val="BodyA"/>
        <w:rPr>
          <w:color w:val="auto"/>
        </w:rPr>
      </w:pPr>
      <w:r w:rsidRPr="00195600">
        <w:rPr>
          <w:color w:val="auto"/>
        </w:rPr>
        <w:t xml:space="preserve">To conclude, taking everything into consideration, statutory interpretation does not diminish the legislation passed by the government as it is needed due to a </w:t>
      </w:r>
      <w:proofErr w:type="gramStart"/>
      <w:r w:rsidRPr="00195600">
        <w:rPr>
          <w:color w:val="auto"/>
        </w:rPr>
        <w:t>significant number</w:t>
      </w:r>
      <w:proofErr w:type="gramEnd"/>
      <w:r w:rsidRPr="00195600">
        <w:rPr>
          <w:color w:val="auto"/>
        </w:rPr>
        <w:t xml:space="preserve"> of laws being ambig</w:t>
      </w:r>
      <w:r w:rsidRPr="00195600">
        <w:rPr>
          <w:color w:val="auto"/>
        </w:rPr>
        <w:t xml:space="preserve">uous. It in fact upholds the legislation, meaning that it can </w:t>
      </w:r>
      <w:proofErr w:type="gramStart"/>
      <w:r w:rsidRPr="00195600">
        <w:rPr>
          <w:color w:val="auto"/>
        </w:rPr>
        <w:t>be used</w:t>
      </w:r>
      <w:proofErr w:type="gramEnd"/>
      <w:r w:rsidRPr="00195600">
        <w:rPr>
          <w:color w:val="auto"/>
        </w:rPr>
        <w:t xml:space="preserve"> in the originally intended </w:t>
      </w:r>
      <w:r w:rsidRPr="00195600">
        <w:rPr>
          <w:color w:val="auto"/>
        </w:rPr>
        <w:lastRenderedPageBreak/>
        <w:t xml:space="preserve">manner. On top of this there is legislation in place so that statutory interpretation </w:t>
      </w:r>
      <w:proofErr w:type="gramStart"/>
      <w:r w:rsidRPr="00195600">
        <w:rPr>
          <w:color w:val="auto"/>
        </w:rPr>
        <w:t>is indeed used</w:t>
      </w:r>
      <w:proofErr w:type="gramEnd"/>
      <w:r w:rsidRPr="00195600">
        <w:rPr>
          <w:color w:val="auto"/>
        </w:rPr>
        <w:t xml:space="preserve"> correctly for it intended purpose.</w:t>
      </w:r>
    </w:p>
    <w:p w14:paraId="08F137DC" w14:textId="77777777" w:rsidR="00884C29" w:rsidRDefault="00884C29">
      <w:pPr>
        <w:pStyle w:val="BodyA"/>
        <w:rPr>
          <w:u w:val="single"/>
        </w:rPr>
      </w:pPr>
    </w:p>
    <w:p w14:paraId="28F89F48" w14:textId="77777777" w:rsidR="00884C29" w:rsidRDefault="00884C29">
      <w:pPr>
        <w:pStyle w:val="BodyA"/>
        <w:rPr>
          <w:u w:val="single"/>
        </w:rPr>
      </w:pPr>
    </w:p>
    <w:p w14:paraId="65035503" w14:textId="77777777" w:rsidR="00884C29" w:rsidRDefault="00884C29">
      <w:pPr>
        <w:pStyle w:val="BodyA"/>
        <w:rPr>
          <w:u w:val="single"/>
        </w:rPr>
      </w:pPr>
    </w:p>
    <w:p w14:paraId="4BE13559" w14:textId="77777777" w:rsidR="00884C29" w:rsidRDefault="00884C29">
      <w:pPr>
        <w:pStyle w:val="BodyA"/>
        <w:rPr>
          <w:u w:val="single"/>
        </w:rPr>
      </w:pPr>
    </w:p>
    <w:p w14:paraId="19C86855" w14:textId="77777777" w:rsidR="00884C29" w:rsidRDefault="00884C29">
      <w:pPr>
        <w:pStyle w:val="BodyA"/>
        <w:rPr>
          <w:u w:val="single"/>
          <w:lang w:val="fr-FR"/>
        </w:rPr>
      </w:pPr>
    </w:p>
    <w:p w14:paraId="385745EB" w14:textId="77777777" w:rsidR="00884C29" w:rsidRDefault="00884C29">
      <w:pPr>
        <w:pStyle w:val="BodyA"/>
        <w:rPr>
          <w:u w:val="single"/>
          <w:lang w:val="fr-FR"/>
        </w:rPr>
      </w:pPr>
    </w:p>
    <w:p w14:paraId="07221554" w14:textId="77777777" w:rsidR="00884C29" w:rsidRDefault="00884C29">
      <w:pPr>
        <w:pStyle w:val="BodyA"/>
        <w:rPr>
          <w:u w:val="single"/>
          <w:lang w:val="fr-FR"/>
        </w:rPr>
      </w:pPr>
    </w:p>
    <w:p w14:paraId="4198D989" w14:textId="77777777" w:rsidR="00884C29" w:rsidRDefault="00884C29">
      <w:pPr>
        <w:pStyle w:val="BodyA"/>
        <w:rPr>
          <w:u w:val="single"/>
          <w:lang w:val="fr-FR"/>
        </w:rPr>
      </w:pPr>
    </w:p>
    <w:p w14:paraId="1FDE2215" w14:textId="695C906B" w:rsidR="00884C29" w:rsidRDefault="00884C29">
      <w:pPr>
        <w:pStyle w:val="BodyA"/>
        <w:rPr>
          <w:u w:val="single"/>
          <w:lang w:val="fr-FR"/>
        </w:rPr>
      </w:pPr>
    </w:p>
    <w:p w14:paraId="1F1D4059" w14:textId="403A6A41" w:rsidR="00BD53EB" w:rsidRDefault="00BD53EB">
      <w:pPr>
        <w:pStyle w:val="BodyA"/>
        <w:rPr>
          <w:u w:val="single"/>
          <w:lang w:val="fr-FR"/>
        </w:rPr>
      </w:pPr>
    </w:p>
    <w:p w14:paraId="1C0B03E0" w14:textId="6DA06E0E" w:rsidR="00BD53EB" w:rsidRDefault="00BD53EB">
      <w:pPr>
        <w:pStyle w:val="BodyA"/>
        <w:rPr>
          <w:u w:val="single"/>
          <w:lang w:val="fr-FR"/>
        </w:rPr>
      </w:pPr>
    </w:p>
    <w:p w14:paraId="3EAB0C71" w14:textId="4309208B" w:rsidR="00BD53EB" w:rsidRDefault="00BD53EB">
      <w:pPr>
        <w:pStyle w:val="BodyA"/>
        <w:rPr>
          <w:u w:val="single"/>
          <w:lang w:val="fr-FR"/>
        </w:rPr>
      </w:pPr>
    </w:p>
    <w:p w14:paraId="50325800" w14:textId="3666DA3B" w:rsidR="00BD53EB" w:rsidRDefault="00BD53EB">
      <w:pPr>
        <w:pStyle w:val="BodyA"/>
        <w:rPr>
          <w:u w:val="single"/>
          <w:lang w:val="fr-FR"/>
        </w:rPr>
      </w:pPr>
    </w:p>
    <w:p w14:paraId="22CEE84B" w14:textId="76B25D6F" w:rsidR="00BD53EB" w:rsidRDefault="00BD53EB">
      <w:pPr>
        <w:pStyle w:val="BodyA"/>
        <w:rPr>
          <w:u w:val="single"/>
          <w:lang w:val="fr-FR"/>
        </w:rPr>
      </w:pPr>
    </w:p>
    <w:p w14:paraId="33B76383" w14:textId="1D71598E" w:rsidR="00BD53EB" w:rsidRDefault="00BD53EB">
      <w:pPr>
        <w:pStyle w:val="BodyA"/>
        <w:rPr>
          <w:u w:val="single"/>
          <w:lang w:val="fr-FR"/>
        </w:rPr>
      </w:pPr>
    </w:p>
    <w:p w14:paraId="20856292" w14:textId="3823478B" w:rsidR="00BD53EB" w:rsidRDefault="00BD53EB">
      <w:pPr>
        <w:pStyle w:val="BodyA"/>
        <w:rPr>
          <w:u w:val="single"/>
          <w:lang w:val="fr-FR"/>
        </w:rPr>
      </w:pPr>
    </w:p>
    <w:p w14:paraId="3C7C646E" w14:textId="0B25AE00" w:rsidR="00BD53EB" w:rsidRDefault="00BD53EB">
      <w:pPr>
        <w:pStyle w:val="BodyA"/>
        <w:rPr>
          <w:u w:val="single"/>
          <w:lang w:val="fr-FR"/>
        </w:rPr>
      </w:pPr>
    </w:p>
    <w:p w14:paraId="3F90E7E7" w14:textId="351D61B6" w:rsidR="00BD53EB" w:rsidRDefault="00BD53EB">
      <w:pPr>
        <w:pStyle w:val="BodyA"/>
        <w:rPr>
          <w:u w:val="single"/>
          <w:lang w:val="fr-FR"/>
        </w:rPr>
      </w:pPr>
    </w:p>
    <w:p w14:paraId="433A3FF6" w14:textId="2CB486BA" w:rsidR="00BD53EB" w:rsidRDefault="00BD53EB">
      <w:pPr>
        <w:pStyle w:val="BodyA"/>
        <w:rPr>
          <w:u w:val="single"/>
          <w:lang w:val="fr-FR"/>
        </w:rPr>
      </w:pPr>
    </w:p>
    <w:p w14:paraId="24A1568D" w14:textId="5C8235EA" w:rsidR="00BD53EB" w:rsidRDefault="00BD53EB">
      <w:pPr>
        <w:pStyle w:val="BodyA"/>
        <w:rPr>
          <w:u w:val="single"/>
          <w:lang w:val="fr-FR"/>
        </w:rPr>
      </w:pPr>
    </w:p>
    <w:p w14:paraId="0A5B31EB" w14:textId="6796CB07" w:rsidR="00BD53EB" w:rsidRDefault="00BD53EB">
      <w:pPr>
        <w:pStyle w:val="BodyA"/>
        <w:rPr>
          <w:u w:val="single"/>
          <w:lang w:val="fr-FR"/>
        </w:rPr>
      </w:pPr>
    </w:p>
    <w:p w14:paraId="1EF7B066" w14:textId="1F36FF44" w:rsidR="00BD53EB" w:rsidRDefault="00BD53EB">
      <w:pPr>
        <w:pStyle w:val="BodyA"/>
        <w:rPr>
          <w:u w:val="single"/>
          <w:lang w:val="fr-FR"/>
        </w:rPr>
      </w:pPr>
    </w:p>
    <w:p w14:paraId="1BEB8EC0" w14:textId="36D01452" w:rsidR="00BD53EB" w:rsidRDefault="00BD53EB">
      <w:pPr>
        <w:pStyle w:val="BodyA"/>
        <w:rPr>
          <w:u w:val="single"/>
          <w:lang w:val="fr-FR"/>
        </w:rPr>
      </w:pPr>
    </w:p>
    <w:p w14:paraId="67A86CF2" w14:textId="436873FA" w:rsidR="00BD53EB" w:rsidRDefault="00BD53EB">
      <w:pPr>
        <w:pStyle w:val="BodyA"/>
        <w:rPr>
          <w:u w:val="single"/>
          <w:lang w:val="fr-FR"/>
        </w:rPr>
      </w:pPr>
    </w:p>
    <w:p w14:paraId="19362586" w14:textId="4D4A4824" w:rsidR="00BD53EB" w:rsidRDefault="00BD53EB">
      <w:pPr>
        <w:pStyle w:val="BodyA"/>
        <w:rPr>
          <w:u w:val="single"/>
          <w:lang w:val="fr-FR"/>
        </w:rPr>
      </w:pPr>
    </w:p>
    <w:p w14:paraId="35BE6B57" w14:textId="6528AF69" w:rsidR="00BD53EB" w:rsidRDefault="00BD53EB">
      <w:pPr>
        <w:pStyle w:val="BodyA"/>
        <w:rPr>
          <w:u w:val="single"/>
          <w:lang w:val="fr-FR"/>
        </w:rPr>
      </w:pPr>
    </w:p>
    <w:p w14:paraId="147C8B24" w14:textId="08F29456" w:rsidR="00BD53EB" w:rsidRDefault="00BD53EB">
      <w:pPr>
        <w:pStyle w:val="BodyA"/>
        <w:rPr>
          <w:u w:val="single"/>
          <w:lang w:val="fr-FR"/>
        </w:rPr>
      </w:pPr>
    </w:p>
    <w:p w14:paraId="5D3159D1" w14:textId="77777777" w:rsidR="00BD53EB" w:rsidRDefault="00BD53EB">
      <w:pPr>
        <w:pStyle w:val="BodyA"/>
        <w:rPr>
          <w:u w:val="single"/>
          <w:lang w:val="fr-FR"/>
        </w:rPr>
      </w:pPr>
    </w:p>
    <w:p w14:paraId="27CE33C8" w14:textId="77777777" w:rsidR="00884C29" w:rsidRDefault="00884C29">
      <w:pPr>
        <w:pStyle w:val="BodyA"/>
        <w:rPr>
          <w:u w:val="single"/>
          <w:lang w:val="fr-FR"/>
        </w:rPr>
      </w:pPr>
    </w:p>
    <w:p w14:paraId="2CA54351" w14:textId="77777777" w:rsidR="00884C29" w:rsidRDefault="003C4E44">
      <w:pPr>
        <w:pStyle w:val="BodyA"/>
        <w:rPr>
          <w:u w:val="single"/>
          <w:lang w:val="fr-FR"/>
        </w:rPr>
      </w:pPr>
      <w:r>
        <w:rPr>
          <w:u w:val="single"/>
          <w:lang w:val="fr-FR"/>
        </w:rPr>
        <w:lastRenderedPageBreak/>
        <w:t xml:space="preserve">Bibliography </w:t>
      </w:r>
      <w:r>
        <w:rPr>
          <w:u w:val="single"/>
          <w:lang w:val="fr-FR"/>
        </w:rPr>
        <w:t>:</w:t>
      </w:r>
    </w:p>
    <w:p w14:paraId="5B145516" w14:textId="77777777" w:rsidR="00884C29" w:rsidRDefault="003C4E44">
      <w:pPr>
        <w:pStyle w:val="BodyA"/>
        <w:numPr>
          <w:ilvl w:val="0"/>
          <w:numId w:val="2"/>
        </w:numPr>
      </w:pPr>
      <w:r>
        <w:t>s.139 Criminal Justice Act 1988</w:t>
      </w:r>
      <w:proofErr w:type="gramStart"/>
      <w:r>
        <w:t xml:space="preserve">.  </w:t>
      </w:r>
      <w:proofErr w:type="gramEnd"/>
      <w:r>
        <w:t xml:space="preserve">                Found at: </w:t>
      </w:r>
      <w:hyperlink r:id="rId7" w:history="1">
        <w:r>
          <w:rPr>
            <w:rStyle w:val="Hyperlink0"/>
          </w:rPr>
          <w:t>https://www.legislation.gov.uk/ukpga/1988/33/section/139</w:t>
        </w:r>
      </w:hyperlink>
    </w:p>
    <w:p w14:paraId="620220D3" w14:textId="77777777" w:rsidR="00195600" w:rsidRDefault="00C34545" w:rsidP="00195600">
      <w:pPr>
        <w:pStyle w:val="ListParagraph"/>
        <w:numPr>
          <w:ilvl w:val="0"/>
          <w:numId w:val="2"/>
        </w:numPr>
        <w:rPr>
          <w14:textOutline w14:w="12700" w14:cap="flat" w14:cmpd="sng" w14:algn="ctr">
            <w14:noFill/>
            <w14:prstDash w14:val="solid"/>
            <w14:miter w14:lim="400000"/>
          </w14:textOutline>
        </w:rPr>
      </w:pPr>
      <w:r w:rsidRPr="00C34545">
        <w:rPr>
          <w14:textOutline w14:w="12700" w14:cap="flat" w14:cmpd="sng" w14:algn="ctr">
            <w14:noFill/>
            <w14:prstDash w14:val="solid"/>
            <w14:miter w14:lim="400000"/>
          </w14:textOutline>
        </w:rPr>
        <w:t>Equality Act (2010)</w:t>
      </w:r>
      <w:r>
        <w:rPr>
          <w14:textOutline w14:w="12700" w14:cap="flat" w14:cmpd="sng" w14:algn="ctr">
            <w14:noFill/>
            <w14:prstDash w14:val="solid"/>
            <w14:miter w14:lim="400000"/>
          </w14:textOutline>
        </w:rPr>
        <w:t xml:space="preserve">                                        Found at:</w:t>
      </w:r>
    </w:p>
    <w:p w14:paraId="0F3AB9DD" w14:textId="70DE0AA1" w:rsidR="00195600" w:rsidRDefault="00195600" w:rsidP="00195600">
      <w:pPr>
        <w:pStyle w:val="ListParagraph"/>
        <w:rPr>
          <w14:textOutline w14:w="12700" w14:cap="flat" w14:cmpd="sng" w14:algn="ctr">
            <w14:noFill/>
            <w14:prstDash w14:val="solid"/>
            <w14:miter w14:lim="400000"/>
          </w14:textOutline>
        </w:rPr>
      </w:pPr>
      <w:hyperlink r:id="rId8" w:history="1">
        <w:r w:rsidRPr="00DA5F9C">
          <w:rPr>
            <w:rStyle w:val="Hyperlink"/>
            <w14:textOutline w14:w="12700" w14:cap="flat" w14:cmpd="sng" w14:algn="ctr">
              <w14:noFill/>
              <w14:prstDash w14:val="solid"/>
              <w14:miter w14:lim="400000"/>
            </w14:textOutline>
          </w:rPr>
          <w:t>https://www.legislation.gov.uk/ukpga/2010/15/contents</w:t>
        </w:r>
      </w:hyperlink>
    </w:p>
    <w:p w14:paraId="114AC11F" w14:textId="731D52C6" w:rsidR="00195600" w:rsidRPr="00195600" w:rsidRDefault="00195600" w:rsidP="00195600">
      <w:pPr>
        <w:pStyle w:val="ListParagraph"/>
        <w:numPr>
          <w:ilvl w:val="0"/>
          <w:numId w:val="6"/>
        </w:numPr>
        <w:rPr>
          <w14:textOutline w14:w="12700" w14:cap="flat" w14:cmpd="sng" w14:algn="ctr">
            <w14:noFill/>
            <w14:prstDash w14:val="solid"/>
            <w14:miter w14:lim="400000"/>
          </w14:textOutline>
        </w:rPr>
      </w:pPr>
      <w:r w:rsidRPr="00195600">
        <w:rPr>
          <w14:textOutline w14:w="12700" w14:cap="flat" w14:cmpd="sng" w14:algn="ctr">
            <w14:noFill/>
            <w14:prstDash w14:val="solid"/>
            <w14:miter w14:lim="400000"/>
          </w14:textOutline>
        </w:rPr>
        <w:t>C. 30, Interpretation Act (1978)</w:t>
      </w:r>
      <w:proofErr w:type="gramStart"/>
      <w:r w:rsidRPr="00195600">
        <w:rPr>
          <w14:textOutline w14:w="12700" w14:cap="flat" w14:cmpd="sng" w14:algn="ctr">
            <w14:noFill/>
            <w14:prstDash w14:val="solid"/>
            <w14:miter w14:lim="400000"/>
          </w14:textOutline>
        </w:rPr>
        <w:t xml:space="preserve">.  </w:t>
      </w:r>
      <w:proofErr w:type="gramEnd"/>
      <w:r w:rsidRPr="00195600">
        <w:rPr>
          <w14:textOutline w14:w="12700" w14:cap="flat" w14:cmpd="sng" w14:algn="ctr">
            <w14:noFill/>
            <w14:prstDash w14:val="solid"/>
            <w14:miter w14:lim="400000"/>
          </w14:textOutline>
        </w:rPr>
        <w:t xml:space="preserve">                Found at: https://www.legislation.gov.uk/ukpga/1978/30</w:t>
      </w:r>
    </w:p>
    <w:p w14:paraId="7EC63AEA" w14:textId="77777777" w:rsidR="00195600" w:rsidRPr="00C34545" w:rsidRDefault="00195600" w:rsidP="00195600">
      <w:pPr>
        <w:rPr>
          <w14:textOutline w14:w="12700" w14:cap="flat" w14:cmpd="sng" w14:algn="ctr">
            <w14:noFill/>
            <w14:prstDash w14:val="solid"/>
            <w14:miter w14:lim="400000"/>
          </w14:textOutline>
        </w:rPr>
      </w:pPr>
    </w:p>
    <w:p w14:paraId="7A9026EF" w14:textId="63134EC9" w:rsidR="00C34545" w:rsidRDefault="003C4E44">
      <w:pPr>
        <w:pStyle w:val="BodyA"/>
        <w:numPr>
          <w:ilvl w:val="0"/>
          <w:numId w:val="2"/>
        </w:numPr>
      </w:pPr>
      <w:r>
        <w:t>T</w:t>
      </w:r>
      <w:r>
        <w:t>he Law Commission</w:t>
      </w:r>
      <w:r w:rsidR="00BD53EB">
        <w:t xml:space="preserve">               </w:t>
      </w:r>
      <w:r w:rsidR="00C34545">
        <w:t xml:space="preserve">           </w:t>
      </w:r>
      <w:r w:rsidR="00BD53EB">
        <w:t xml:space="preserve"> Found at: </w:t>
      </w:r>
      <w:r w:rsidR="00C34545">
        <w:t xml:space="preserve">         </w:t>
      </w:r>
    </w:p>
    <w:p w14:paraId="2F4A27D0" w14:textId="42607E8D" w:rsidR="00C34545" w:rsidRDefault="00C34545" w:rsidP="00C34545">
      <w:pPr>
        <w:pStyle w:val="BodyA"/>
        <w:ind w:left="360"/>
      </w:pPr>
      <w:hyperlink r:id="rId9" w:history="1">
        <w:r w:rsidRPr="00DA5F9C">
          <w:rPr>
            <w:rStyle w:val="Hyperlink"/>
          </w:rPr>
          <w:t>https://www.lawcom.gov.uk/</w:t>
        </w:r>
      </w:hyperlink>
    </w:p>
    <w:p w14:paraId="7D3DB745" w14:textId="77777777" w:rsidR="00884C29" w:rsidRDefault="003C4E44">
      <w:pPr>
        <w:pStyle w:val="BodyA"/>
        <w:numPr>
          <w:ilvl w:val="0"/>
          <w:numId w:val="2"/>
        </w:numPr>
      </w:pPr>
      <w:r>
        <w:rPr>
          <w:rStyle w:val="None"/>
        </w:rPr>
        <w:t>UK: Drafting error in Equality Act revealed through c</w:t>
      </w:r>
      <w:r>
        <w:rPr>
          <w:rStyle w:val="None"/>
        </w:rPr>
        <w:t>ase law, 17</w:t>
      </w:r>
      <w:r>
        <w:rPr>
          <w:rStyle w:val="None"/>
          <w:vertAlign w:val="superscript"/>
        </w:rPr>
        <w:t>th</w:t>
      </w:r>
      <w:r>
        <w:rPr>
          <w:rStyle w:val="None"/>
        </w:rPr>
        <w:t xml:space="preserve"> June 2013, Herbert Smith Freehills</w:t>
      </w:r>
      <w:proofErr w:type="gramStart"/>
      <w:r>
        <w:rPr>
          <w:rStyle w:val="None"/>
        </w:rPr>
        <w:t xml:space="preserve">.  </w:t>
      </w:r>
      <w:proofErr w:type="gramEnd"/>
      <w:r>
        <w:rPr>
          <w:rStyle w:val="None"/>
        </w:rPr>
        <w:t xml:space="preserve"> </w:t>
      </w:r>
    </w:p>
    <w:p w14:paraId="43ACC7EE" w14:textId="77777777" w:rsidR="00884C29" w:rsidRDefault="003C4E44">
      <w:pPr>
        <w:pStyle w:val="BodyA"/>
        <w:ind w:left="720"/>
      </w:pPr>
      <w:r>
        <w:rPr>
          <w:rStyle w:val="None"/>
        </w:rPr>
        <w:t xml:space="preserve">Found at:         </w:t>
      </w:r>
      <w:hyperlink r:id="rId10" w:history="1">
        <w:r>
          <w:rPr>
            <w:rStyle w:val="Hyperlink1"/>
          </w:rPr>
          <w:t>https://hsfnotes.com/employment/2013/06/17/uk-drafting-error-in-equal</w:t>
        </w:r>
        <w:r>
          <w:rPr>
            <w:rStyle w:val="Hyperlink1"/>
          </w:rPr>
          <w:t>ity-act-revealed-through-case-law/</w:t>
        </w:r>
      </w:hyperlink>
      <w:r>
        <w:t xml:space="preserve"> </w:t>
      </w:r>
    </w:p>
    <w:p w14:paraId="567EC4A9" w14:textId="77777777" w:rsidR="00884C29" w:rsidRDefault="00884C29">
      <w:pPr>
        <w:pStyle w:val="BodyA"/>
        <w:rPr>
          <w:rStyle w:val="None"/>
          <w:u w:val="single"/>
        </w:rPr>
      </w:pPr>
    </w:p>
    <w:p w14:paraId="584B6102" w14:textId="77777777" w:rsidR="00884C29" w:rsidRDefault="003C4E44">
      <w:pPr>
        <w:pStyle w:val="BodyA"/>
        <w:rPr>
          <w:rStyle w:val="None"/>
          <w:u w:val="single"/>
        </w:rPr>
      </w:pPr>
      <w:r>
        <w:rPr>
          <w:rStyle w:val="None"/>
          <w:u w:val="single"/>
        </w:rPr>
        <w:t>Cases List:</w:t>
      </w:r>
    </w:p>
    <w:p w14:paraId="5ED56CDB" w14:textId="77777777" w:rsidR="00884C29" w:rsidRDefault="003C4E44">
      <w:pPr>
        <w:pStyle w:val="ListParagraph"/>
        <w:numPr>
          <w:ilvl w:val="0"/>
          <w:numId w:val="4"/>
        </w:numPr>
      </w:pPr>
      <w:r>
        <w:rPr>
          <w:rStyle w:val="None"/>
        </w:rPr>
        <w:t>Alder v George (1964)</w:t>
      </w:r>
    </w:p>
    <w:p w14:paraId="3CBDF350" w14:textId="77777777" w:rsidR="00884C29" w:rsidRDefault="003C4E44">
      <w:pPr>
        <w:pStyle w:val="ListParagraph"/>
        <w:numPr>
          <w:ilvl w:val="0"/>
          <w:numId w:val="4"/>
        </w:numPr>
      </w:pPr>
      <w:r>
        <w:rPr>
          <w:rStyle w:val="None"/>
        </w:rPr>
        <w:t>Heydon’s Case (1584)</w:t>
      </w:r>
    </w:p>
    <w:p w14:paraId="5E2C112A" w14:textId="77777777" w:rsidR="00884C29" w:rsidRDefault="003C4E44">
      <w:pPr>
        <w:pStyle w:val="ListParagraph"/>
        <w:numPr>
          <w:ilvl w:val="0"/>
          <w:numId w:val="4"/>
        </w:numPr>
      </w:pPr>
      <w:r>
        <w:rPr>
          <w:rStyle w:val="None"/>
        </w:rPr>
        <w:t>Pepper (Inspector of Taxes) V Hart (1993)</w:t>
      </w:r>
    </w:p>
    <w:p w14:paraId="5B9B4E93" w14:textId="77777777" w:rsidR="00884C29" w:rsidRDefault="003C4E44">
      <w:pPr>
        <w:pStyle w:val="ListParagraph"/>
        <w:numPr>
          <w:ilvl w:val="0"/>
          <w:numId w:val="4"/>
        </w:numPr>
      </w:pPr>
      <w:r>
        <w:rPr>
          <w:rStyle w:val="None"/>
        </w:rPr>
        <w:t>R v Judge of the City of London Court (1982)</w:t>
      </w:r>
    </w:p>
    <w:p w14:paraId="702240D4" w14:textId="77777777" w:rsidR="00884C29" w:rsidRDefault="003C4E44">
      <w:pPr>
        <w:pStyle w:val="ListParagraph"/>
        <w:numPr>
          <w:ilvl w:val="0"/>
          <w:numId w:val="4"/>
        </w:numPr>
      </w:pPr>
      <w:r>
        <w:rPr>
          <w:rStyle w:val="None"/>
        </w:rPr>
        <w:t>Onu v Akwiwu (2013)</w:t>
      </w:r>
    </w:p>
    <w:sectPr w:rsidR="00884C29">
      <w:headerReference w:type="default" r:id="rId11"/>
      <w:footerReference w:type="default" r:id="rId12"/>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ED63" w14:textId="77777777" w:rsidR="003C4E44" w:rsidRDefault="003C4E44">
      <w:r>
        <w:separator/>
      </w:r>
    </w:p>
  </w:endnote>
  <w:endnote w:type="continuationSeparator" w:id="0">
    <w:p w14:paraId="5C9A09B5" w14:textId="77777777" w:rsidR="003C4E44" w:rsidRDefault="003C4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F394" w14:textId="77777777" w:rsidR="00884C29" w:rsidRDefault="00884C2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365EE" w14:textId="77777777" w:rsidR="003C4E44" w:rsidRDefault="003C4E44">
      <w:r>
        <w:separator/>
      </w:r>
    </w:p>
  </w:footnote>
  <w:footnote w:type="continuationSeparator" w:id="0">
    <w:p w14:paraId="782F8A13" w14:textId="77777777" w:rsidR="003C4E44" w:rsidRDefault="003C4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0C501" w14:textId="77777777" w:rsidR="00884C29" w:rsidRDefault="00884C2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E16"/>
    <w:multiLevelType w:val="hybridMultilevel"/>
    <w:tmpl w:val="9774DE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908010F"/>
    <w:multiLevelType w:val="hybridMultilevel"/>
    <w:tmpl w:val="B57276A0"/>
    <w:styleLink w:val="ImportedStyle10"/>
    <w:lvl w:ilvl="0" w:tplc="5544A51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F76E5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4834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086C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37C60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F694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FE85A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6E0CF4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C6D8F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6C515B"/>
    <w:multiLevelType w:val="hybridMultilevel"/>
    <w:tmpl w:val="CFB027E8"/>
    <w:styleLink w:val="ImportedStyle1"/>
    <w:lvl w:ilvl="0" w:tplc="3500A7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2E16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60B3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6BC0FC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BA47C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824C3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886F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E4435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56A3E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DC006CE"/>
    <w:multiLevelType w:val="hybridMultilevel"/>
    <w:tmpl w:val="64BE4B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82F5397"/>
    <w:multiLevelType w:val="hybridMultilevel"/>
    <w:tmpl w:val="CFB027E8"/>
    <w:numStyleLink w:val="ImportedStyle1"/>
  </w:abstractNum>
  <w:abstractNum w:abstractNumId="5" w15:restartNumberingAfterBreak="0">
    <w:nsid w:val="75FF1451"/>
    <w:multiLevelType w:val="hybridMultilevel"/>
    <w:tmpl w:val="B57276A0"/>
    <w:numStyleLink w:val="ImportedStyle10"/>
  </w:abstractNum>
  <w:num w:numId="1" w16cid:durableId="931083292">
    <w:abstractNumId w:val="2"/>
  </w:num>
  <w:num w:numId="2" w16cid:durableId="1085960577">
    <w:abstractNumId w:val="4"/>
  </w:num>
  <w:num w:numId="3" w16cid:durableId="1888175055">
    <w:abstractNumId w:val="1"/>
  </w:num>
  <w:num w:numId="4" w16cid:durableId="434444093">
    <w:abstractNumId w:val="5"/>
  </w:num>
  <w:num w:numId="5" w16cid:durableId="979847028">
    <w:abstractNumId w:val="0"/>
  </w:num>
  <w:num w:numId="6" w16cid:durableId="7513942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C29"/>
    <w:rsid w:val="00195600"/>
    <w:rsid w:val="003C4E44"/>
    <w:rsid w:val="00884C29"/>
    <w:rsid w:val="00BD53EB"/>
    <w:rsid w:val="00C34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F0052"/>
  <w15:docId w15:val="{68B0DF85-9512-4FAD-89F7-BBA2EC8D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outline w:val="0"/>
      <w:color w:val="0563C1"/>
      <w:u w:val="single" w:color="0563C1"/>
      <w:lang w:val="en-US"/>
    </w:rPr>
  </w:style>
  <w:style w:type="character" w:customStyle="1" w:styleId="Hyperlink1">
    <w:name w:val="Hyperlink.1"/>
    <w:basedOn w:val="Hyperlink"/>
    <w:rPr>
      <w:outline w:val="0"/>
      <w:color w:val="0000FF"/>
      <w:u w:val="single" w:color="0000FF"/>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10">
    <w:name w:val="Imported Style 1.0"/>
    <w:pPr>
      <w:numPr>
        <w:numId w:val="3"/>
      </w:numPr>
    </w:pPr>
  </w:style>
  <w:style w:type="character" w:styleId="UnresolvedMention">
    <w:name w:val="Unresolved Mention"/>
    <w:basedOn w:val="DefaultParagraphFont"/>
    <w:uiPriority w:val="99"/>
    <w:semiHidden/>
    <w:unhideWhenUsed/>
    <w:rsid w:val="00C34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1988/33/section/13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sfnotes.com/employment/2013/06/17/uk-drafting-error-in-equality-act-revealed-through-case-law/" TargetMode="External"/><Relationship Id="rId4" Type="http://schemas.openxmlformats.org/officeDocument/2006/relationships/webSettings" Target="webSettings.xml"/><Relationship Id="rId9" Type="http://schemas.openxmlformats.org/officeDocument/2006/relationships/hyperlink" Target="https://www.lawcom.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dc:creator>
  <cp:lastModifiedBy>Harri Bright</cp:lastModifiedBy>
  <cp:revision>3</cp:revision>
  <dcterms:created xsi:type="dcterms:W3CDTF">2022-05-03T22:47:00Z</dcterms:created>
  <dcterms:modified xsi:type="dcterms:W3CDTF">2022-05-03T22:55:00Z</dcterms:modified>
</cp:coreProperties>
</file>