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AD5F13" w14:textId="77777777" w:rsidR="004B0D77" w:rsidRDefault="004B0D77" w:rsidP="00F430AB">
      <w:pPr>
        <w:rPr>
          <w:rFonts w:ascii="Arial" w:hAnsi="Arial" w:cs="Arial"/>
        </w:rPr>
      </w:pPr>
    </w:p>
    <w:p w14:paraId="5BF1E9F5" w14:textId="77777777" w:rsidR="00F430AB" w:rsidRDefault="00F430AB" w:rsidP="00F430AB">
      <w:pPr>
        <w:rPr>
          <w:rFonts w:ascii="Arial" w:hAnsi="Arial" w:cs="Arial"/>
        </w:rPr>
      </w:pPr>
    </w:p>
    <w:p w14:paraId="7CCD7FBC" w14:textId="77777777" w:rsidR="00F430AB" w:rsidRDefault="00F430AB" w:rsidP="00F430AB">
      <w:pPr>
        <w:rPr>
          <w:rFonts w:ascii="Arial" w:hAnsi="Arial" w:cs="Arial"/>
        </w:rPr>
      </w:pPr>
    </w:p>
    <w:p w14:paraId="0A73B65B" w14:textId="2299E4A3" w:rsidR="00F430AB" w:rsidRDefault="004E3492" w:rsidP="00F430AB">
      <w:pPr>
        <w:rPr>
          <w:rFonts w:ascii="Arial" w:hAnsi="Arial" w:cs="Arial"/>
        </w:rPr>
      </w:pPr>
      <w:r>
        <w:rPr>
          <w:noProof/>
        </w:rPr>
        <w:drawing>
          <wp:anchor distT="0" distB="0" distL="114300" distR="114300" simplePos="0" relativeHeight="251658240" behindDoc="0" locked="0" layoutInCell="1" allowOverlap="1" wp14:anchorId="7988DC55" wp14:editId="1E34BFA7">
            <wp:simplePos x="0" y="0"/>
            <wp:positionH relativeFrom="column">
              <wp:posOffset>1531620</wp:posOffset>
            </wp:positionH>
            <wp:positionV relativeFrom="paragraph">
              <wp:posOffset>81915</wp:posOffset>
            </wp:positionV>
            <wp:extent cx="2619375" cy="1165894"/>
            <wp:effectExtent l="0" t="0" r="0" b="0"/>
            <wp:wrapNone/>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19375" cy="1165894"/>
                    </a:xfrm>
                    <a:prstGeom prst="rect">
                      <a:avLst/>
                    </a:prstGeom>
                    <a:noFill/>
                  </pic:spPr>
                </pic:pic>
              </a:graphicData>
            </a:graphic>
          </wp:anchor>
        </w:drawing>
      </w:r>
    </w:p>
    <w:p w14:paraId="473E8DFF" w14:textId="6CB2CE1B" w:rsidR="00F430AB" w:rsidRDefault="00F430AB" w:rsidP="00F430AB">
      <w:pPr>
        <w:rPr>
          <w:rFonts w:ascii="Arial" w:hAnsi="Arial" w:cs="Arial"/>
        </w:rPr>
      </w:pPr>
    </w:p>
    <w:p w14:paraId="60C07052" w14:textId="77777777" w:rsidR="00F430AB" w:rsidRDefault="00F430AB" w:rsidP="00F430AB">
      <w:pPr>
        <w:rPr>
          <w:rFonts w:ascii="Arial" w:hAnsi="Arial" w:cs="Arial"/>
        </w:rPr>
      </w:pPr>
    </w:p>
    <w:p w14:paraId="4A73FFD0" w14:textId="77777777" w:rsidR="00F430AB" w:rsidRDefault="00F430AB" w:rsidP="00F430AB">
      <w:pPr>
        <w:rPr>
          <w:rFonts w:ascii="Arial" w:hAnsi="Arial" w:cs="Arial"/>
        </w:rPr>
      </w:pPr>
    </w:p>
    <w:p w14:paraId="5F667224" w14:textId="77777777" w:rsidR="004E3492" w:rsidRDefault="004E3492" w:rsidP="00F430AB">
      <w:pPr>
        <w:rPr>
          <w:rFonts w:ascii="Arial" w:hAnsi="Arial" w:cs="Arial"/>
        </w:rPr>
      </w:pPr>
    </w:p>
    <w:p w14:paraId="5BCC8D7C" w14:textId="77777777" w:rsidR="00F430AB" w:rsidRDefault="00F430AB" w:rsidP="00F430AB">
      <w:pPr>
        <w:rPr>
          <w:rFonts w:ascii="Arial" w:hAnsi="Arial" w:cs="Arial"/>
        </w:rPr>
      </w:pPr>
    </w:p>
    <w:p w14:paraId="6E5056B7" w14:textId="77777777" w:rsidR="00F430AB" w:rsidRPr="00F430AB" w:rsidRDefault="00F430AB" w:rsidP="00F430AB">
      <w:pPr>
        <w:rPr>
          <w:rFonts w:ascii="Arial" w:hAnsi="Arial" w:cs="Arial"/>
        </w:rPr>
      </w:pPr>
    </w:p>
    <w:p w14:paraId="75255881" w14:textId="77777777" w:rsidR="004B0D77" w:rsidRPr="00F430AB" w:rsidRDefault="004B0D77" w:rsidP="00F430AB">
      <w:pPr>
        <w:rPr>
          <w:rFonts w:ascii="Arial" w:hAnsi="Arial" w:cs="Arial"/>
          <w:sz w:val="28"/>
          <w:szCs w:val="28"/>
          <w:lang w:val="es-SV"/>
        </w:rPr>
      </w:pPr>
      <w:r w:rsidRPr="00F430AB">
        <w:rPr>
          <w:rFonts w:ascii="Arial" w:hAnsi="Arial" w:cs="Arial"/>
          <w:b/>
          <w:bCs/>
          <w:sz w:val="28"/>
          <w:szCs w:val="28"/>
          <w:lang w:val="es-SV"/>
        </w:rPr>
        <w:t>Name:</w:t>
      </w:r>
      <w:r w:rsidRPr="00F430AB">
        <w:rPr>
          <w:rFonts w:ascii="Arial" w:hAnsi="Arial" w:cs="Arial"/>
          <w:sz w:val="28"/>
          <w:szCs w:val="28"/>
          <w:lang w:val="es-SV"/>
        </w:rPr>
        <w:t xml:space="preserve"> Katya Alexandra Pleitez De </w:t>
      </w:r>
      <w:proofErr w:type="spellStart"/>
      <w:r w:rsidRPr="00F430AB">
        <w:rPr>
          <w:rFonts w:ascii="Arial" w:hAnsi="Arial" w:cs="Arial"/>
          <w:sz w:val="28"/>
          <w:szCs w:val="28"/>
          <w:lang w:val="es-SV"/>
        </w:rPr>
        <w:t>Mendez</w:t>
      </w:r>
      <w:proofErr w:type="spellEnd"/>
      <w:r w:rsidRPr="00F430AB">
        <w:rPr>
          <w:rFonts w:ascii="Arial" w:hAnsi="Arial" w:cs="Arial"/>
          <w:sz w:val="28"/>
          <w:szCs w:val="28"/>
          <w:lang w:val="es-SV"/>
        </w:rPr>
        <w:t>.</w:t>
      </w:r>
    </w:p>
    <w:p w14:paraId="34C14FC4" w14:textId="77777777" w:rsidR="004B0D77" w:rsidRPr="00F430AB" w:rsidRDefault="004B0D77" w:rsidP="00F430AB">
      <w:pPr>
        <w:rPr>
          <w:rFonts w:ascii="Arial" w:hAnsi="Arial" w:cs="Arial"/>
          <w:sz w:val="28"/>
          <w:szCs w:val="28"/>
        </w:rPr>
      </w:pPr>
      <w:r w:rsidRPr="00F430AB">
        <w:rPr>
          <w:rFonts w:ascii="Arial" w:hAnsi="Arial" w:cs="Arial"/>
          <w:b/>
          <w:bCs/>
          <w:sz w:val="28"/>
          <w:szCs w:val="28"/>
        </w:rPr>
        <w:t>Student ID:</w:t>
      </w:r>
      <w:r w:rsidRPr="00F430AB">
        <w:rPr>
          <w:rFonts w:ascii="Arial" w:hAnsi="Arial" w:cs="Arial"/>
          <w:sz w:val="28"/>
          <w:szCs w:val="28"/>
        </w:rPr>
        <w:t xml:space="preserve"> 24333390.</w:t>
      </w:r>
    </w:p>
    <w:p w14:paraId="771DD244" w14:textId="25421B27" w:rsidR="004B0D77" w:rsidRPr="00F430AB" w:rsidRDefault="004B0D77" w:rsidP="00F430AB">
      <w:pPr>
        <w:rPr>
          <w:rFonts w:ascii="Arial" w:hAnsi="Arial" w:cs="Arial"/>
          <w:sz w:val="28"/>
          <w:szCs w:val="28"/>
        </w:rPr>
      </w:pPr>
      <w:r w:rsidRPr="00F430AB">
        <w:rPr>
          <w:rFonts w:ascii="Arial" w:hAnsi="Arial" w:cs="Arial"/>
          <w:b/>
          <w:bCs/>
          <w:sz w:val="28"/>
          <w:szCs w:val="28"/>
        </w:rPr>
        <w:t>Module Code:</w:t>
      </w:r>
      <w:r w:rsidRPr="00F430AB">
        <w:rPr>
          <w:rFonts w:ascii="Arial" w:hAnsi="Arial" w:cs="Arial"/>
          <w:sz w:val="28"/>
          <w:szCs w:val="28"/>
        </w:rPr>
        <w:t xml:space="preserve"> </w:t>
      </w:r>
      <w:r w:rsidR="00C703CB" w:rsidRPr="00F430AB">
        <w:rPr>
          <w:rFonts w:ascii="Arial" w:hAnsi="Arial" w:cs="Arial"/>
          <w:sz w:val="28"/>
          <w:szCs w:val="28"/>
        </w:rPr>
        <w:t>LCHS4003_BIRM</w:t>
      </w:r>
      <w:r w:rsidR="00F430AB" w:rsidRPr="00F430AB">
        <w:rPr>
          <w:rFonts w:ascii="Arial" w:hAnsi="Arial" w:cs="Arial"/>
          <w:sz w:val="28"/>
          <w:szCs w:val="28"/>
        </w:rPr>
        <w:t>.</w:t>
      </w:r>
    </w:p>
    <w:p w14:paraId="4E186028" w14:textId="1B1BA13F" w:rsidR="004B0D77" w:rsidRPr="00F430AB" w:rsidRDefault="004B0D77" w:rsidP="00F430AB">
      <w:pPr>
        <w:rPr>
          <w:rFonts w:ascii="Arial" w:hAnsi="Arial" w:cs="Arial"/>
          <w:sz w:val="28"/>
          <w:szCs w:val="28"/>
        </w:rPr>
      </w:pPr>
      <w:r w:rsidRPr="00F430AB">
        <w:rPr>
          <w:rFonts w:ascii="Arial" w:hAnsi="Arial" w:cs="Arial"/>
          <w:b/>
          <w:bCs/>
          <w:sz w:val="28"/>
          <w:szCs w:val="28"/>
        </w:rPr>
        <w:t>Module:</w:t>
      </w:r>
      <w:r w:rsidRPr="00F430AB">
        <w:rPr>
          <w:rFonts w:ascii="Arial" w:hAnsi="Arial" w:cs="Arial"/>
          <w:sz w:val="28"/>
          <w:szCs w:val="28"/>
        </w:rPr>
        <w:t xml:space="preserve"> </w:t>
      </w:r>
      <w:r w:rsidR="008013AD" w:rsidRPr="00F430AB">
        <w:rPr>
          <w:rFonts w:ascii="Arial" w:hAnsi="Arial" w:cs="Arial"/>
          <w:sz w:val="28"/>
          <w:szCs w:val="28"/>
        </w:rPr>
        <w:t>Introduction to Health and Social Care</w:t>
      </w:r>
      <w:r w:rsidR="008013AD" w:rsidRPr="00F430AB">
        <w:rPr>
          <w:rFonts w:ascii="Arial" w:hAnsi="Arial" w:cs="Arial"/>
          <w:sz w:val="28"/>
          <w:szCs w:val="28"/>
        </w:rPr>
        <w:t>.</w:t>
      </w:r>
    </w:p>
    <w:p w14:paraId="182DB646" w14:textId="33963A2A" w:rsidR="004B0D77" w:rsidRPr="00F430AB" w:rsidRDefault="004B0D77" w:rsidP="00F430AB">
      <w:pPr>
        <w:rPr>
          <w:rFonts w:ascii="Arial" w:hAnsi="Arial" w:cs="Arial"/>
          <w:sz w:val="28"/>
          <w:szCs w:val="28"/>
        </w:rPr>
      </w:pPr>
      <w:r w:rsidRPr="00F430AB">
        <w:rPr>
          <w:rFonts w:ascii="Arial" w:hAnsi="Arial" w:cs="Arial"/>
          <w:b/>
          <w:bCs/>
          <w:sz w:val="28"/>
          <w:szCs w:val="28"/>
        </w:rPr>
        <w:t>Lecturer:</w:t>
      </w:r>
      <w:r w:rsidRPr="00F430AB">
        <w:rPr>
          <w:rFonts w:ascii="Arial" w:hAnsi="Arial" w:cs="Arial"/>
          <w:sz w:val="28"/>
          <w:szCs w:val="28"/>
        </w:rPr>
        <w:t xml:space="preserve"> </w:t>
      </w:r>
      <w:r w:rsidR="00F430AB" w:rsidRPr="00F430AB">
        <w:rPr>
          <w:rFonts w:ascii="Arial" w:hAnsi="Arial" w:cs="Arial"/>
          <w:sz w:val="28"/>
          <w:szCs w:val="28"/>
        </w:rPr>
        <w:t>Vivian Osuchukwu</w:t>
      </w:r>
      <w:r w:rsidR="00F430AB" w:rsidRPr="00F430AB">
        <w:rPr>
          <w:rFonts w:ascii="Arial" w:hAnsi="Arial" w:cs="Arial"/>
          <w:sz w:val="28"/>
          <w:szCs w:val="28"/>
        </w:rPr>
        <w:t>.</w:t>
      </w:r>
    </w:p>
    <w:p w14:paraId="51A17BE4" w14:textId="77777777" w:rsidR="007B0BC6" w:rsidRDefault="007B0BC6" w:rsidP="004B0D77">
      <w:pPr>
        <w:jc w:val="both"/>
        <w:rPr>
          <w:rFonts w:asciiTheme="minorBidi" w:hAnsiTheme="minorBidi"/>
          <w:sz w:val="28"/>
          <w:szCs w:val="28"/>
        </w:rPr>
      </w:pPr>
    </w:p>
    <w:p w14:paraId="13B6E01E" w14:textId="77777777" w:rsidR="004B0D77" w:rsidRDefault="004B0D77" w:rsidP="009B1DFC">
      <w:pPr>
        <w:jc w:val="center"/>
        <w:rPr>
          <w:rFonts w:ascii="Arial" w:hAnsi="Arial" w:cs="Arial"/>
          <w:b/>
          <w:bCs/>
        </w:rPr>
      </w:pPr>
    </w:p>
    <w:p w14:paraId="1FCCCFBC" w14:textId="77777777" w:rsidR="004B0D77" w:rsidRDefault="004B0D77" w:rsidP="009B1DFC">
      <w:pPr>
        <w:jc w:val="center"/>
        <w:rPr>
          <w:rFonts w:ascii="Arial" w:hAnsi="Arial" w:cs="Arial"/>
          <w:b/>
          <w:bCs/>
        </w:rPr>
      </w:pPr>
    </w:p>
    <w:p w14:paraId="285480E1" w14:textId="77777777" w:rsidR="004B0D77" w:rsidRDefault="004B0D77" w:rsidP="009B1DFC">
      <w:pPr>
        <w:jc w:val="center"/>
        <w:rPr>
          <w:rFonts w:ascii="Arial" w:hAnsi="Arial" w:cs="Arial"/>
          <w:b/>
          <w:bCs/>
        </w:rPr>
      </w:pPr>
    </w:p>
    <w:p w14:paraId="6DFC9402" w14:textId="77777777" w:rsidR="004B0D77" w:rsidRDefault="004B0D77" w:rsidP="009B1DFC">
      <w:pPr>
        <w:jc w:val="center"/>
        <w:rPr>
          <w:rFonts w:ascii="Arial" w:hAnsi="Arial" w:cs="Arial"/>
          <w:b/>
          <w:bCs/>
        </w:rPr>
      </w:pPr>
    </w:p>
    <w:p w14:paraId="28125585" w14:textId="77777777" w:rsidR="004B0D77" w:rsidRDefault="004B0D77" w:rsidP="009B1DFC">
      <w:pPr>
        <w:jc w:val="center"/>
        <w:rPr>
          <w:rFonts w:ascii="Arial" w:hAnsi="Arial" w:cs="Arial"/>
          <w:b/>
          <w:bCs/>
        </w:rPr>
      </w:pPr>
    </w:p>
    <w:p w14:paraId="3D445B8A" w14:textId="77777777" w:rsidR="004B0D77" w:rsidRDefault="004B0D77" w:rsidP="009B1DFC">
      <w:pPr>
        <w:jc w:val="center"/>
        <w:rPr>
          <w:rFonts w:ascii="Arial" w:hAnsi="Arial" w:cs="Arial"/>
          <w:b/>
          <w:bCs/>
        </w:rPr>
      </w:pPr>
    </w:p>
    <w:p w14:paraId="68B76F72" w14:textId="77777777" w:rsidR="004B0D77" w:rsidRDefault="004B0D77" w:rsidP="009B1DFC">
      <w:pPr>
        <w:jc w:val="center"/>
        <w:rPr>
          <w:rFonts w:ascii="Arial" w:hAnsi="Arial" w:cs="Arial"/>
          <w:b/>
          <w:bCs/>
        </w:rPr>
      </w:pPr>
    </w:p>
    <w:p w14:paraId="5D2A379F" w14:textId="77777777" w:rsidR="004B0D77" w:rsidRDefault="004B0D77" w:rsidP="009B1DFC">
      <w:pPr>
        <w:jc w:val="center"/>
        <w:rPr>
          <w:rFonts w:ascii="Arial" w:hAnsi="Arial" w:cs="Arial"/>
          <w:b/>
          <w:bCs/>
        </w:rPr>
      </w:pPr>
    </w:p>
    <w:p w14:paraId="461548E3" w14:textId="77777777" w:rsidR="004B0D77" w:rsidRDefault="004B0D77" w:rsidP="009B1DFC">
      <w:pPr>
        <w:jc w:val="center"/>
        <w:rPr>
          <w:rFonts w:ascii="Arial" w:hAnsi="Arial" w:cs="Arial"/>
          <w:b/>
          <w:bCs/>
        </w:rPr>
      </w:pPr>
    </w:p>
    <w:p w14:paraId="67B3D031" w14:textId="77777777" w:rsidR="004B0D77" w:rsidRDefault="004B0D77" w:rsidP="009B1DFC">
      <w:pPr>
        <w:jc w:val="center"/>
        <w:rPr>
          <w:rFonts w:ascii="Arial" w:hAnsi="Arial" w:cs="Arial"/>
          <w:b/>
          <w:bCs/>
        </w:rPr>
      </w:pPr>
    </w:p>
    <w:p w14:paraId="50BB5D01" w14:textId="77777777" w:rsidR="004B0D77" w:rsidRDefault="004B0D77" w:rsidP="009B1DFC">
      <w:pPr>
        <w:jc w:val="center"/>
        <w:rPr>
          <w:rFonts w:ascii="Arial" w:hAnsi="Arial" w:cs="Arial"/>
          <w:b/>
          <w:bCs/>
        </w:rPr>
      </w:pPr>
    </w:p>
    <w:p w14:paraId="76E31DF0" w14:textId="77777777" w:rsidR="004B0D77" w:rsidRDefault="004B0D77" w:rsidP="009B1DFC">
      <w:pPr>
        <w:jc w:val="center"/>
        <w:rPr>
          <w:rFonts w:ascii="Arial" w:hAnsi="Arial" w:cs="Arial"/>
          <w:b/>
          <w:bCs/>
        </w:rPr>
      </w:pPr>
    </w:p>
    <w:p w14:paraId="682D8F5E" w14:textId="77777777" w:rsidR="004B0D77" w:rsidRDefault="004B0D77" w:rsidP="009B1DFC">
      <w:pPr>
        <w:jc w:val="center"/>
        <w:rPr>
          <w:rFonts w:ascii="Arial" w:hAnsi="Arial" w:cs="Arial"/>
          <w:b/>
          <w:bCs/>
        </w:rPr>
      </w:pPr>
    </w:p>
    <w:p w14:paraId="14353C6C" w14:textId="77777777" w:rsidR="004B0D77" w:rsidRDefault="004B0D77" w:rsidP="009B1DFC">
      <w:pPr>
        <w:jc w:val="center"/>
        <w:rPr>
          <w:rFonts w:ascii="Arial" w:hAnsi="Arial" w:cs="Arial"/>
          <w:b/>
          <w:bCs/>
        </w:rPr>
      </w:pPr>
    </w:p>
    <w:p w14:paraId="7F409552" w14:textId="77777777" w:rsidR="004B0D77" w:rsidRDefault="004B0D77" w:rsidP="009B1DFC">
      <w:pPr>
        <w:jc w:val="center"/>
        <w:rPr>
          <w:rFonts w:ascii="Arial" w:hAnsi="Arial" w:cs="Arial"/>
          <w:b/>
          <w:bCs/>
        </w:rPr>
      </w:pPr>
    </w:p>
    <w:p w14:paraId="7A015422" w14:textId="2C276AFF" w:rsidR="009B1DFC" w:rsidRPr="00075381" w:rsidRDefault="009B1DFC" w:rsidP="000E62C5">
      <w:pPr>
        <w:spacing w:line="360" w:lineRule="auto"/>
        <w:jc w:val="center"/>
        <w:rPr>
          <w:rFonts w:ascii="Arial" w:hAnsi="Arial" w:cs="Arial"/>
          <w:b/>
          <w:bCs/>
        </w:rPr>
      </w:pPr>
      <w:r w:rsidRPr="00075381">
        <w:rPr>
          <w:rFonts w:ascii="Arial" w:hAnsi="Arial" w:cs="Arial"/>
          <w:b/>
          <w:bCs/>
        </w:rPr>
        <w:lastRenderedPageBreak/>
        <w:t>Introduction</w:t>
      </w:r>
      <w:r w:rsidRPr="00075381">
        <w:rPr>
          <w:rFonts w:ascii="Arial" w:hAnsi="Arial" w:cs="Arial"/>
          <w:b/>
          <w:bCs/>
        </w:rPr>
        <w:t>.</w:t>
      </w:r>
    </w:p>
    <w:p w14:paraId="108D189F" w14:textId="200587E0" w:rsidR="00214F83" w:rsidRPr="00075381" w:rsidRDefault="009B1DFC" w:rsidP="000E62C5">
      <w:pPr>
        <w:spacing w:line="360" w:lineRule="auto"/>
        <w:jc w:val="both"/>
        <w:rPr>
          <w:rFonts w:ascii="Arial" w:hAnsi="Arial" w:cs="Arial"/>
        </w:rPr>
      </w:pPr>
      <w:r w:rsidRPr="00075381">
        <w:rPr>
          <w:rFonts w:ascii="Arial" w:hAnsi="Arial" w:cs="Arial"/>
        </w:rPr>
        <w:t>Effective communication, accurate administrative practice and collaborative working are fundamental principles of high-quality health and social care. Together, they support person-centred care by promoting safe decision-making, continuity of care and positive outcomes for individuals with complex needs. This report analyses the case of Mrs Thompson, an 84-year-old woman with mild dementia who receives domiciliary care following discharge from hospital after pneumonia. The discussion examines how effective communication supports her care, the importance of accurate record keeping and administrative responsibilities, and the contribution of multidisciplinary working in responding to her changing needs. Throughout the report, relevant legislation, professional standards and communication theory are applied to demonstrate how coordinated practice helps to protect Mrs Thompson's safety, dignity and wellbeing.</w:t>
      </w:r>
    </w:p>
    <w:p w14:paraId="75B3CF85" w14:textId="77777777" w:rsidR="00214F83" w:rsidRPr="00075381" w:rsidRDefault="00214F83" w:rsidP="000E62C5">
      <w:pPr>
        <w:spacing w:line="360" w:lineRule="auto"/>
        <w:jc w:val="center"/>
        <w:rPr>
          <w:rFonts w:ascii="Arial" w:hAnsi="Arial" w:cs="Arial"/>
          <w:b/>
          <w:bCs/>
        </w:rPr>
      </w:pPr>
    </w:p>
    <w:p w14:paraId="7021AE77" w14:textId="77777777" w:rsidR="00214F83" w:rsidRPr="00075381" w:rsidRDefault="00214F83" w:rsidP="000E62C5">
      <w:pPr>
        <w:spacing w:line="360" w:lineRule="auto"/>
        <w:jc w:val="center"/>
        <w:rPr>
          <w:rFonts w:ascii="Arial" w:hAnsi="Arial" w:cs="Arial"/>
          <w:b/>
          <w:bCs/>
        </w:rPr>
      </w:pPr>
    </w:p>
    <w:p w14:paraId="3E4487A2" w14:textId="77777777" w:rsidR="00214F83" w:rsidRPr="00075381" w:rsidRDefault="00214F83" w:rsidP="000E62C5">
      <w:pPr>
        <w:spacing w:line="360" w:lineRule="auto"/>
        <w:jc w:val="center"/>
        <w:rPr>
          <w:rFonts w:ascii="Arial" w:hAnsi="Arial" w:cs="Arial"/>
          <w:b/>
          <w:bCs/>
        </w:rPr>
      </w:pPr>
    </w:p>
    <w:p w14:paraId="2D30AA3E" w14:textId="77777777" w:rsidR="00214F83" w:rsidRPr="00075381" w:rsidRDefault="00214F83" w:rsidP="000E62C5">
      <w:pPr>
        <w:spacing w:line="360" w:lineRule="auto"/>
        <w:jc w:val="center"/>
        <w:rPr>
          <w:rFonts w:ascii="Arial" w:hAnsi="Arial" w:cs="Arial"/>
          <w:b/>
          <w:bCs/>
        </w:rPr>
      </w:pPr>
    </w:p>
    <w:p w14:paraId="7A2CAFD7" w14:textId="77777777" w:rsidR="00214F83" w:rsidRPr="00075381" w:rsidRDefault="00214F83" w:rsidP="000E62C5">
      <w:pPr>
        <w:spacing w:line="360" w:lineRule="auto"/>
        <w:jc w:val="center"/>
        <w:rPr>
          <w:rFonts w:ascii="Arial" w:hAnsi="Arial" w:cs="Arial"/>
          <w:b/>
          <w:bCs/>
        </w:rPr>
      </w:pPr>
    </w:p>
    <w:p w14:paraId="2DE772F6" w14:textId="77777777" w:rsidR="00214F83" w:rsidRPr="00075381" w:rsidRDefault="00214F83" w:rsidP="000E62C5">
      <w:pPr>
        <w:spacing w:line="360" w:lineRule="auto"/>
        <w:jc w:val="center"/>
        <w:rPr>
          <w:rFonts w:ascii="Arial" w:hAnsi="Arial" w:cs="Arial"/>
          <w:b/>
          <w:bCs/>
        </w:rPr>
      </w:pPr>
    </w:p>
    <w:p w14:paraId="5100902A" w14:textId="77777777" w:rsidR="00214F83" w:rsidRPr="00075381" w:rsidRDefault="00214F83" w:rsidP="000E62C5">
      <w:pPr>
        <w:spacing w:line="360" w:lineRule="auto"/>
        <w:jc w:val="center"/>
        <w:rPr>
          <w:rFonts w:ascii="Arial" w:hAnsi="Arial" w:cs="Arial"/>
          <w:b/>
          <w:bCs/>
        </w:rPr>
      </w:pPr>
    </w:p>
    <w:p w14:paraId="3C976E01" w14:textId="77777777" w:rsidR="00214F83" w:rsidRPr="00075381" w:rsidRDefault="00214F83" w:rsidP="000E62C5">
      <w:pPr>
        <w:spacing w:line="360" w:lineRule="auto"/>
        <w:jc w:val="center"/>
        <w:rPr>
          <w:rFonts w:ascii="Arial" w:hAnsi="Arial" w:cs="Arial"/>
          <w:b/>
          <w:bCs/>
        </w:rPr>
      </w:pPr>
    </w:p>
    <w:p w14:paraId="4D2E22F8" w14:textId="77777777" w:rsidR="00214F83" w:rsidRPr="00075381" w:rsidRDefault="00214F83" w:rsidP="000E62C5">
      <w:pPr>
        <w:spacing w:line="360" w:lineRule="auto"/>
        <w:jc w:val="center"/>
        <w:rPr>
          <w:rFonts w:ascii="Arial" w:hAnsi="Arial" w:cs="Arial"/>
          <w:b/>
          <w:bCs/>
        </w:rPr>
      </w:pPr>
    </w:p>
    <w:p w14:paraId="6EF54D6F" w14:textId="77777777" w:rsidR="00214F83" w:rsidRPr="00075381" w:rsidRDefault="00214F83" w:rsidP="000E62C5">
      <w:pPr>
        <w:spacing w:line="360" w:lineRule="auto"/>
        <w:jc w:val="center"/>
        <w:rPr>
          <w:rFonts w:ascii="Arial" w:hAnsi="Arial" w:cs="Arial"/>
          <w:b/>
          <w:bCs/>
        </w:rPr>
      </w:pPr>
    </w:p>
    <w:p w14:paraId="0418F62D" w14:textId="77777777" w:rsidR="00214F83" w:rsidRPr="00075381" w:rsidRDefault="00214F83" w:rsidP="000E62C5">
      <w:pPr>
        <w:spacing w:line="360" w:lineRule="auto"/>
        <w:jc w:val="center"/>
        <w:rPr>
          <w:rFonts w:ascii="Arial" w:hAnsi="Arial" w:cs="Arial"/>
          <w:b/>
          <w:bCs/>
        </w:rPr>
      </w:pPr>
    </w:p>
    <w:p w14:paraId="03B53DC4" w14:textId="77777777" w:rsidR="00214F83" w:rsidRPr="00075381" w:rsidRDefault="00214F83" w:rsidP="000E62C5">
      <w:pPr>
        <w:spacing w:line="360" w:lineRule="auto"/>
        <w:jc w:val="center"/>
        <w:rPr>
          <w:rFonts w:ascii="Arial" w:hAnsi="Arial" w:cs="Arial"/>
          <w:b/>
          <w:bCs/>
        </w:rPr>
      </w:pPr>
    </w:p>
    <w:p w14:paraId="74909B70" w14:textId="77777777" w:rsidR="00214F83" w:rsidRPr="00075381" w:rsidRDefault="00214F83" w:rsidP="000E62C5">
      <w:pPr>
        <w:spacing w:line="360" w:lineRule="auto"/>
        <w:jc w:val="center"/>
        <w:rPr>
          <w:rFonts w:ascii="Arial" w:hAnsi="Arial" w:cs="Arial"/>
          <w:b/>
          <w:bCs/>
        </w:rPr>
      </w:pPr>
    </w:p>
    <w:p w14:paraId="4BDA8C79" w14:textId="77777777" w:rsidR="00214F83" w:rsidRPr="00075381" w:rsidRDefault="00214F83" w:rsidP="000E62C5">
      <w:pPr>
        <w:spacing w:line="360" w:lineRule="auto"/>
        <w:jc w:val="center"/>
        <w:rPr>
          <w:rFonts w:ascii="Arial" w:hAnsi="Arial" w:cs="Arial"/>
          <w:b/>
          <w:bCs/>
        </w:rPr>
      </w:pPr>
    </w:p>
    <w:p w14:paraId="0DBE7600" w14:textId="77777777" w:rsidR="00214F83" w:rsidRDefault="00214F83" w:rsidP="00255CE5">
      <w:pPr>
        <w:spacing w:line="360" w:lineRule="auto"/>
        <w:rPr>
          <w:rFonts w:ascii="Arial" w:hAnsi="Arial" w:cs="Arial"/>
          <w:b/>
          <w:bCs/>
        </w:rPr>
      </w:pPr>
    </w:p>
    <w:p w14:paraId="23C0E117" w14:textId="77777777" w:rsidR="00255CE5" w:rsidRPr="00075381" w:rsidRDefault="00255CE5" w:rsidP="00255CE5">
      <w:pPr>
        <w:spacing w:line="360" w:lineRule="auto"/>
        <w:rPr>
          <w:rFonts w:ascii="Arial" w:hAnsi="Arial" w:cs="Arial"/>
          <w:b/>
          <w:bCs/>
        </w:rPr>
      </w:pPr>
    </w:p>
    <w:p w14:paraId="33D4F429" w14:textId="77777777" w:rsidR="00214F83" w:rsidRPr="00075381" w:rsidRDefault="00214F83" w:rsidP="000E62C5">
      <w:pPr>
        <w:spacing w:line="360" w:lineRule="auto"/>
        <w:rPr>
          <w:rFonts w:ascii="Arial" w:hAnsi="Arial" w:cs="Arial"/>
          <w:b/>
          <w:bCs/>
        </w:rPr>
      </w:pPr>
    </w:p>
    <w:p w14:paraId="6B3EC48D" w14:textId="382663F1" w:rsidR="0049551B" w:rsidRPr="00075381" w:rsidRDefault="0049551B" w:rsidP="000E62C5">
      <w:pPr>
        <w:spacing w:line="360" w:lineRule="auto"/>
        <w:jc w:val="center"/>
        <w:rPr>
          <w:rFonts w:ascii="Arial" w:hAnsi="Arial" w:cs="Arial"/>
          <w:b/>
          <w:bCs/>
        </w:rPr>
      </w:pPr>
      <w:r w:rsidRPr="00075381">
        <w:rPr>
          <w:rFonts w:ascii="Arial" w:hAnsi="Arial" w:cs="Arial"/>
          <w:b/>
          <w:bCs/>
        </w:rPr>
        <w:lastRenderedPageBreak/>
        <w:t>Section 1: Effective Communication</w:t>
      </w:r>
    </w:p>
    <w:p w14:paraId="559B40E3" w14:textId="77777777" w:rsidR="00F3246D" w:rsidRPr="00075381" w:rsidRDefault="00F3246D" w:rsidP="000E62C5">
      <w:pPr>
        <w:spacing w:line="360" w:lineRule="auto"/>
        <w:jc w:val="both"/>
        <w:rPr>
          <w:rFonts w:ascii="Arial" w:hAnsi="Arial" w:cs="Arial"/>
        </w:rPr>
      </w:pPr>
      <w:r w:rsidRPr="00075381">
        <w:rPr>
          <w:rFonts w:ascii="Arial" w:hAnsi="Arial" w:cs="Arial"/>
        </w:rPr>
        <w:t>In Mrs Thompson's case, effective communication is fundamental to ensuring safe, person-centred care because her recent discharge from hospital, mild dementia and recent medication-related incidents increase the risk of misunderstandings, reduced treatment adherence and avoidable harm. The missed doses of medication, which resulted in increased confusion, together with the incident in which she was found outside without appropriate clothing, highlight how ineffective communication can compromise both safety and wellbeing. Consequently, communication should support not only Mrs Thompson's understanding of her care but also accurate information sharing between healthcare professionals and, where appropriate, her family members. Effective communication therefore underpins safe decision-making, accurate documentation and collaborative working throughout Mrs Thompson's ongoing care (Burtscher et al., 2020).</w:t>
      </w:r>
    </w:p>
    <w:p w14:paraId="401535C2" w14:textId="3CB87DAE" w:rsidR="00F3246D" w:rsidRPr="00075381" w:rsidRDefault="00F3246D" w:rsidP="000E62C5">
      <w:pPr>
        <w:spacing w:line="360" w:lineRule="auto"/>
        <w:jc w:val="both"/>
        <w:rPr>
          <w:rFonts w:ascii="Arial" w:hAnsi="Arial" w:cs="Arial"/>
        </w:rPr>
      </w:pPr>
      <w:r w:rsidRPr="00075381">
        <w:rPr>
          <w:rFonts w:ascii="Arial" w:hAnsi="Arial" w:cs="Arial"/>
        </w:rPr>
        <w:t xml:space="preserve">Communication with Mrs Thompson should be adapted to her individual needs while preserving her dignity, independence and right to participate in decisions regarding her care. As mild dementia may affect memory and information processing, healthcare professionals should use clear, simple language, maintain eye contact, provide one piece of information at a time and allow adequate time for responses. Visual reminders, such as medication charts, calendars or colour-coded prompts, may further reinforce verbal information and support medication adherence. Where appropriate and with Mrs Thompson's consent, family members should also be involved to reinforce key information and provide reassurance. These person-centred approaches help to ensure that her preferences and wishes would continue to be respected, while promoting confidence and reducing anxiety during care interactions (NHS England, </w:t>
      </w:r>
      <w:r w:rsidR="004302C2">
        <w:rPr>
          <w:rFonts w:ascii="Arial" w:hAnsi="Arial" w:cs="Arial"/>
        </w:rPr>
        <w:t>2023</w:t>
      </w:r>
      <w:r w:rsidRPr="00075381">
        <w:rPr>
          <w:rFonts w:ascii="Arial" w:hAnsi="Arial" w:cs="Arial"/>
        </w:rPr>
        <w:t>). To ensure that these communication approaches are delivered fairly and without discrimination, healthcare professionals must also comply with the principles established by the Equality Act 2010.</w:t>
      </w:r>
    </w:p>
    <w:p w14:paraId="08BC1F88" w14:textId="77777777" w:rsidR="00F3246D" w:rsidRPr="00075381" w:rsidRDefault="00F3246D" w:rsidP="000E62C5">
      <w:pPr>
        <w:spacing w:line="360" w:lineRule="auto"/>
        <w:jc w:val="both"/>
        <w:rPr>
          <w:rFonts w:ascii="Arial" w:hAnsi="Arial" w:cs="Arial"/>
        </w:rPr>
      </w:pPr>
      <w:r w:rsidRPr="00075381">
        <w:rPr>
          <w:rFonts w:ascii="Arial" w:hAnsi="Arial" w:cs="Arial"/>
        </w:rPr>
        <w:t xml:space="preserve">The Equality Act 2010 promotes equality of opportunity and protects individuals from discrimination based on protected characteristics, including disability. Within Mrs Thompson's care, healthcare professionals should make reasonable adjustments to accommodate the cognitive changes associated with her dementia. This may include simplifying written information, repeating important instructions, checking understanding and adapting communication according to her abilities. Although no language or cultural barriers are identified within the case study, professionals should remain prepared to communicate in a culturally sensitive manner and arrange interpreter services where required. Likewise, visual aids should be considered whenever they may enhance understanding and support informed decision-making. These practical strategies demonstrate how communication can be adapted </w:t>
      </w:r>
      <w:r w:rsidRPr="00075381">
        <w:rPr>
          <w:rFonts w:ascii="Arial" w:hAnsi="Arial" w:cs="Arial"/>
        </w:rPr>
        <w:lastRenderedPageBreak/>
        <w:t>to meet individual needs while maintaining equitable access to care. Such approaches can be further understood through the application of an established communication framework.</w:t>
      </w:r>
    </w:p>
    <w:p w14:paraId="61DD0C68" w14:textId="341265E5" w:rsidR="0049551B" w:rsidRPr="00075381" w:rsidRDefault="00F3246D" w:rsidP="000E62C5">
      <w:pPr>
        <w:spacing w:line="360" w:lineRule="auto"/>
        <w:jc w:val="both"/>
        <w:rPr>
          <w:rFonts w:ascii="Arial" w:hAnsi="Arial" w:cs="Arial"/>
        </w:rPr>
      </w:pPr>
      <w:r w:rsidRPr="00075381">
        <w:rPr>
          <w:rFonts w:ascii="Arial" w:hAnsi="Arial" w:cs="Arial"/>
        </w:rPr>
        <w:t>Berlo's SMCR Communication Model (1960) provides a useful framework for understanding how effective communication can be achieved within Mrs Thompson's care. The model proposes that communication is influenced by the Source, Message, Channel and Receiver, with each element affecting how information is understood. In this case, the source may be the GP, community nurse or domiciliary care worker responsible for providing medication instructions and safety advice. The message should be accurate, concise and adapted to Mrs Thompson's cognitive abilities, while multiple communication channels, including verbal explanations, written information and visual reminders, may improve comprehension. As the receiver, Mrs Thompson's mild dementia should be considered when selecting the most appropriate communication approach. The Nursing and Midwifery Council (2018) further emphasises that clear, compassionate and person-centred communication is a professional responsibility that supports safe and effective practice. Nevertheless, effective communication can only contribute to safe, continuous care when important information is accurately documented and shared appropriately among professionals involved in Mrs Thompson's care. Consequently, effective administrative practice is equally essential in supporting her ongoing care (Berlo, 1960; Nursing and Midwifery Council (NMC), 2018).</w:t>
      </w:r>
    </w:p>
    <w:p w14:paraId="29ED1DF8" w14:textId="77777777" w:rsidR="0049551B" w:rsidRPr="00075381" w:rsidRDefault="0049551B" w:rsidP="000E62C5">
      <w:pPr>
        <w:spacing w:line="360" w:lineRule="auto"/>
        <w:rPr>
          <w:rFonts w:ascii="Arial" w:hAnsi="Arial" w:cs="Arial"/>
        </w:rPr>
      </w:pPr>
    </w:p>
    <w:p w14:paraId="032F17D9" w14:textId="77777777" w:rsidR="0049551B" w:rsidRPr="00075381" w:rsidRDefault="0049551B" w:rsidP="000E62C5">
      <w:pPr>
        <w:spacing w:line="360" w:lineRule="auto"/>
        <w:rPr>
          <w:rFonts w:ascii="Arial" w:hAnsi="Arial" w:cs="Arial"/>
        </w:rPr>
      </w:pPr>
    </w:p>
    <w:p w14:paraId="1E094C88" w14:textId="77777777" w:rsidR="0049551B" w:rsidRPr="00075381" w:rsidRDefault="0049551B" w:rsidP="000E62C5">
      <w:pPr>
        <w:spacing w:line="360" w:lineRule="auto"/>
        <w:rPr>
          <w:rFonts w:ascii="Arial" w:hAnsi="Arial" w:cs="Arial"/>
        </w:rPr>
      </w:pPr>
    </w:p>
    <w:p w14:paraId="06DE30E8" w14:textId="77777777" w:rsidR="0049551B" w:rsidRPr="00075381" w:rsidRDefault="0049551B" w:rsidP="000E62C5">
      <w:pPr>
        <w:spacing w:line="360" w:lineRule="auto"/>
        <w:rPr>
          <w:rFonts w:ascii="Arial" w:hAnsi="Arial" w:cs="Arial"/>
        </w:rPr>
      </w:pPr>
    </w:p>
    <w:p w14:paraId="42DC4755" w14:textId="77777777" w:rsidR="0049551B" w:rsidRPr="00075381" w:rsidRDefault="0049551B" w:rsidP="000E62C5">
      <w:pPr>
        <w:spacing w:line="360" w:lineRule="auto"/>
        <w:rPr>
          <w:rFonts w:ascii="Arial" w:hAnsi="Arial" w:cs="Arial"/>
        </w:rPr>
      </w:pPr>
    </w:p>
    <w:p w14:paraId="5886BC79" w14:textId="77777777" w:rsidR="0049551B" w:rsidRPr="00075381" w:rsidRDefault="0049551B" w:rsidP="000E62C5">
      <w:pPr>
        <w:spacing w:line="360" w:lineRule="auto"/>
        <w:rPr>
          <w:rFonts w:ascii="Arial" w:hAnsi="Arial" w:cs="Arial"/>
        </w:rPr>
      </w:pPr>
    </w:p>
    <w:p w14:paraId="4C1C1C1A" w14:textId="77777777" w:rsidR="0049551B" w:rsidRPr="00075381" w:rsidRDefault="0049551B" w:rsidP="000E62C5">
      <w:pPr>
        <w:spacing w:line="360" w:lineRule="auto"/>
        <w:rPr>
          <w:rFonts w:ascii="Arial" w:hAnsi="Arial" w:cs="Arial"/>
        </w:rPr>
      </w:pPr>
    </w:p>
    <w:p w14:paraId="5392BDB3" w14:textId="77777777" w:rsidR="0049551B" w:rsidRPr="00075381" w:rsidRDefault="0049551B" w:rsidP="000E62C5">
      <w:pPr>
        <w:spacing w:line="360" w:lineRule="auto"/>
        <w:rPr>
          <w:rFonts w:ascii="Arial" w:hAnsi="Arial" w:cs="Arial"/>
        </w:rPr>
      </w:pPr>
    </w:p>
    <w:p w14:paraId="5363315F" w14:textId="77777777" w:rsidR="0049551B" w:rsidRPr="00075381" w:rsidRDefault="0049551B" w:rsidP="000E62C5">
      <w:pPr>
        <w:spacing w:line="360" w:lineRule="auto"/>
        <w:rPr>
          <w:rFonts w:ascii="Arial" w:hAnsi="Arial" w:cs="Arial"/>
        </w:rPr>
      </w:pPr>
    </w:p>
    <w:p w14:paraId="3C88C244" w14:textId="77777777" w:rsidR="0049551B" w:rsidRPr="00075381" w:rsidRDefault="0049551B" w:rsidP="000E62C5">
      <w:pPr>
        <w:spacing w:line="360" w:lineRule="auto"/>
        <w:rPr>
          <w:rFonts w:ascii="Arial" w:hAnsi="Arial" w:cs="Arial"/>
        </w:rPr>
      </w:pPr>
    </w:p>
    <w:p w14:paraId="1732813A" w14:textId="77777777" w:rsidR="0049551B" w:rsidRPr="00075381" w:rsidRDefault="0049551B" w:rsidP="000E62C5">
      <w:pPr>
        <w:spacing w:line="360" w:lineRule="auto"/>
        <w:rPr>
          <w:rFonts w:ascii="Arial" w:hAnsi="Arial" w:cs="Arial"/>
        </w:rPr>
      </w:pPr>
    </w:p>
    <w:p w14:paraId="601BCD14" w14:textId="77777777" w:rsidR="0049551B" w:rsidRPr="00075381" w:rsidRDefault="0049551B" w:rsidP="000E62C5">
      <w:pPr>
        <w:spacing w:line="360" w:lineRule="auto"/>
        <w:rPr>
          <w:rFonts w:ascii="Arial" w:hAnsi="Arial" w:cs="Arial"/>
        </w:rPr>
      </w:pPr>
    </w:p>
    <w:p w14:paraId="199BA7D1" w14:textId="77777777" w:rsidR="00BF0B8B" w:rsidRPr="00075381" w:rsidRDefault="00BF0B8B" w:rsidP="000E62C5">
      <w:pPr>
        <w:spacing w:line="360" w:lineRule="auto"/>
        <w:rPr>
          <w:rFonts w:ascii="Arial" w:hAnsi="Arial" w:cs="Arial"/>
        </w:rPr>
      </w:pPr>
    </w:p>
    <w:p w14:paraId="7DDF6E37" w14:textId="34190B0E" w:rsidR="009B10BC" w:rsidRPr="00075381" w:rsidRDefault="009B10BC" w:rsidP="000E62C5">
      <w:pPr>
        <w:spacing w:line="360" w:lineRule="auto"/>
        <w:jc w:val="center"/>
        <w:rPr>
          <w:rFonts w:ascii="Arial" w:hAnsi="Arial" w:cs="Arial"/>
        </w:rPr>
      </w:pPr>
      <w:r w:rsidRPr="00075381">
        <w:rPr>
          <w:rFonts w:ascii="Arial" w:hAnsi="Arial" w:cs="Arial"/>
          <w:b/>
          <w:bCs/>
        </w:rPr>
        <w:lastRenderedPageBreak/>
        <w:t>Section 2 – Administrative Skills and Record Keeping</w:t>
      </w:r>
      <w:r w:rsidR="00A642B3" w:rsidRPr="00075381">
        <w:rPr>
          <w:rFonts w:ascii="Arial" w:hAnsi="Arial" w:cs="Arial"/>
        </w:rPr>
        <w:t>.</w:t>
      </w:r>
    </w:p>
    <w:p w14:paraId="7F9422A5" w14:textId="77777777" w:rsidR="009B10BC" w:rsidRPr="00075381" w:rsidRDefault="009B10BC" w:rsidP="000E62C5">
      <w:pPr>
        <w:spacing w:line="360" w:lineRule="auto"/>
        <w:jc w:val="both"/>
        <w:rPr>
          <w:rFonts w:ascii="Arial" w:hAnsi="Arial" w:cs="Arial"/>
        </w:rPr>
      </w:pPr>
      <w:r w:rsidRPr="00075381">
        <w:rPr>
          <w:rFonts w:ascii="Arial" w:hAnsi="Arial" w:cs="Arial"/>
        </w:rPr>
        <w:t>Accurate administrative skills and record keeping are essential for maintaining continuity of care and ensuring that important information is communicated effectively between healthcare professionals. In Mrs Thompson's case, the documentation of her missed medication doses enabled staff to recognise a change in her condition and request a medication review before further harm occurred. Similarly, recording the incident in which she was found outdoors without appropriate clothing ensured that additional safeguarding concerns were identified and that the local council could review her circumstances. These records provide an accurate account of Mrs Thompson's needs, allowing professionals involved in her care to make informed decisions and deliver timely interventions (Burtscher et al., 2020).</w:t>
      </w:r>
    </w:p>
    <w:p w14:paraId="71021F15" w14:textId="77777777" w:rsidR="009B10BC" w:rsidRPr="00075381" w:rsidRDefault="009B10BC" w:rsidP="000E62C5">
      <w:pPr>
        <w:spacing w:line="360" w:lineRule="auto"/>
        <w:jc w:val="both"/>
        <w:rPr>
          <w:rFonts w:ascii="Arial" w:hAnsi="Arial" w:cs="Arial"/>
        </w:rPr>
      </w:pPr>
      <w:r w:rsidRPr="00075381">
        <w:rPr>
          <w:rFonts w:ascii="Arial" w:hAnsi="Arial" w:cs="Arial"/>
        </w:rPr>
        <w:t>Maintaining clear, accurate and contemporaneous records is a professional responsibility that supports safe, person-centred care. Documentation such as the Medication Administration Record (MAR), care plans, incident reports and risk assessments enables each professional to understand Mrs Thompson's current condition and any changes since previous visits. As she receives domiciliary care twice daily, accurate documentation ensures that information is transferred effectively between staff during shift changes, reducing the risk of repeated medication omissions or inconsistent care. Furthermore, well-maintained records provide evidence of the care delivered, support accountability and allow interventions to be reviewed and updated as Mrs Thompson's needs change (Nursing and Midwifery Council (NMC), 2018).</w:t>
      </w:r>
    </w:p>
    <w:p w14:paraId="796F4E4E" w14:textId="35DE6F4C" w:rsidR="009B10BC" w:rsidRPr="00075381" w:rsidRDefault="009B10BC" w:rsidP="000E62C5">
      <w:pPr>
        <w:spacing w:line="360" w:lineRule="auto"/>
        <w:jc w:val="both"/>
        <w:rPr>
          <w:rFonts w:ascii="Arial" w:hAnsi="Arial" w:cs="Arial"/>
        </w:rPr>
      </w:pPr>
      <w:r w:rsidRPr="00075381">
        <w:rPr>
          <w:rFonts w:ascii="Arial" w:hAnsi="Arial" w:cs="Arial"/>
        </w:rPr>
        <w:t xml:space="preserve">Administrative practice must also comply with legal and ethical requirements regarding confidentiality and information sharing. Under the Data Protection Act 2018 and the UK General Data Protection Regulation (UK GDPR), Mrs Thompson's personal information should be recorded accurately, stored securely and shared only with professionals who require access to provide safe care. Likewise, the Caldicott Principles support appropriate information sharing by ensuring that confidential information is used only when necessary </w:t>
      </w:r>
      <w:r w:rsidR="00A642B3" w:rsidRPr="00075381">
        <w:rPr>
          <w:rFonts w:ascii="Arial" w:hAnsi="Arial" w:cs="Arial"/>
        </w:rPr>
        <w:t>and, in the patient’s,</w:t>
      </w:r>
      <w:r w:rsidRPr="00075381">
        <w:rPr>
          <w:rFonts w:ascii="Arial" w:hAnsi="Arial" w:cs="Arial"/>
        </w:rPr>
        <w:t xml:space="preserve"> best interests. In Mrs Thompson's case, sharing relevant information with the GP, community nurse and domiciliary care workers would enable coordinated decision-making while protecting her right to privacy (Department of Health and Social Care, 2013).</w:t>
      </w:r>
    </w:p>
    <w:p w14:paraId="10E7BD35" w14:textId="32F033D0" w:rsidR="00113DCF" w:rsidRPr="00075381" w:rsidRDefault="009B10BC" w:rsidP="00BF0B8B">
      <w:pPr>
        <w:spacing w:line="360" w:lineRule="auto"/>
        <w:jc w:val="both"/>
        <w:rPr>
          <w:rFonts w:ascii="Arial" w:hAnsi="Arial" w:cs="Arial"/>
        </w:rPr>
      </w:pPr>
      <w:r w:rsidRPr="00075381">
        <w:rPr>
          <w:rFonts w:ascii="Arial" w:hAnsi="Arial" w:cs="Arial"/>
        </w:rPr>
        <w:t>Ultimately, accurate record keeping protects both Mrs Thompson and the professionals responsible for her care. Without clear documentation, changes in her condition could be overlooked, delaying appropriate interventions and increasing the risk of avoidable harm. Conversely, comprehensive records support clinical decision-making, demonstrate professional accountability and enable healthcare professionals from different services to work together towards the shared goal of providing safe, coordinated and person-centred care. This collaborative approach forms the foundation of effective multidisciplinary working.</w:t>
      </w:r>
    </w:p>
    <w:p w14:paraId="2BBCFFB6" w14:textId="6A32D1B4" w:rsidR="00BE0089" w:rsidRPr="00075381" w:rsidRDefault="00BE0089" w:rsidP="000E62C5">
      <w:pPr>
        <w:spacing w:line="360" w:lineRule="auto"/>
        <w:jc w:val="center"/>
        <w:rPr>
          <w:rFonts w:ascii="Arial" w:hAnsi="Arial" w:cs="Arial"/>
          <w:b/>
          <w:bCs/>
        </w:rPr>
      </w:pPr>
      <w:r w:rsidRPr="00075381">
        <w:rPr>
          <w:rFonts w:ascii="Arial" w:hAnsi="Arial" w:cs="Arial"/>
          <w:b/>
          <w:bCs/>
        </w:rPr>
        <w:lastRenderedPageBreak/>
        <w:t xml:space="preserve">Section 3 – Collaborative </w:t>
      </w:r>
      <w:r w:rsidRPr="00075381">
        <w:rPr>
          <w:rFonts w:ascii="Arial" w:hAnsi="Arial" w:cs="Arial"/>
          <w:b/>
          <w:bCs/>
        </w:rPr>
        <w:t>Working.</w:t>
      </w:r>
    </w:p>
    <w:p w14:paraId="0CAAAAE9" w14:textId="54F4C6D8" w:rsidR="00BE0089" w:rsidRPr="00075381" w:rsidRDefault="00BE0089" w:rsidP="000E62C5">
      <w:pPr>
        <w:spacing w:line="360" w:lineRule="auto"/>
        <w:jc w:val="both"/>
        <w:rPr>
          <w:rFonts w:ascii="Arial" w:hAnsi="Arial" w:cs="Arial"/>
        </w:rPr>
      </w:pPr>
      <w:r w:rsidRPr="00075381">
        <w:rPr>
          <w:rFonts w:ascii="Arial" w:hAnsi="Arial" w:cs="Arial"/>
        </w:rPr>
        <w:t xml:space="preserve">Collaborative working is essential to ensuring that individuals with complex needs receive coordinated, safe and person-centred care. Following the effective communication and accurate documentation of Mrs Thompson's medication omissions and safeguarding concerns, healthcare professionals </w:t>
      </w:r>
      <w:r w:rsidR="00925F4C" w:rsidRPr="00075381">
        <w:rPr>
          <w:rFonts w:ascii="Arial" w:hAnsi="Arial" w:cs="Arial"/>
        </w:rPr>
        <w:t>can</w:t>
      </w:r>
      <w:r w:rsidRPr="00075381">
        <w:rPr>
          <w:rFonts w:ascii="Arial" w:hAnsi="Arial" w:cs="Arial"/>
        </w:rPr>
        <w:t xml:space="preserve"> work together to respond appropriately to her changing needs. As Mrs Thompson lives alone, has mild dementia and receives domiciliary care twice daily, no single professional can address every aspect of her care independently. Instead, a multidisciplinary approach enables professionals to share relevant information, make informed decisions and provide consistent support that promotes her safety, wellbeing and independence (Glasby, 2026).</w:t>
      </w:r>
    </w:p>
    <w:p w14:paraId="0A6B57B2" w14:textId="77777777" w:rsidR="00BE0089" w:rsidRPr="00075381" w:rsidRDefault="00BE0089" w:rsidP="000E62C5">
      <w:pPr>
        <w:spacing w:line="360" w:lineRule="auto"/>
        <w:jc w:val="both"/>
        <w:rPr>
          <w:rFonts w:ascii="Arial" w:hAnsi="Arial" w:cs="Arial"/>
        </w:rPr>
      </w:pPr>
      <w:r w:rsidRPr="00075381">
        <w:rPr>
          <w:rFonts w:ascii="Arial" w:hAnsi="Arial" w:cs="Arial"/>
        </w:rPr>
        <w:t>Within this multidisciplinary team, each professional has a distinct but complementary role. The domiciliary care worker is well placed to observe Mrs Thompson's daily wellbeing, encourage medication adherence and report any changes in her condition through accurate documentation. These observations enable the community nurse to monitor her clinical needs and assess whether additional interventions are required. Likewise, the GP can use the documented information to undertake the requested medication review and determine whether changes to her treatment or further support are necessary. Following the safeguarding concern in which Mrs Thompson was found outdoors without appropriate clothing, the local council's review also provides an opportunity to assess whether additional services or environmental support are required to reduce future risks. This coordinated approach allows each professional to contribute their expertise while working towards the shared goal of improving Mrs Thompson's quality of life.</w:t>
      </w:r>
    </w:p>
    <w:p w14:paraId="1006471E" w14:textId="530FF57B" w:rsidR="009A507D" w:rsidRPr="00075381" w:rsidRDefault="00BE0089" w:rsidP="000E62C5">
      <w:pPr>
        <w:spacing w:line="360" w:lineRule="auto"/>
        <w:jc w:val="both"/>
        <w:rPr>
          <w:rFonts w:ascii="Arial" w:hAnsi="Arial" w:cs="Arial"/>
        </w:rPr>
      </w:pPr>
      <w:r w:rsidRPr="00075381">
        <w:rPr>
          <w:rFonts w:ascii="Arial" w:hAnsi="Arial" w:cs="Arial"/>
        </w:rPr>
        <w:t>Although collaborative working offers significant benefits, challenges such as delays in communication, incomplete records or unclear professional responsibilities may affect the continuity of care. These risks can be minimised through effective communication, accurate record keeping and mutual professional respect, ensuring that information is shared appropriately and acted upon promptly (Nursing and Midwifery Council (NMC), 2018). Ultimately, collaborative working enables healthcare professionals to provide holistic, person-centred care that protects Mrs Thompson's dignity, supports her independence and reduces the risk of future harm.</w:t>
      </w:r>
    </w:p>
    <w:p w14:paraId="779F83AC" w14:textId="77777777" w:rsidR="00BE0089" w:rsidRPr="00075381" w:rsidRDefault="00BE0089" w:rsidP="000E62C5">
      <w:pPr>
        <w:spacing w:line="360" w:lineRule="auto"/>
        <w:rPr>
          <w:rFonts w:ascii="Arial" w:hAnsi="Arial" w:cs="Arial"/>
        </w:rPr>
      </w:pPr>
    </w:p>
    <w:p w14:paraId="24D58EDC" w14:textId="77777777" w:rsidR="00BE0089" w:rsidRPr="00075381" w:rsidRDefault="00BE0089" w:rsidP="000E62C5">
      <w:pPr>
        <w:spacing w:line="360" w:lineRule="auto"/>
        <w:rPr>
          <w:rFonts w:ascii="Arial" w:hAnsi="Arial" w:cs="Arial"/>
        </w:rPr>
      </w:pPr>
    </w:p>
    <w:p w14:paraId="7AF48E3A" w14:textId="77777777" w:rsidR="00A158CC" w:rsidRDefault="00A158CC" w:rsidP="000E62C5">
      <w:pPr>
        <w:spacing w:line="360" w:lineRule="auto"/>
        <w:rPr>
          <w:rFonts w:ascii="Arial" w:hAnsi="Arial" w:cs="Arial"/>
        </w:rPr>
      </w:pPr>
    </w:p>
    <w:p w14:paraId="31632DD6" w14:textId="77777777" w:rsidR="00A158CC" w:rsidRPr="00075381" w:rsidRDefault="00A158CC" w:rsidP="000E62C5">
      <w:pPr>
        <w:spacing w:line="360" w:lineRule="auto"/>
        <w:rPr>
          <w:rFonts w:ascii="Arial" w:hAnsi="Arial" w:cs="Arial"/>
        </w:rPr>
      </w:pPr>
    </w:p>
    <w:p w14:paraId="3DAB05F1" w14:textId="7BA9BC40" w:rsidR="008D447C" w:rsidRPr="00075381" w:rsidRDefault="008D447C" w:rsidP="000E62C5">
      <w:pPr>
        <w:spacing w:line="360" w:lineRule="auto"/>
        <w:jc w:val="center"/>
        <w:rPr>
          <w:rFonts w:ascii="Arial" w:hAnsi="Arial" w:cs="Arial"/>
          <w:b/>
          <w:bCs/>
        </w:rPr>
      </w:pPr>
      <w:r w:rsidRPr="00075381">
        <w:rPr>
          <w:rFonts w:ascii="Arial" w:hAnsi="Arial" w:cs="Arial"/>
          <w:b/>
          <w:bCs/>
        </w:rPr>
        <w:lastRenderedPageBreak/>
        <w:t>Conclusion</w:t>
      </w:r>
      <w:r w:rsidR="0014227E" w:rsidRPr="00075381">
        <w:rPr>
          <w:rFonts w:ascii="Arial" w:hAnsi="Arial" w:cs="Arial"/>
          <w:b/>
          <w:bCs/>
        </w:rPr>
        <w:t>.</w:t>
      </w:r>
    </w:p>
    <w:p w14:paraId="3E484C6A" w14:textId="650FBE46" w:rsidR="005335E8" w:rsidRPr="00075381" w:rsidRDefault="008D447C" w:rsidP="000E62C5">
      <w:pPr>
        <w:spacing w:line="360" w:lineRule="auto"/>
        <w:jc w:val="both"/>
        <w:rPr>
          <w:rFonts w:ascii="Arial" w:hAnsi="Arial" w:cs="Arial"/>
        </w:rPr>
      </w:pPr>
      <w:r w:rsidRPr="00075381">
        <w:rPr>
          <w:rFonts w:ascii="Arial" w:hAnsi="Arial" w:cs="Arial"/>
        </w:rPr>
        <w:t>In conclusion, Mrs Thompson’s case demonstrates that safe and person-centred care depends on effective communication, accurate record keeping and coordinated multidisciplinary working. Communication adapted to her mild dementia supports understanding, dignity and involvement in decisions, while timely documentation enables medication omissions and safeguarding concerns to be identified and addressed. Secure information sharing allows the domiciliary care worker, community nurse, GP and local council to contribute their expertise without compromising confidentiality. Although failures in communication or documentation could increase the risk of avoidable harm, clear professional responsibilities and collaborative practice promote continuity of care. Together, these measures protect Mrs Thompson’s wellbeing, independence and quality of life.</w:t>
      </w:r>
    </w:p>
    <w:p w14:paraId="32FBE3E3" w14:textId="77777777" w:rsidR="005335E8" w:rsidRPr="0014227E" w:rsidRDefault="005335E8" w:rsidP="000E62C5">
      <w:pPr>
        <w:spacing w:line="360" w:lineRule="auto"/>
        <w:jc w:val="both"/>
        <w:rPr>
          <w:rFonts w:ascii="Arial" w:hAnsi="Arial" w:cs="Arial"/>
        </w:rPr>
      </w:pPr>
    </w:p>
    <w:p w14:paraId="46E61741" w14:textId="77777777" w:rsidR="005335E8" w:rsidRPr="0014227E" w:rsidRDefault="005335E8" w:rsidP="000E62C5">
      <w:pPr>
        <w:spacing w:line="360" w:lineRule="auto"/>
        <w:jc w:val="both"/>
        <w:rPr>
          <w:rFonts w:ascii="Arial" w:hAnsi="Arial" w:cs="Arial"/>
        </w:rPr>
      </w:pPr>
    </w:p>
    <w:p w14:paraId="01994436" w14:textId="77777777" w:rsidR="005335E8" w:rsidRDefault="005335E8" w:rsidP="000E62C5">
      <w:pPr>
        <w:spacing w:line="360" w:lineRule="auto"/>
      </w:pPr>
    </w:p>
    <w:p w14:paraId="2AACA004" w14:textId="77777777" w:rsidR="005335E8" w:rsidRDefault="005335E8" w:rsidP="000E62C5">
      <w:pPr>
        <w:spacing w:line="360" w:lineRule="auto"/>
      </w:pPr>
    </w:p>
    <w:p w14:paraId="405205F4" w14:textId="77777777" w:rsidR="005335E8" w:rsidRDefault="005335E8" w:rsidP="000E62C5">
      <w:pPr>
        <w:spacing w:line="360" w:lineRule="auto"/>
      </w:pPr>
    </w:p>
    <w:p w14:paraId="1CABDAED" w14:textId="77777777" w:rsidR="005335E8" w:rsidRDefault="005335E8" w:rsidP="000E62C5">
      <w:pPr>
        <w:spacing w:line="360" w:lineRule="auto"/>
      </w:pPr>
    </w:p>
    <w:p w14:paraId="2CC7FD0B" w14:textId="77777777" w:rsidR="005335E8" w:rsidRDefault="005335E8" w:rsidP="000E62C5">
      <w:pPr>
        <w:spacing w:line="360" w:lineRule="auto"/>
      </w:pPr>
    </w:p>
    <w:p w14:paraId="2317A518" w14:textId="77777777" w:rsidR="005335E8" w:rsidRDefault="005335E8" w:rsidP="000E62C5">
      <w:pPr>
        <w:spacing w:line="360" w:lineRule="auto"/>
      </w:pPr>
    </w:p>
    <w:p w14:paraId="7DD3BD58" w14:textId="77777777" w:rsidR="005335E8" w:rsidRDefault="005335E8" w:rsidP="000E62C5">
      <w:pPr>
        <w:spacing w:line="360" w:lineRule="auto"/>
      </w:pPr>
    </w:p>
    <w:p w14:paraId="750C9AEC" w14:textId="77777777" w:rsidR="005335E8" w:rsidRDefault="005335E8" w:rsidP="000E62C5">
      <w:pPr>
        <w:spacing w:line="360" w:lineRule="auto"/>
      </w:pPr>
    </w:p>
    <w:p w14:paraId="41C8F726" w14:textId="77777777" w:rsidR="005335E8" w:rsidRDefault="005335E8" w:rsidP="000E62C5">
      <w:pPr>
        <w:spacing w:line="360" w:lineRule="auto"/>
      </w:pPr>
    </w:p>
    <w:p w14:paraId="7DAF105F" w14:textId="77777777" w:rsidR="005335E8" w:rsidRDefault="005335E8" w:rsidP="000E62C5">
      <w:pPr>
        <w:spacing w:line="360" w:lineRule="auto"/>
      </w:pPr>
    </w:p>
    <w:p w14:paraId="5B9D6136" w14:textId="77777777" w:rsidR="005335E8" w:rsidRDefault="005335E8" w:rsidP="000E62C5">
      <w:pPr>
        <w:spacing w:line="360" w:lineRule="auto"/>
      </w:pPr>
    </w:p>
    <w:p w14:paraId="0B82F21F" w14:textId="77777777" w:rsidR="005335E8" w:rsidRDefault="005335E8" w:rsidP="000E62C5">
      <w:pPr>
        <w:spacing w:line="360" w:lineRule="auto"/>
      </w:pPr>
    </w:p>
    <w:p w14:paraId="45B2D8D8" w14:textId="77777777" w:rsidR="005335E8" w:rsidRDefault="005335E8" w:rsidP="000E62C5">
      <w:pPr>
        <w:spacing w:line="360" w:lineRule="auto"/>
      </w:pPr>
    </w:p>
    <w:p w14:paraId="1BC7F7BA" w14:textId="77777777" w:rsidR="005335E8" w:rsidRDefault="005335E8" w:rsidP="000E62C5">
      <w:pPr>
        <w:spacing w:line="360" w:lineRule="auto"/>
      </w:pPr>
    </w:p>
    <w:p w14:paraId="40BAEC55" w14:textId="77777777" w:rsidR="005335E8" w:rsidRPr="00925F4C" w:rsidRDefault="005335E8" w:rsidP="000E62C5">
      <w:pPr>
        <w:spacing w:line="360" w:lineRule="auto"/>
        <w:rPr>
          <w:b/>
          <w:bCs/>
        </w:rPr>
      </w:pPr>
    </w:p>
    <w:p w14:paraId="27361BC8" w14:textId="76F742F2" w:rsidR="005335E8" w:rsidRPr="00BF0B8B" w:rsidRDefault="00925F4C" w:rsidP="00BF0B8B">
      <w:pPr>
        <w:spacing w:line="360" w:lineRule="auto"/>
        <w:jc w:val="center"/>
        <w:rPr>
          <w:b/>
          <w:bCs/>
        </w:rPr>
      </w:pPr>
      <w:r w:rsidRPr="00925F4C">
        <w:rPr>
          <w:b/>
          <w:bCs/>
        </w:rPr>
        <w:lastRenderedPageBreak/>
        <w:t>Citations.</w:t>
      </w:r>
    </w:p>
    <w:p w14:paraId="7BF7378F" w14:textId="6A21A14E" w:rsidR="008B071C" w:rsidRDefault="004E0CA0" w:rsidP="000E62C5">
      <w:pPr>
        <w:spacing w:line="360" w:lineRule="auto"/>
      </w:pPr>
      <w:r>
        <w:t>1.</w:t>
      </w:r>
      <w:r w:rsidR="008B071C">
        <w:t>Berlo, D.K. (1960) The Process of Communication: An Introduction to Theory and Practice. New York: Holt, Rinehart and Winston.</w:t>
      </w:r>
    </w:p>
    <w:p w14:paraId="737B7C0C" w14:textId="7E0AEB54" w:rsidR="008B071C" w:rsidRPr="008B071C" w:rsidRDefault="004E0CA0" w:rsidP="000E62C5">
      <w:pPr>
        <w:spacing w:line="360" w:lineRule="auto"/>
        <w:rPr>
          <w:lang w:val="es-SV"/>
        </w:rPr>
      </w:pPr>
      <w:r>
        <w:t>2.</w:t>
      </w:r>
      <w:r w:rsidR="00497C42" w:rsidRPr="00113DCF">
        <w:t xml:space="preserve">Burtscher, M.J. </w:t>
      </w:r>
      <w:r w:rsidR="00497C42" w:rsidRPr="00113DCF">
        <w:rPr>
          <w:i/>
          <w:iCs/>
        </w:rPr>
        <w:t>et al.</w:t>
      </w:r>
      <w:r w:rsidR="00497C42" w:rsidRPr="00113DCF">
        <w:t xml:space="preserve"> (2020) “Coordination and Communication in Healthcare Action Teams: The Role of Expertise,” </w:t>
      </w:r>
      <w:r w:rsidR="00497C42" w:rsidRPr="00113DCF">
        <w:rPr>
          <w:i/>
          <w:iCs/>
        </w:rPr>
        <w:t>Swiss journal of psychology</w:t>
      </w:r>
      <w:r w:rsidR="00497C42" w:rsidRPr="00113DCF">
        <w:t xml:space="preserve">, 79(3–4), pp. 123–135. </w:t>
      </w:r>
      <w:r w:rsidR="00DD6462" w:rsidRPr="00D34CA7">
        <w:t xml:space="preserve">Available at: </w:t>
      </w:r>
      <w:r w:rsidR="00DD6462">
        <w:t xml:space="preserve"> </w:t>
      </w:r>
      <w:hyperlink r:id="rId9" w:history="1">
        <w:r w:rsidR="00524386" w:rsidRPr="005D7174">
          <w:rPr>
            <w:rStyle w:val="Hipervnculo"/>
            <w:lang w:val="es-SV"/>
          </w:rPr>
          <w:t>https://doi.org/10.1024/1421-0185/a000239</w:t>
        </w:r>
      </w:hyperlink>
      <w:r w:rsidR="00497C42" w:rsidRPr="00497C42">
        <w:rPr>
          <w:lang w:val="es-SV"/>
        </w:rPr>
        <w:t>.</w:t>
      </w:r>
      <w:r w:rsidR="00497C42">
        <w:rPr>
          <w:lang w:val="es-SV"/>
        </w:rPr>
        <w:t xml:space="preserve"> </w:t>
      </w:r>
    </w:p>
    <w:p w14:paraId="6352E047" w14:textId="16192E75" w:rsidR="008B071C" w:rsidRDefault="004E0CA0" w:rsidP="000E62C5">
      <w:pPr>
        <w:spacing w:line="360" w:lineRule="auto"/>
      </w:pPr>
      <w:r>
        <w:t>3.</w:t>
      </w:r>
      <w:r w:rsidR="008B071C">
        <w:t>Department of Health and Social Care (2013) The Information Governance Review: To Share or Not to Share? The Information Governance Review (Caldicott 2). London: DHSC.</w:t>
      </w:r>
    </w:p>
    <w:p w14:paraId="7D72F0CF" w14:textId="336BEA36" w:rsidR="008B071C" w:rsidRDefault="004E0CA0" w:rsidP="000E62C5">
      <w:pPr>
        <w:spacing w:line="360" w:lineRule="auto"/>
      </w:pPr>
      <w:r>
        <w:t>4.</w:t>
      </w:r>
      <w:r w:rsidR="008B071C">
        <w:t>Equality Act 2010. London: The Stationery Office.</w:t>
      </w:r>
    </w:p>
    <w:p w14:paraId="67159DC8" w14:textId="2E7B46FF" w:rsidR="00417969" w:rsidRDefault="004E0CA0" w:rsidP="000E62C5">
      <w:pPr>
        <w:spacing w:line="360" w:lineRule="auto"/>
        <w:rPr>
          <w:rFonts w:ascii="Arial" w:hAnsi="Arial" w:cs="Arial"/>
        </w:rPr>
      </w:pPr>
      <w:r>
        <w:rPr>
          <w:rFonts w:ascii="Arial" w:hAnsi="Arial" w:cs="Arial"/>
        </w:rPr>
        <w:t>5.</w:t>
      </w:r>
      <w:r w:rsidR="00417969" w:rsidRPr="00E20840">
        <w:rPr>
          <w:rFonts w:ascii="Arial" w:hAnsi="Arial" w:cs="Arial"/>
        </w:rPr>
        <w:t xml:space="preserve">Glasby, J. 2026. TWO Origins of community health and social care. </w:t>
      </w:r>
      <w:r w:rsidR="00417969" w:rsidRPr="00E20840">
        <w:rPr>
          <w:rFonts w:ascii="Arial" w:hAnsi="Arial" w:cs="Arial"/>
          <w:i/>
          <w:iCs/>
        </w:rPr>
        <w:t>Understanding Health and Social Care (Fourth edition)</w:t>
      </w:r>
      <w:r w:rsidR="00417969" w:rsidRPr="00E20840">
        <w:rPr>
          <w:rFonts w:ascii="Arial" w:hAnsi="Arial" w:cs="Arial"/>
        </w:rPr>
        <w:t xml:space="preserve">. Bristol, UK: Policy Press, pp. 13-40. </w:t>
      </w:r>
      <w:hyperlink r:id="rId10" w:history="1">
        <w:r w:rsidR="00417969" w:rsidRPr="00E20840">
          <w:rPr>
            <w:rStyle w:val="Hipervnculo"/>
            <w:rFonts w:ascii="Arial" w:hAnsi="Arial" w:cs="Arial"/>
          </w:rPr>
          <w:t>https://doi-org.uwtsd.idm.oclc.org/10.56687/9781447379430-007</w:t>
        </w:r>
      </w:hyperlink>
    </w:p>
    <w:p w14:paraId="6EED0F3A" w14:textId="4B7E4BC3" w:rsidR="008B071C" w:rsidRDefault="004E0CA0" w:rsidP="000E62C5">
      <w:pPr>
        <w:spacing w:line="360" w:lineRule="auto"/>
      </w:pPr>
      <w:r>
        <w:t>6.</w:t>
      </w:r>
      <w:r w:rsidR="008B071C">
        <w:t>Nursing and Midwifery Council (2018) The Code: Professional Standards of Practice and Behaviour for Nurses, Midwives and Nursing Associates. London: Nursing and Midwifery Council.</w:t>
      </w:r>
    </w:p>
    <w:p w14:paraId="176E136B" w14:textId="2F478188" w:rsidR="008B071C" w:rsidRPr="00D34CA7" w:rsidRDefault="004E0CA0" w:rsidP="000E62C5">
      <w:pPr>
        <w:spacing w:line="360" w:lineRule="auto"/>
      </w:pPr>
      <w:r>
        <w:t>7.</w:t>
      </w:r>
      <w:r w:rsidR="008B071C">
        <w:t>NHS England (</w:t>
      </w:r>
      <w:r w:rsidR="00122677">
        <w:t>2023</w:t>
      </w:r>
      <w:r w:rsidR="008B071C">
        <w:t xml:space="preserve">) Good communication with patients. </w:t>
      </w:r>
      <w:r w:rsidR="008B071C" w:rsidRPr="00D34CA7">
        <w:t xml:space="preserve">Available at: </w:t>
      </w:r>
      <w:hyperlink r:id="rId11" w:history="1">
        <w:r w:rsidR="00D34CA7" w:rsidRPr="00D34CA7">
          <w:rPr>
            <w:rStyle w:val="Hipervnculo"/>
          </w:rPr>
          <w:t>NHS England » Good communication with patients waiting for care: core principles</w:t>
        </w:r>
      </w:hyperlink>
      <w:r w:rsidR="008B071C" w:rsidRPr="00D34CA7">
        <w:t xml:space="preserve"> (Accessed:</w:t>
      </w:r>
      <w:r w:rsidR="00D76759" w:rsidRPr="00D34CA7">
        <w:t>02/07/2023</w:t>
      </w:r>
      <w:r w:rsidR="008B071C" w:rsidRPr="00D34CA7">
        <w:t>).</w:t>
      </w:r>
    </w:p>
    <w:p w14:paraId="74EBA059" w14:textId="0D37DB78" w:rsidR="008B071C" w:rsidRDefault="004E0CA0" w:rsidP="000E62C5">
      <w:pPr>
        <w:spacing w:line="360" w:lineRule="auto"/>
      </w:pPr>
      <w:r>
        <w:t>8.</w:t>
      </w:r>
      <w:r w:rsidR="008B071C">
        <w:t>UK General Data Protection Regulation (UK GDPR).</w:t>
      </w:r>
    </w:p>
    <w:p w14:paraId="5C794140" w14:textId="043ABB6A" w:rsidR="00DB7B76" w:rsidRDefault="004E0CA0" w:rsidP="000E62C5">
      <w:pPr>
        <w:spacing w:line="360" w:lineRule="auto"/>
      </w:pPr>
      <w:r>
        <w:t>9.</w:t>
      </w:r>
      <w:r w:rsidR="008B071C">
        <w:t>Data Protection Act 2018. London: The Stationery Office.</w:t>
      </w:r>
    </w:p>
    <w:p w14:paraId="47E97A59" w14:textId="77777777" w:rsidR="00DB030B" w:rsidRDefault="00DB030B" w:rsidP="000E62C5">
      <w:pPr>
        <w:spacing w:line="360" w:lineRule="auto"/>
      </w:pPr>
    </w:p>
    <w:p w14:paraId="288997C5" w14:textId="77777777" w:rsidR="004E0CA0" w:rsidRDefault="004E0CA0" w:rsidP="000E62C5">
      <w:pPr>
        <w:spacing w:line="360" w:lineRule="auto"/>
      </w:pPr>
    </w:p>
    <w:p w14:paraId="53996AE9" w14:textId="6714157A" w:rsidR="004E0CA0" w:rsidRDefault="004E0CA0" w:rsidP="00BE0089"/>
    <w:p w14:paraId="05E11D76" w14:textId="77777777" w:rsidR="004E0CA0" w:rsidRDefault="004E0CA0" w:rsidP="00BE0089"/>
    <w:p w14:paraId="6B009ED4" w14:textId="77777777" w:rsidR="004E0CA0" w:rsidRDefault="004E0CA0" w:rsidP="00BE0089"/>
    <w:p w14:paraId="76C1F73B" w14:textId="77777777" w:rsidR="004E0CA0" w:rsidRDefault="004E0CA0" w:rsidP="00BE0089"/>
    <w:p w14:paraId="67EF8834" w14:textId="77777777" w:rsidR="004E0CA0" w:rsidRDefault="004E0CA0" w:rsidP="00BE0089"/>
    <w:p w14:paraId="6DDBC3B2" w14:textId="77777777" w:rsidR="004E0CA0" w:rsidRDefault="004E0CA0" w:rsidP="00BE0089"/>
    <w:p w14:paraId="585AFC23" w14:textId="77777777" w:rsidR="004E0CA0" w:rsidRDefault="004E0CA0" w:rsidP="00BE0089"/>
    <w:p w14:paraId="33F3B420" w14:textId="77777777" w:rsidR="00BE0089" w:rsidRDefault="00BE0089" w:rsidP="00BE0089"/>
    <w:sectPr w:rsidR="00BE0089">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CF3F38" w14:textId="77777777" w:rsidR="00AF4613" w:rsidRDefault="00AF4613" w:rsidP="00A14C78">
      <w:pPr>
        <w:spacing w:after="0" w:line="240" w:lineRule="auto"/>
      </w:pPr>
      <w:r>
        <w:separator/>
      </w:r>
    </w:p>
  </w:endnote>
  <w:endnote w:type="continuationSeparator" w:id="0">
    <w:p w14:paraId="7F51562E" w14:textId="77777777" w:rsidR="00AF4613" w:rsidRDefault="00AF4613" w:rsidP="00A14C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41596022"/>
      <w:docPartObj>
        <w:docPartGallery w:val="Page Numbers (Bottom of Page)"/>
        <w:docPartUnique/>
      </w:docPartObj>
    </w:sdtPr>
    <w:sdtContent>
      <w:p w14:paraId="51FF753A" w14:textId="55455C5E" w:rsidR="00A14C78" w:rsidRDefault="00A14C78">
        <w:pPr>
          <w:pStyle w:val="Piedepgina"/>
          <w:jc w:val="right"/>
        </w:pPr>
        <w:r>
          <w:fldChar w:fldCharType="begin"/>
        </w:r>
        <w:r>
          <w:instrText>PAGE   \* MERGEFORMAT</w:instrText>
        </w:r>
        <w:r>
          <w:fldChar w:fldCharType="separate"/>
        </w:r>
        <w:r>
          <w:rPr>
            <w:lang w:val="es-ES"/>
          </w:rPr>
          <w:t>2</w:t>
        </w:r>
        <w:r>
          <w:fldChar w:fldCharType="end"/>
        </w:r>
      </w:p>
    </w:sdtContent>
  </w:sdt>
  <w:p w14:paraId="7F409F50" w14:textId="77777777" w:rsidR="00A14C78" w:rsidRDefault="00A14C78">
    <w:pPr>
      <w:pStyle w:val="Piedep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1A1968" w14:textId="77777777" w:rsidR="00AF4613" w:rsidRDefault="00AF4613" w:rsidP="00A14C78">
      <w:pPr>
        <w:spacing w:after="0" w:line="240" w:lineRule="auto"/>
      </w:pPr>
      <w:r>
        <w:separator/>
      </w:r>
    </w:p>
  </w:footnote>
  <w:footnote w:type="continuationSeparator" w:id="0">
    <w:p w14:paraId="470F0831" w14:textId="77777777" w:rsidR="00AF4613" w:rsidRDefault="00AF4613" w:rsidP="00A14C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5BC58D8"/>
    <w:multiLevelType w:val="multilevel"/>
    <w:tmpl w:val="4B66FA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454364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23BF"/>
    <w:rsid w:val="00026B15"/>
    <w:rsid w:val="0006511C"/>
    <w:rsid w:val="00075381"/>
    <w:rsid w:val="000E62C5"/>
    <w:rsid w:val="000F7D06"/>
    <w:rsid w:val="00113DCF"/>
    <w:rsid w:val="00122677"/>
    <w:rsid w:val="0014227E"/>
    <w:rsid w:val="00214F83"/>
    <w:rsid w:val="00255CE5"/>
    <w:rsid w:val="002B6FB6"/>
    <w:rsid w:val="002E34FE"/>
    <w:rsid w:val="003E0267"/>
    <w:rsid w:val="004052CE"/>
    <w:rsid w:val="004163C2"/>
    <w:rsid w:val="00417969"/>
    <w:rsid w:val="004302C2"/>
    <w:rsid w:val="00447355"/>
    <w:rsid w:val="0049551B"/>
    <w:rsid w:val="00497C42"/>
    <w:rsid w:val="004B0D77"/>
    <w:rsid w:val="004B3667"/>
    <w:rsid w:val="004E0CA0"/>
    <w:rsid w:val="004E3492"/>
    <w:rsid w:val="00524386"/>
    <w:rsid w:val="005335E8"/>
    <w:rsid w:val="00613E6C"/>
    <w:rsid w:val="006F00D0"/>
    <w:rsid w:val="007B0BC6"/>
    <w:rsid w:val="007C03A5"/>
    <w:rsid w:val="008013AD"/>
    <w:rsid w:val="008B071C"/>
    <w:rsid w:val="008D447C"/>
    <w:rsid w:val="008E23BF"/>
    <w:rsid w:val="00925F4C"/>
    <w:rsid w:val="0093554C"/>
    <w:rsid w:val="009A507D"/>
    <w:rsid w:val="009B10BC"/>
    <w:rsid w:val="009B1DFC"/>
    <w:rsid w:val="00A14C78"/>
    <w:rsid w:val="00A158CC"/>
    <w:rsid w:val="00A642B3"/>
    <w:rsid w:val="00AA3AF9"/>
    <w:rsid w:val="00AF4613"/>
    <w:rsid w:val="00BC7214"/>
    <w:rsid w:val="00BE0089"/>
    <w:rsid w:val="00BF0B8B"/>
    <w:rsid w:val="00C703CB"/>
    <w:rsid w:val="00D34CA7"/>
    <w:rsid w:val="00D76759"/>
    <w:rsid w:val="00D81346"/>
    <w:rsid w:val="00DB030B"/>
    <w:rsid w:val="00DB7B76"/>
    <w:rsid w:val="00DD6462"/>
    <w:rsid w:val="00E82276"/>
    <w:rsid w:val="00EB2109"/>
    <w:rsid w:val="00F3246D"/>
    <w:rsid w:val="00F430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40AE05"/>
  <w15:chartTrackingRefBased/>
  <w15:docId w15:val="{9F0543B7-B66D-45E4-8EB2-AC51F062F8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tulo1">
    <w:name w:val="heading 1"/>
    <w:basedOn w:val="Normal"/>
    <w:next w:val="Normal"/>
    <w:link w:val="Ttulo1Car"/>
    <w:uiPriority w:val="9"/>
    <w:qFormat/>
    <w:rsid w:val="008E23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tulo2">
    <w:name w:val="heading 2"/>
    <w:basedOn w:val="Normal"/>
    <w:next w:val="Normal"/>
    <w:link w:val="Ttulo2Car"/>
    <w:uiPriority w:val="9"/>
    <w:semiHidden/>
    <w:unhideWhenUsed/>
    <w:qFormat/>
    <w:rsid w:val="008E23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tulo3">
    <w:name w:val="heading 3"/>
    <w:basedOn w:val="Normal"/>
    <w:next w:val="Normal"/>
    <w:link w:val="Ttulo3Car"/>
    <w:uiPriority w:val="9"/>
    <w:semiHidden/>
    <w:unhideWhenUsed/>
    <w:qFormat/>
    <w:rsid w:val="008E23BF"/>
    <w:pPr>
      <w:keepNext/>
      <w:keepLines/>
      <w:spacing w:before="160" w:after="80"/>
      <w:outlineLvl w:val="2"/>
    </w:pPr>
    <w:rPr>
      <w:rFonts w:eastAsiaTheme="majorEastAsia" w:cstheme="majorBidi"/>
      <w:color w:val="0F4761" w:themeColor="accent1" w:themeShade="BF"/>
      <w:sz w:val="28"/>
      <w:szCs w:val="28"/>
    </w:rPr>
  </w:style>
  <w:style w:type="paragraph" w:styleId="Ttulo4">
    <w:name w:val="heading 4"/>
    <w:basedOn w:val="Normal"/>
    <w:next w:val="Normal"/>
    <w:link w:val="Ttulo4Car"/>
    <w:uiPriority w:val="9"/>
    <w:semiHidden/>
    <w:unhideWhenUsed/>
    <w:qFormat/>
    <w:rsid w:val="008E23BF"/>
    <w:pPr>
      <w:keepNext/>
      <w:keepLines/>
      <w:spacing w:before="80" w:after="40"/>
      <w:outlineLvl w:val="3"/>
    </w:pPr>
    <w:rPr>
      <w:rFonts w:eastAsiaTheme="majorEastAsia" w:cstheme="majorBidi"/>
      <w:i/>
      <w:iCs/>
      <w:color w:val="0F4761" w:themeColor="accent1" w:themeShade="BF"/>
    </w:rPr>
  </w:style>
  <w:style w:type="paragraph" w:styleId="Ttulo5">
    <w:name w:val="heading 5"/>
    <w:basedOn w:val="Normal"/>
    <w:next w:val="Normal"/>
    <w:link w:val="Ttulo5Car"/>
    <w:uiPriority w:val="9"/>
    <w:semiHidden/>
    <w:unhideWhenUsed/>
    <w:qFormat/>
    <w:rsid w:val="008E23BF"/>
    <w:pPr>
      <w:keepNext/>
      <w:keepLines/>
      <w:spacing w:before="80" w:after="40"/>
      <w:outlineLvl w:val="4"/>
    </w:pPr>
    <w:rPr>
      <w:rFonts w:eastAsiaTheme="majorEastAsia" w:cstheme="majorBidi"/>
      <w:color w:val="0F4761" w:themeColor="accent1" w:themeShade="BF"/>
    </w:rPr>
  </w:style>
  <w:style w:type="paragraph" w:styleId="Ttulo6">
    <w:name w:val="heading 6"/>
    <w:basedOn w:val="Normal"/>
    <w:next w:val="Normal"/>
    <w:link w:val="Ttulo6Car"/>
    <w:uiPriority w:val="9"/>
    <w:semiHidden/>
    <w:unhideWhenUsed/>
    <w:qFormat/>
    <w:rsid w:val="008E23BF"/>
    <w:pPr>
      <w:keepNext/>
      <w:keepLines/>
      <w:spacing w:before="40" w:after="0"/>
      <w:outlineLvl w:val="5"/>
    </w:pPr>
    <w:rPr>
      <w:rFonts w:eastAsiaTheme="majorEastAsia" w:cstheme="majorBidi"/>
      <w:i/>
      <w:iCs/>
      <w:color w:val="595959" w:themeColor="text1" w:themeTint="A6"/>
    </w:rPr>
  </w:style>
  <w:style w:type="paragraph" w:styleId="Ttulo7">
    <w:name w:val="heading 7"/>
    <w:basedOn w:val="Normal"/>
    <w:next w:val="Normal"/>
    <w:link w:val="Ttulo7Car"/>
    <w:uiPriority w:val="9"/>
    <w:semiHidden/>
    <w:unhideWhenUsed/>
    <w:qFormat/>
    <w:rsid w:val="008E23BF"/>
    <w:pPr>
      <w:keepNext/>
      <w:keepLines/>
      <w:spacing w:before="40" w:after="0"/>
      <w:outlineLvl w:val="6"/>
    </w:pPr>
    <w:rPr>
      <w:rFonts w:eastAsiaTheme="majorEastAsia" w:cstheme="majorBidi"/>
      <w:color w:val="595959" w:themeColor="text1" w:themeTint="A6"/>
    </w:rPr>
  </w:style>
  <w:style w:type="paragraph" w:styleId="Ttulo8">
    <w:name w:val="heading 8"/>
    <w:basedOn w:val="Normal"/>
    <w:next w:val="Normal"/>
    <w:link w:val="Ttulo8Car"/>
    <w:uiPriority w:val="9"/>
    <w:semiHidden/>
    <w:unhideWhenUsed/>
    <w:qFormat/>
    <w:rsid w:val="008E23BF"/>
    <w:pPr>
      <w:keepNext/>
      <w:keepLines/>
      <w:spacing w:after="0"/>
      <w:outlineLvl w:val="7"/>
    </w:pPr>
    <w:rPr>
      <w:rFonts w:eastAsiaTheme="majorEastAsia" w:cstheme="majorBidi"/>
      <w:i/>
      <w:iCs/>
      <w:color w:val="272727" w:themeColor="text1" w:themeTint="D8"/>
    </w:rPr>
  </w:style>
  <w:style w:type="paragraph" w:styleId="Ttulo9">
    <w:name w:val="heading 9"/>
    <w:basedOn w:val="Normal"/>
    <w:next w:val="Normal"/>
    <w:link w:val="Ttulo9Car"/>
    <w:uiPriority w:val="9"/>
    <w:semiHidden/>
    <w:unhideWhenUsed/>
    <w:qFormat/>
    <w:rsid w:val="008E23BF"/>
    <w:pPr>
      <w:keepNext/>
      <w:keepLines/>
      <w:spacing w:after="0"/>
      <w:outlineLvl w:val="8"/>
    </w:pPr>
    <w:rPr>
      <w:rFonts w:eastAsiaTheme="majorEastAsia" w:cstheme="majorBidi"/>
      <w:color w:val="272727" w:themeColor="text1" w:themeTint="D8"/>
    </w:rPr>
  </w:style>
  <w:style w:type="character" w:default="1" w:styleId="Fuentedeprrafopredeter">
    <w:name w:val="Default Paragraph Font"/>
    <w:uiPriority w:val="1"/>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1Car">
    <w:name w:val="Título 1 Car"/>
    <w:basedOn w:val="Fuentedeprrafopredeter"/>
    <w:link w:val="Ttulo1"/>
    <w:uiPriority w:val="9"/>
    <w:rsid w:val="008E23BF"/>
    <w:rPr>
      <w:rFonts w:asciiTheme="majorHAnsi" w:eastAsiaTheme="majorEastAsia" w:hAnsiTheme="majorHAnsi" w:cstheme="majorBidi"/>
      <w:color w:val="0F4761" w:themeColor="accent1" w:themeShade="BF"/>
      <w:sz w:val="40"/>
      <w:szCs w:val="40"/>
    </w:rPr>
  </w:style>
  <w:style w:type="character" w:customStyle="1" w:styleId="Ttulo2Car">
    <w:name w:val="Título 2 Car"/>
    <w:basedOn w:val="Fuentedeprrafopredeter"/>
    <w:link w:val="Ttulo2"/>
    <w:uiPriority w:val="9"/>
    <w:semiHidden/>
    <w:rsid w:val="008E23BF"/>
    <w:rPr>
      <w:rFonts w:asciiTheme="majorHAnsi" w:eastAsiaTheme="majorEastAsia" w:hAnsiTheme="majorHAnsi" w:cstheme="majorBidi"/>
      <w:color w:val="0F4761" w:themeColor="accent1" w:themeShade="BF"/>
      <w:sz w:val="32"/>
      <w:szCs w:val="32"/>
    </w:rPr>
  </w:style>
  <w:style w:type="character" w:customStyle="1" w:styleId="Ttulo3Car">
    <w:name w:val="Título 3 Car"/>
    <w:basedOn w:val="Fuentedeprrafopredeter"/>
    <w:link w:val="Ttulo3"/>
    <w:uiPriority w:val="9"/>
    <w:semiHidden/>
    <w:rsid w:val="008E23BF"/>
    <w:rPr>
      <w:rFonts w:eastAsiaTheme="majorEastAsia" w:cstheme="majorBidi"/>
      <w:color w:val="0F4761" w:themeColor="accent1" w:themeShade="BF"/>
      <w:sz w:val="28"/>
      <w:szCs w:val="28"/>
    </w:rPr>
  </w:style>
  <w:style w:type="character" w:customStyle="1" w:styleId="Ttulo4Car">
    <w:name w:val="Título 4 Car"/>
    <w:basedOn w:val="Fuentedeprrafopredeter"/>
    <w:link w:val="Ttulo4"/>
    <w:uiPriority w:val="9"/>
    <w:semiHidden/>
    <w:rsid w:val="008E23BF"/>
    <w:rPr>
      <w:rFonts w:eastAsiaTheme="majorEastAsia" w:cstheme="majorBidi"/>
      <w:i/>
      <w:iCs/>
      <w:color w:val="0F4761" w:themeColor="accent1" w:themeShade="BF"/>
    </w:rPr>
  </w:style>
  <w:style w:type="character" w:customStyle="1" w:styleId="Ttulo5Car">
    <w:name w:val="Título 5 Car"/>
    <w:basedOn w:val="Fuentedeprrafopredeter"/>
    <w:link w:val="Ttulo5"/>
    <w:uiPriority w:val="9"/>
    <w:semiHidden/>
    <w:rsid w:val="008E23BF"/>
    <w:rPr>
      <w:rFonts w:eastAsiaTheme="majorEastAsia" w:cstheme="majorBidi"/>
      <w:color w:val="0F4761" w:themeColor="accent1" w:themeShade="BF"/>
    </w:rPr>
  </w:style>
  <w:style w:type="character" w:customStyle="1" w:styleId="Ttulo6Car">
    <w:name w:val="Título 6 Car"/>
    <w:basedOn w:val="Fuentedeprrafopredeter"/>
    <w:link w:val="Ttulo6"/>
    <w:uiPriority w:val="9"/>
    <w:semiHidden/>
    <w:rsid w:val="008E23BF"/>
    <w:rPr>
      <w:rFonts w:eastAsiaTheme="majorEastAsia" w:cstheme="majorBidi"/>
      <w:i/>
      <w:iCs/>
      <w:color w:val="595959" w:themeColor="text1" w:themeTint="A6"/>
    </w:rPr>
  </w:style>
  <w:style w:type="character" w:customStyle="1" w:styleId="Ttulo7Car">
    <w:name w:val="Título 7 Car"/>
    <w:basedOn w:val="Fuentedeprrafopredeter"/>
    <w:link w:val="Ttulo7"/>
    <w:uiPriority w:val="9"/>
    <w:semiHidden/>
    <w:rsid w:val="008E23BF"/>
    <w:rPr>
      <w:rFonts w:eastAsiaTheme="majorEastAsia" w:cstheme="majorBidi"/>
      <w:color w:val="595959" w:themeColor="text1" w:themeTint="A6"/>
    </w:rPr>
  </w:style>
  <w:style w:type="character" w:customStyle="1" w:styleId="Ttulo8Car">
    <w:name w:val="Título 8 Car"/>
    <w:basedOn w:val="Fuentedeprrafopredeter"/>
    <w:link w:val="Ttulo8"/>
    <w:uiPriority w:val="9"/>
    <w:semiHidden/>
    <w:rsid w:val="008E23BF"/>
    <w:rPr>
      <w:rFonts w:eastAsiaTheme="majorEastAsia" w:cstheme="majorBidi"/>
      <w:i/>
      <w:iCs/>
      <w:color w:val="272727" w:themeColor="text1" w:themeTint="D8"/>
    </w:rPr>
  </w:style>
  <w:style w:type="character" w:customStyle="1" w:styleId="Ttulo9Car">
    <w:name w:val="Título 9 Car"/>
    <w:basedOn w:val="Fuentedeprrafopredeter"/>
    <w:link w:val="Ttulo9"/>
    <w:uiPriority w:val="9"/>
    <w:semiHidden/>
    <w:rsid w:val="008E23BF"/>
    <w:rPr>
      <w:rFonts w:eastAsiaTheme="majorEastAsia" w:cstheme="majorBidi"/>
      <w:color w:val="272727" w:themeColor="text1" w:themeTint="D8"/>
    </w:rPr>
  </w:style>
  <w:style w:type="paragraph" w:styleId="Ttulo">
    <w:name w:val="Title"/>
    <w:basedOn w:val="Normal"/>
    <w:next w:val="Normal"/>
    <w:link w:val="TtuloCar"/>
    <w:uiPriority w:val="10"/>
    <w:qFormat/>
    <w:rsid w:val="008E23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tuloCar">
    <w:name w:val="Título Car"/>
    <w:basedOn w:val="Fuentedeprrafopredeter"/>
    <w:link w:val="Ttulo"/>
    <w:uiPriority w:val="10"/>
    <w:rsid w:val="008E23BF"/>
    <w:rPr>
      <w:rFonts w:asciiTheme="majorHAnsi" w:eastAsiaTheme="majorEastAsia" w:hAnsiTheme="majorHAnsi" w:cstheme="majorBidi"/>
      <w:spacing w:val="-10"/>
      <w:kern w:val="28"/>
      <w:sz w:val="56"/>
      <w:szCs w:val="56"/>
    </w:rPr>
  </w:style>
  <w:style w:type="paragraph" w:styleId="Subttulo">
    <w:name w:val="Subtitle"/>
    <w:basedOn w:val="Normal"/>
    <w:next w:val="Normal"/>
    <w:link w:val="SubttuloCar"/>
    <w:uiPriority w:val="11"/>
    <w:qFormat/>
    <w:rsid w:val="008E23BF"/>
    <w:pPr>
      <w:numPr>
        <w:ilvl w:val="1"/>
      </w:numPr>
    </w:pPr>
    <w:rPr>
      <w:rFonts w:eastAsiaTheme="majorEastAsia" w:cstheme="majorBidi"/>
      <w:color w:val="595959" w:themeColor="text1" w:themeTint="A6"/>
      <w:spacing w:val="15"/>
      <w:sz w:val="28"/>
      <w:szCs w:val="28"/>
    </w:rPr>
  </w:style>
  <w:style w:type="character" w:customStyle="1" w:styleId="SubttuloCar">
    <w:name w:val="Subtítulo Car"/>
    <w:basedOn w:val="Fuentedeprrafopredeter"/>
    <w:link w:val="Subttulo"/>
    <w:uiPriority w:val="11"/>
    <w:rsid w:val="008E23BF"/>
    <w:rPr>
      <w:rFonts w:eastAsiaTheme="majorEastAsia" w:cstheme="majorBidi"/>
      <w:color w:val="595959" w:themeColor="text1" w:themeTint="A6"/>
      <w:spacing w:val="15"/>
      <w:sz w:val="28"/>
      <w:szCs w:val="28"/>
    </w:rPr>
  </w:style>
  <w:style w:type="paragraph" w:styleId="Cita">
    <w:name w:val="Quote"/>
    <w:basedOn w:val="Normal"/>
    <w:next w:val="Normal"/>
    <w:link w:val="CitaCar"/>
    <w:uiPriority w:val="29"/>
    <w:qFormat/>
    <w:rsid w:val="008E23BF"/>
    <w:pPr>
      <w:spacing w:before="160"/>
      <w:jc w:val="center"/>
    </w:pPr>
    <w:rPr>
      <w:i/>
      <w:iCs/>
      <w:color w:val="404040" w:themeColor="text1" w:themeTint="BF"/>
    </w:rPr>
  </w:style>
  <w:style w:type="character" w:customStyle="1" w:styleId="CitaCar">
    <w:name w:val="Cita Car"/>
    <w:basedOn w:val="Fuentedeprrafopredeter"/>
    <w:link w:val="Cita"/>
    <w:uiPriority w:val="29"/>
    <w:rsid w:val="008E23BF"/>
    <w:rPr>
      <w:i/>
      <w:iCs/>
      <w:color w:val="404040" w:themeColor="text1" w:themeTint="BF"/>
    </w:rPr>
  </w:style>
  <w:style w:type="paragraph" w:styleId="Prrafodelista">
    <w:name w:val="List Paragraph"/>
    <w:basedOn w:val="Normal"/>
    <w:uiPriority w:val="34"/>
    <w:qFormat/>
    <w:rsid w:val="008E23BF"/>
    <w:pPr>
      <w:ind w:left="720"/>
      <w:contextualSpacing/>
    </w:pPr>
  </w:style>
  <w:style w:type="character" w:styleId="nfasisintenso">
    <w:name w:val="Intense Emphasis"/>
    <w:basedOn w:val="Fuentedeprrafopredeter"/>
    <w:uiPriority w:val="21"/>
    <w:qFormat/>
    <w:rsid w:val="008E23BF"/>
    <w:rPr>
      <w:i/>
      <w:iCs/>
      <w:color w:val="0F4761" w:themeColor="accent1" w:themeShade="BF"/>
    </w:rPr>
  </w:style>
  <w:style w:type="paragraph" w:styleId="Citadestacada">
    <w:name w:val="Intense Quote"/>
    <w:basedOn w:val="Normal"/>
    <w:next w:val="Normal"/>
    <w:link w:val="CitadestacadaCar"/>
    <w:uiPriority w:val="30"/>
    <w:qFormat/>
    <w:rsid w:val="008E23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destacadaCar">
    <w:name w:val="Cita destacada Car"/>
    <w:basedOn w:val="Fuentedeprrafopredeter"/>
    <w:link w:val="Citadestacada"/>
    <w:uiPriority w:val="30"/>
    <w:rsid w:val="008E23BF"/>
    <w:rPr>
      <w:i/>
      <w:iCs/>
      <w:color w:val="0F4761" w:themeColor="accent1" w:themeShade="BF"/>
    </w:rPr>
  </w:style>
  <w:style w:type="character" w:styleId="Referenciaintensa">
    <w:name w:val="Intense Reference"/>
    <w:basedOn w:val="Fuentedeprrafopredeter"/>
    <w:uiPriority w:val="32"/>
    <w:qFormat/>
    <w:rsid w:val="008E23BF"/>
    <w:rPr>
      <w:b/>
      <w:bCs/>
      <w:smallCaps/>
      <w:color w:val="0F4761" w:themeColor="accent1" w:themeShade="BF"/>
      <w:spacing w:val="5"/>
    </w:rPr>
  </w:style>
  <w:style w:type="character" w:styleId="Hipervnculo">
    <w:name w:val="Hyperlink"/>
    <w:basedOn w:val="Fuentedeprrafopredeter"/>
    <w:uiPriority w:val="99"/>
    <w:unhideWhenUsed/>
    <w:rsid w:val="008E23BF"/>
    <w:rPr>
      <w:color w:val="467886" w:themeColor="hyperlink"/>
      <w:u w:val="single"/>
    </w:rPr>
  </w:style>
  <w:style w:type="character" w:styleId="Mencinsinresolver">
    <w:name w:val="Unresolved Mention"/>
    <w:basedOn w:val="Fuentedeprrafopredeter"/>
    <w:uiPriority w:val="99"/>
    <w:semiHidden/>
    <w:unhideWhenUsed/>
    <w:rsid w:val="008E23BF"/>
    <w:rPr>
      <w:color w:val="605E5C"/>
      <w:shd w:val="clear" w:color="auto" w:fill="E1DFDD"/>
    </w:rPr>
  </w:style>
  <w:style w:type="character" w:styleId="Hipervnculovisitado">
    <w:name w:val="FollowedHyperlink"/>
    <w:basedOn w:val="Fuentedeprrafopredeter"/>
    <w:uiPriority w:val="99"/>
    <w:semiHidden/>
    <w:unhideWhenUsed/>
    <w:rsid w:val="00122677"/>
    <w:rPr>
      <w:color w:val="96607D" w:themeColor="followedHyperlink"/>
      <w:u w:val="single"/>
    </w:rPr>
  </w:style>
  <w:style w:type="paragraph" w:styleId="Encabezado">
    <w:name w:val="header"/>
    <w:basedOn w:val="Normal"/>
    <w:link w:val="EncabezadoCar"/>
    <w:uiPriority w:val="99"/>
    <w:unhideWhenUsed/>
    <w:rsid w:val="00A14C78"/>
    <w:pPr>
      <w:tabs>
        <w:tab w:val="center" w:pos="4513"/>
        <w:tab w:val="right" w:pos="9026"/>
      </w:tabs>
      <w:spacing w:after="0" w:line="240" w:lineRule="auto"/>
    </w:pPr>
  </w:style>
  <w:style w:type="character" w:customStyle="1" w:styleId="EncabezadoCar">
    <w:name w:val="Encabezado Car"/>
    <w:basedOn w:val="Fuentedeprrafopredeter"/>
    <w:link w:val="Encabezado"/>
    <w:uiPriority w:val="99"/>
    <w:rsid w:val="00A14C78"/>
  </w:style>
  <w:style w:type="paragraph" w:styleId="Piedepgina">
    <w:name w:val="footer"/>
    <w:basedOn w:val="Normal"/>
    <w:link w:val="PiedepginaCar"/>
    <w:uiPriority w:val="99"/>
    <w:unhideWhenUsed/>
    <w:rsid w:val="00A14C78"/>
    <w:pPr>
      <w:tabs>
        <w:tab w:val="center" w:pos="4513"/>
        <w:tab w:val="right" w:pos="9026"/>
      </w:tabs>
      <w:spacing w:after="0" w:line="240" w:lineRule="auto"/>
    </w:pPr>
  </w:style>
  <w:style w:type="character" w:customStyle="1" w:styleId="PiedepginaCar">
    <w:name w:val="Pie de página Car"/>
    <w:basedOn w:val="Fuentedeprrafopredeter"/>
    <w:link w:val="Piedepgina"/>
    <w:uiPriority w:val="99"/>
    <w:rsid w:val="00A14C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ngland.nhs.uk/long-read/good-communication-with-patients-waiting-for-care-core-principles/" TargetMode="External"/><Relationship Id="rId5" Type="http://schemas.openxmlformats.org/officeDocument/2006/relationships/webSettings" Target="webSettings.xml"/><Relationship Id="rId10" Type="http://schemas.openxmlformats.org/officeDocument/2006/relationships/hyperlink" Target="https://doi-org.uwtsd.idm.oclc.org/10.56687/9781447379430-007" TargetMode="External"/><Relationship Id="rId4" Type="http://schemas.openxmlformats.org/officeDocument/2006/relationships/settings" Target="settings.xml"/><Relationship Id="rId9" Type="http://schemas.openxmlformats.org/officeDocument/2006/relationships/hyperlink" Target="https://doi.org/10.1024/1421-0185/a000239"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5B60FF-5958-4B5D-8462-F3E476FA8F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97</TotalTime>
  <Pages>8</Pages>
  <Words>2030</Words>
  <Characters>11577</Characters>
  <Application>Microsoft Office Word</Application>
  <DocSecurity>0</DocSecurity>
  <Lines>96</Lines>
  <Paragraphs>27</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13580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Katya Pleitez</dc:creator>
  <cp:keywords/>
  <dc:description/>
  <cp:lastModifiedBy>Katya Pleitez</cp:lastModifiedBy>
  <cp:revision>47</cp:revision>
  <dcterms:created xsi:type="dcterms:W3CDTF">2026-07-17T22:40:00Z</dcterms:created>
  <dcterms:modified xsi:type="dcterms:W3CDTF">2026-07-18T10:16:00Z</dcterms:modified>
</cp:coreProperties>
</file>