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6CC37" w14:textId="57E14ED1" w:rsidR="003768C1" w:rsidRPr="007201D7" w:rsidRDefault="00A664F7">
      <w:pPr>
        <w:rPr>
          <w:b/>
          <w:bCs/>
        </w:rPr>
      </w:pPr>
      <w:r w:rsidRPr="007201D7">
        <w:rPr>
          <w:b/>
          <w:bCs/>
        </w:rPr>
        <w:t>References</w:t>
      </w:r>
    </w:p>
    <w:p w14:paraId="7866E680" w14:textId="77777777" w:rsidR="007201D7" w:rsidRDefault="007201D7" w:rsidP="00A664F7">
      <w:pPr>
        <w:spacing w:line="360" w:lineRule="auto"/>
      </w:pPr>
      <w:r>
        <w:t xml:space="preserve">Baumbach, L., Feddern, W., Grube, F., Hans-Helmet, K., Hajek, A., Klotz, R. G. S., (2025), ‘Facilitators and barriers for physiotherapists to engage in goal-setting with patients during their hospital stay – an explanatory sequential mixed methods study’, </w:t>
      </w:r>
      <w:r>
        <w:rPr>
          <w:i/>
          <w:iCs/>
        </w:rPr>
        <w:t xml:space="preserve">Physiotherapy Research International, </w:t>
      </w:r>
      <w:r>
        <w:t xml:space="preserve">Volume 30, (1), p.e70024, Available at: </w:t>
      </w:r>
      <w:r w:rsidRPr="0096538A">
        <w:t>https://doi-org.uwtsd.idm.oclc.org/10.1002/pri.70024</w:t>
      </w:r>
      <w:r>
        <w:t xml:space="preserve"> </w:t>
      </w:r>
    </w:p>
    <w:p w14:paraId="1EA5B357" w14:textId="73FD16B0" w:rsidR="007201D7" w:rsidRDefault="007201D7" w:rsidP="00A664F7">
      <w:pPr>
        <w:spacing w:line="360" w:lineRule="auto"/>
      </w:pPr>
      <w:r>
        <w:t xml:space="preserve">Dukhu, S., Purcell, C., and Bulley, C., (2018), ‘Person-centred care in the physiotherapeutic management of long-term conditions: a critical review of components, barriers and facilitators’, </w:t>
      </w:r>
      <w:r>
        <w:rPr>
          <w:i/>
          <w:iCs/>
        </w:rPr>
        <w:t xml:space="preserve">International Practice Development Journal, </w:t>
      </w:r>
      <w:r>
        <w:t xml:space="preserve">Volume 8, (2), Available at: </w:t>
      </w:r>
      <w:r w:rsidR="00E46ED4">
        <w:t>doi:10.19043/ipdj.82.002</w:t>
      </w:r>
    </w:p>
    <w:p w14:paraId="55DDC73A" w14:textId="77777777" w:rsidR="007201D7" w:rsidRDefault="007201D7" w:rsidP="00A664F7">
      <w:pPr>
        <w:spacing w:line="360" w:lineRule="auto"/>
      </w:pPr>
      <w:r>
        <w:t xml:space="preserve">Frenkel, M., Morse, B. M., and Narayanan, S., (2023), ‘Addressing patient requests to add dietary supplements to their cancer care – a suggested approach’, </w:t>
      </w:r>
      <w:r>
        <w:rPr>
          <w:i/>
          <w:iCs/>
        </w:rPr>
        <w:t xml:space="preserve">Nutrients, </w:t>
      </w:r>
      <w:r>
        <w:t xml:space="preserve">Volume 15, (24), Available at: doi:10.3390/nu15245029 </w:t>
      </w:r>
    </w:p>
    <w:p w14:paraId="3830E5DF" w14:textId="77777777" w:rsidR="007201D7" w:rsidRDefault="007201D7" w:rsidP="00A664F7">
      <w:pPr>
        <w:spacing w:line="360" w:lineRule="auto"/>
      </w:pPr>
      <w:r>
        <w:t xml:space="preserve">Grassi, L., Johansen, C., Annunziata, A, M., Capovilla, E., Costantini, A., Gritti, P., Torta, R., and Bellani, M., (2013), ‘Screening for distress in cancer patients’, </w:t>
      </w:r>
      <w:r>
        <w:rPr>
          <w:i/>
          <w:iCs/>
        </w:rPr>
        <w:t xml:space="preserve">Cancer Interdisciplinary International Journal of the American Cancer Society, </w:t>
      </w:r>
      <w:r>
        <w:t xml:space="preserve">Volume 19, (9), pp. 1714-1721, Available at: </w:t>
      </w:r>
      <w:r w:rsidRPr="002B0AED">
        <w:t>https://doi-org.uwtsd.idm.oclc.org/10.1002/cncr.27902</w:t>
      </w:r>
      <w:r>
        <w:t xml:space="preserve"> </w:t>
      </w:r>
    </w:p>
    <w:p w14:paraId="7C3917A0" w14:textId="00422703" w:rsidR="007201D7" w:rsidRPr="0032211A" w:rsidRDefault="0032211A" w:rsidP="00A664F7">
      <w:pPr>
        <w:spacing w:line="360" w:lineRule="auto"/>
      </w:pPr>
      <w:r>
        <w:t xml:space="preserve">Stephens, E., Leeroy, W., Lyn-Li, L., Allen, J., Zappa, B., Newnham, E., and Vivekananda, K., (2021), ‘Complex conversations in healthcare setting: experiences from an interprofessional workshop on clinician-patient communication skills’, </w:t>
      </w:r>
      <w:r>
        <w:rPr>
          <w:i/>
          <w:iCs/>
        </w:rPr>
        <w:t xml:space="preserve">BMC Medical Education, </w:t>
      </w:r>
      <w:r>
        <w:t xml:space="preserve">Volume 21, pp. 1-8, Available at: doi:10.1186/s12909-021-02785-7 </w:t>
      </w:r>
    </w:p>
    <w:sectPr w:rsidR="007201D7" w:rsidRPr="00322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4F7"/>
    <w:rsid w:val="000B22CE"/>
    <w:rsid w:val="002B0AED"/>
    <w:rsid w:val="0032211A"/>
    <w:rsid w:val="003768C1"/>
    <w:rsid w:val="003A72F9"/>
    <w:rsid w:val="005811E5"/>
    <w:rsid w:val="007201D7"/>
    <w:rsid w:val="008049C5"/>
    <w:rsid w:val="0096538A"/>
    <w:rsid w:val="00A664F7"/>
    <w:rsid w:val="00A80A43"/>
    <w:rsid w:val="00AC4DCF"/>
    <w:rsid w:val="00E4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711F2D"/>
  <w15:chartTrackingRefBased/>
  <w15:docId w15:val="{3DA3BD64-BCFC-AA4F-8C98-7420CBA0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A43"/>
  </w:style>
  <w:style w:type="paragraph" w:styleId="Heading1">
    <w:name w:val="heading 1"/>
    <w:basedOn w:val="Normal"/>
    <w:next w:val="Normal"/>
    <w:link w:val="Heading1Char"/>
    <w:uiPriority w:val="9"/>
    <w:qFormat/>
    <w:rsid w:val="00A664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4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4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4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4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4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4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4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4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4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4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4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4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4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4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4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4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4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4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4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4F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4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4F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4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4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4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4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4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4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0A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0AE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538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195</Words>
  <Characters>1391</Characters>
  <Application>Microsoft Office Word</Application>
  <DocSecurity>0</DocSecurity>
  <Lines>21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O'Brien (1200244)</dc:creator>
  <cp:keywords/>
  <dc:description/>
  <cp:lastModifiedBy>Kerry O'Brien (1200244)</cp:lastModifiedBy>
  <cp:revision>2</cp:revision>
  <dcterms:created xsi:type="dcterms:W3CDTF">2026-04-21T15:56:00Z</dcterms:created>
  <dcterms:modified xsi:type="dcterms:W3CDTF">2026-04-27T13:56:00Z</dcterms:modified>
</cp:coreProperties>
</file>