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A04E1F0" w:rsidR="7908378C" w:rsidRDefault="7908378C" w:rsidP="33572C6E">
            <w:pPr>
              <w:ind w:right="237"/>
              <w:rPr>
                <w:b/>
                <w:bCs/>
                <w:color w:val="auto"/>
                <w:sz w:val="32"/>
                <w:szCs w:val="32"/>
              </w:rPr>
            </w:pPr>
            <w:r w:rsidRPr="33572C6E">
              <w:rPr>
                <w:b/>
                <w:bCs/>
                <w:color w:val="auto"/>
                <w:sz w:val="32"/>
                <w:szCs w:val="32"/>
              </w:rPr>
              <w:t xml:space="preserve">Learner name: </w:t>
            </w:r>
            <w:r w:rsidR="00B10079">
              <w:rPr>
                <w:b/>
                <w:bCs/>
                <w:color w:val="auto"/>
                <w:sz w:val="32"/>
                <w:szCs w:val="32"/>
              </w:rPr>
              <w:t>Jessica Humphreys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A54E5A1" w:rsidR="7908378C" w:rsidRDefault="00B10079" w:rsidP="33572C6E">
            <w:pPr>
              <w:ind w:right="237"/>
              <w:rPr>
                <w:b/>
                <w:bCs/>
                <w:color w:val="auto"/>
                <w:sz w:val="32"/>
                <w:szCs w:val="32"/>
              </w:rPr>
            </w:pPr>
            <w:r>
              <w:rPr>
                <w:b/>
                <w:bCs/>
                <w:color w:val="auto"/>
                <w:sz w:val="32"/>
                <w:szCs w:val="32"/>
              </w:rPr>
              <w:t>2</w:t>
            </w:r>
            <w:r w:rsidR="000843E6">
              <w:rPr>
                <w:b/>
                <w:bCs/>
                <w:color w:val="auto"/>
                <w:sz w:val="32"/>
                <w:szCs w:val="32"/>
              </w:rPr>
              <w:t>124</w:t>
            </w:r>
            <w:r w:rsidR="00925937">
              <w:rPr>
                <w:b/>
                <w:bCs/>
                <w:color w:val="auto"/>
                <w:sz w:val="32"/>
                <w:szCs w:val="32"/>
              </w:rPr>
              <w:t>756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634E1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54C3DEDF" w:rsidR="5B843AF0" w:rsidRDefault="5B843AF0" w:rsidP="5B843AF0">
      <w:pPr>
        <w:ind w:right="237"/>
        <w:jc w:val="both"/>
        <w:rPr>
          <w:rFonts w:eastAsia="Arial"/>
          <w:color w:val="000000" w:themeColor="text1"/>
          <w:sz w:val="24"/>
          <w:szCs w:val="24"/>
        </w:rPr>
      </w:pPr>
    </w:p>
    <w:p w14:paraId="0B57C596" w14:textId="77777777" w:rsidR="002A0207" w:rsidRPr="00403E0C" w:rsidRDefault="002A0207" w:rsidP="002A0207">
      <w:pPr>
        <w:spacing w:line="480" w:lineRule="auto"/>
        <w:rPr>
          <w:color w:val="000000" w:themeColor="text1"/>
          <w:sz w:val="22"/>
          <w:szCs w:val="22"/>
        </w:rPr>
      </w:pPr>
      <w:proofErr w:type="gramStart"/>
      <w:r w:rsidRPr="00403E0C">
        <w:rPr>
          <w:color w:val="000000" w:themeColor="text1"/>
          <w:sz w:val="22"/>
          <w:szCs w:val="22"/>
        </w:rPr>
        <w:t>As a student police officer, part of my role</w:t>
      </w:r>
      <w:proofErr w:type="gramEnd"/>
      <w:r w:rsidRPr="00403E0C">
        <w:rPr>
          <w:color w:val="000000" w:themeColor="text1"/>
          <w:sz w:val="22"/>
          <w:szCs w:val="22"/>
        </w:rPr>
        <w:t xml:space="preserve"> is to deal with and help victims of crime or antisocial behaviour. During this essay I will discuss an incident I have attended whereby a group of youths were causing a disturbance outside the local McDonalds and as a result one male </w:t>
      </w:r>
      <w:proofErr w:type="gramStart"/>
      <w:r w:rsidRPr="00403E0C">
        <w:rPr>
          <w:color w:val="000000" w:themeColor="text1"/>
          <w:sz w:val="22"/>
          <w:szCs w:val="22"/>
        </w:rPr>
        <w:t>in particular had</w:t>
      </w:r>
      <w:proofErr w:type="gramEnd"/>
      <w:r w:rsidRPr="00403E0C">
        <w:rPr>
          <w:color w:val="000000" w:themeColor="text1"/>
          <w:sz w:val="22"/>
          <w:szCs w:val="22"/>
        </w:rPr>
        <w:t xml:space="preserve"> assaulted a member of staff and made homophobic comments to another member of staff. This essay will aim to reflect on my own actions and discuss why I responded in the way I did, and to evaluate the effectiveness of approaches I used. This essay will also discuss the role of other agencies in this incident in dealing with this offender, such as youth services and the </w:t>
      </w:r>
      <w:proofErr w:type="spellStart"/>
      <w:r w:rsidRPr="00403E0C">
        <w:rPr>
          <w:color w:val="000000" w:themeColor="text1"/>
          <w:sz w:val="22"/>
          <w:szCs w:val="22"/>
        </w:rPr>
        <w:t>Anti Social</w:t>
      </w:r>
      <w:proofErr w:type="spellEnd"/>
      <w:r w:rsidRPr="00403E0C">
        <w:rPr>
          <w:color w:val="000000" w:themeColor="text1"/>
          <w:sz w:val="22"/>
          <w:szCs w:val="22"/>
        </w:rPr>
        <w:t xml:space="preserve"> Behaviour team, as well as going on to </w:t>
      </w:r>
      <w:proofErr w:type="spellStart"/>
      <w:r w:rsidRPr="00403E0C">
        <w:rPr>
          <w:color w:val="000000" w:themeColor="text1"/>
          <w:sz w:val="22"/>
          <w:szCs w:val="22"/>
        </w:rPr>
        <w:t>criticially</w:t>
      </w:r>
      <w:proofErr w:type="spellEnd"/>
      <w:r w:rsidRPr="00403E0C">
        <w:rPr>
          <w:color w:val="000000" w:themeColor="text1"/>
          <w:sz w:val="22"/>
          <w:szCs w:val="22"/>
        </w:rPr>
        <w:t xml:space="preserve"> evaluate other approaches that could have been used in this incident, and analysing whether they would have been appropriate in this incident. This essay will then go on to explore strategies to tackle repeat victimisation and repeat offending, such as Special Measures to protect and empower victims and a multi-agency approach to working with offenders.</w:t>
      </w:r>
    </w:p>
    <w:p w14:paraId="4143BE12" w14:textId="77777777" w:rsidR="002A0207" w:rsidRPr="00403E0C" w:rsidRDefault="002A0207" w:rsidP="002A0207">
      <w:pPr>
        <w:spacing w:line="480" w:lineRule="auto"/>
        <w:rPr>
          <w:color w:val="000000" w:themeColor="text1"/>
          <w:sz w:val="22"/>
          <w:szCs w:val="22"/>
        </w:rPr>
      </w:pPr>
    </w:p>
    <w:p w14:paraId="5EDF8351"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 xml:space="preserve">While on duty, I attended a report of a group of youths causing a disturbance outside the local McDonalds. This was not the first time the restaurant had issues with youths and had been an ongoing issue for some time. </w:t>
      </w:r>
      <w:proofErr w:type="spellStart"/>
      <w:r w:rsidRPr="00403E0C">
        <w:rPr>
          <w:color w:val="000000" w:themeColor="text1"/>
          <w:sz w:val="22"/>
          <w:szCs w:val="22"/>
        </w:rPr>
        <w:t>Anti social</w:t>
      </w:r>
      <w:proofErr w:type="spellEnd"/>
      <w:r w:rsidRPr="00403E0C">
        <w:rPr>
          <w:color w:val="000000" w:themeColor="text1"/>
          <w:sz w:val="22"/>
          <w:szCs w:val="22"/>
        </w:rPr>
        <w:t xml:space="preserve"> behaviour is a huge community issue, with almost 3 million reports made across England and Wales in 2010/11 (Donoghue, 2013). Many incidents of antisocial behaviour go unreported due to them not always being met within criminal law, so the true figure is likely to be much higher (Donoghue, 2013). When </w:t>
      </w:r>
      <w:proofErr w:type="gramStart"/>
      <w:r w:rsidRPr="00403E0C">
        <w:rPr>
          <w:color w:val="000000" w:themeColor="text1"/>
          <w:sz w:val="22"/>
          <w:szCs w:val="22"/>
        </w:rPr>
        <w:t>myself and my colleague</w:t>
      </w:r>
      <w:proofErr w:type="gramEnd"/>
      <w:r w:rsidRPr="00403E0C">
        <w:rPr>
          <w:color w:val="000000" w:themeColor="text1"/>
          <w:sz w:val="22"/>
          <w:szCs w:val="22"/>
        </w:rPr>
        <w:t xml:space="preserve"> have arrived, the youths in question had already left the area and we were met with some very upset staff members. Immediately I was able to reflect on our initial approach, and considered that had we approached the area silently, and not with blue lights and sirens, the youths may not have seen us coming and we may have apprehended them immediately, which would have provided much reassurance to the victims and an overall more effective police response. </w:t>
      </w:r>
    </w:p>
    <w:p w14:paraId="3FBD9EE8" w14:textId="77777777" w:rsidR="002A0207" w:rsidRPr="00403E0C" w:rsidRDefault="002A0207" w:rsidP="002A0207">
      <w:pPr>
        <w:spacing w:line="480" w:lineRule="auto"/>
        <w:rPr>
          <w:color w:val="000000" w:themeColor="text1"/>
          <w:sz w:val="22"/>
          <w:szCs w:val="22"/>
        </w:rPr>
      </w:pPr>
    </w:p>
    <w:p w14:paraId="6885F402"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 xml:space="preserve">One staff member, who I will refer to as victim 1, stated he had been assaulted by one of the youths, but fortunately did not sustain any injuries. A second staff member, who I will refer to as victim 2, said he had been called homophobic names by the same young male, and as this victim is a homosexual </w:t>
      </w:r>
      <w:proofErr w:type="gramStart"/>
      <w:r w:rsidRPr="00403E0C">
        <w:rPr>
          <w:color w:val="000000" w:themeColor="text1"/>
          <w:sz w:val="22"/>
          <w:szCs w:val="22"/>
        </w:rPr>
        <w:t>male</w:t>
      </w:r>
      <w:proofErr w:type="gramEnd"/>
      <w:r w:rsidRPr="00403E0C">
        <w:rPr>
          <w:color w:val="000000" w:themeColor="text1"/>
          <w:sz w:val="22"/>
          <w:szCs w:val="22"/>
        </w:rPr>
        <w:t xml:space="preserve"> he perceived this to be a hate crime (College of Policing, 2023). Immediately I knew I was faced with a young offender who had committed several offences. I was faced with 2 victims who had their own vulnerabilities. Victim 1 was only 16 years old himself and was very distressed following the assault that took place against him, and victim 2 was a repeat victim of homophobic targeting by young males attending at McDonalds. I recognised from my initial attendance that this incident would require collaboration with other agencies and departments, including victim support, the youth offending </w:t>
      </w:r>
      <w:proofErr w:type="gramStart"/>
      <w:r w:rsidRPr="00403E0C">
        <w:rPr>
          <w:color w:val="000000" w:themeColor="text1"/>
          <w:sz w:val="22"/>
          <w:szCs w:val="22"/>
        </w:rPr>
        <w:t>team</w:t>
      </w:r>
      <w:proofErr w:type="gramEnd"/>
      <w:r w:rsidRPr="00403E0C">
        <w:rPr>
          <w:color w:val="000000" w:themeColor="text1"/>
          <w:sz w:val="22"/>
          <w:szCs w:val="22"/>
        </w:rPr>
        <w:t xml:space="preserve"> and the antisocial behaviour team. Recognising the vulnerabilities of victims of ASB is of paramount importance, which well known cases such as the Fiona Pilkington case have drawn attention to (</w:t>
      </w:r>
      <w:proofErr w:type="spellStart"/>
      <w:r w:rsidRPr="00403E0C">
        <w:rPr>
          <w:color w:val="000000" w:themeColor="text1"/>
          <w:sz w:val="22"/>
          <w:szCs w:val="22"/>
        </w:rPr>
        <w:t>Capewell</w:t>
      </w:r>
      <w:proofErr w:type="spellEnd"/>
      <w:r w:rsidRPr="00403E0C">
        <w:rPr>
          <w:color w:val="000000" w:themeColor="text1"/>
          <w:sz w:val="22"/>
          <w:szCs w:val="22"/>
        </w:rPr>
        <w:t xml:space="preserve"> et al., 2015). Failing to recognise these vulnerabilities and providing a suitable response can lead to a tragic outcome, as seen in the </w:t>
      </w:r>
      <w:r w:rsidRPr="00403E0C">
        <w:rPr>
          <w:color w:val="000000" w:themeColor="text1"/>
          <w:sz w:val="22"/>
          <w:szCs w:val="22"/>
        </w:rPr>
        <w:lastRenderedPageBreak/>
        <w:t>Pilkington case. This was something I had in mind and wanted to prevent occurring in this incident.</w:t>
      </w:r>
    </w:p>
    <w:p w14:paraId="75EEE6BC" w14:textId="77777777" w:rsidR="002A0207" w:rsidRPr="00403E0C" w:rsidRDefault="002A0207" w:rsidP="002A0207">
      <w:pPr>
        <w:spacing w:line="480" w:lineRule="auto"/>
        <w:rPr>
          <w:color w:val="000000" w:themeColor="text1"/>
          <w:sz w:val="22"/>
          <w:szCs w:val="22"/>
        </w:rPr>
      </w:pPr>
    </w:p>
    <w:p w14:paraId="6916BDB8"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Myself and my colleague immediately began making some enquiries such as speaking with several witnesses and reviewing CCTV. Fortunately, we were able to see the full incident unfold on CCTV and witnesses were able to positively identify the main male who had committed several offences. As a result of this we were able to swiftly locate and arrest the male and interview him in relation to the incident. While this was a positive outcome, a challenge I came across was that some of the witnesses were in fact employees of the local council who specialised in working with youth offenders. These women had worked with this male in the past, and despite being able to identify him and witnessing the entire incident, they were not willing to cooperate and provide a statement to police. This demonstrated an unexpected challenge in working with partner agencies during this incident.</w:t>
      </w:r>
    </w:p>
    <w:p w14:paraId="28792CC3" w14:textId="77777777" w:rsidR="002A0207" w:rsidRPr="00403E0C" w:rsidRDefault="002A0207" w:rsidP="002A0207">
      <w:pPr>
        <w:spacing w:line="480" w:lineRule="auto"/>
        <w:rPr>
          <w:color w:val="000000" w:themeColor="text1"/>
          <w:sz w:val="22"/>
          <w:szCs w:val="22"/>
        </w:rPr>
      </w:pPr>
    </w:p>
    <w:p w14:paraId="4BB7046A"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 xml:space="preserve">The young male provided a full and frank admission to the offences and was remorseful for his actions in interview. As a result of this, the decision was made to handle the incident with an out of court disposal. The out of court disposal chosen was for the suspect to receive a Youth Caution and be referred to the Youth Offending Team (Bryant &amp; Bryant, 2020, p.228). The Youth Offending Team is a department that youth offenders can be referred to depending on the gravity and nature of their offences. This allows young offenders to, when appropriate, be given the opportunity to work with a youth offending officer to address their behaviour without the need to go to court. It aims to avoid criminalising </w:t>
      </w:r>
      <w:proofErr w:type="gramStart"/>
      <w:r w:rsidRPr="00403E0C">
        <w:rPr>
          <w:color w:val="000000" w:themeColor="text1"/>
          <w:sz w:val="22"/>
          <w:szCs w:val="22"/>
        </w:rPr>
        <w:t>children,</w:t>
      </w:r>
      <w:proofErr w:type="gramEnd"/>
      <w:r w:rsidRPr="00403E0C">
        <w:rPr>
          <w:color w:val="000000" w:themeColor="text1"/>
          <w:sz w:val="22"/>
          <w:szCs w:val="22"/>
        </w:rPr>
        <w:t xml:space="preserve"> however it is only possible to use when the offender makes a full and frank admission to the offence, and when the offender wholly engages with the youth worker to address their conduct (Bryant &amp; Bryant, 2020 p.229). This decision was in everyone’s best interest, as neither victim wanted to attend court but still wanted action taken against the male for what he had done. It also gave the young male an opportunity to learn from his behaviour without having to go to court. I had hoped that this option would reduce his chance of reoffending and would </w:t>
      </w:r>
      <w:r w:rsidRPr="00403E0C">
        <w:rPr>
          <w:color w:val="000000" w:themeColor="text1"/>
          <w:sz w:val="22"/>
          <w:szCs w:val="22"/>
        </w:rPr>
        <w:lastRenderedPageBreak/>
        <w:t xml:space="preserve">allow him to consider the impact he had on the victims, as he would be working with a dedicated youth support worker. I also collaborated with the antisocial behaviour (ASB) team while dealing with this incident who were able to provide advice and take steps to ban the male from the town centre as his conduct had been an ongoing issue. While the ASB team </w:t>
      </w:r>
      <w:proofErr w:type="gramStart"/>
      <w:r w:rsidRPr="00403E0C">
        <w:rPr>
          <w:color w:val="000000" w:themeColor="text1"/>
          <w:sz w:val="22"/>
          <w:szCs w:val="22"/>
        </w:rPr>
        <w:t>are able to</w:t>
      </w:r>
      <w:proofErr w:type="gramEnd"/>
      <w:r w:rsidRPr="00403E0C">
        <w:rPr>
          <w:color w:val="000000" w:themeColor="text1"/>
          <w:sz w:val="22"/>
          <w:szCs w:val="22"/>
        </w:rPr>
        <w:t xml:space="preserve"> offer useful support and advice, there are still limitations to preventing ASB. As Jane Donoghue notes, the legislation relating to ASB is very broad and subjective, and therefore often faces criticism of its interventions and marginalisation of certain groups (Donoghue, 2013).</w:t>
      </w:r>
    </w:p>
    <w:p w14:paraId="47312C9A" w14:textId="77777777" w:rsidR="002A0207" w:rsidRPr="00403E0C" w:rsidRDefault="002A0207" w:rsidP="002A0207">
      <w:pPr>
        <w:spacing w:line="480" w:lineRule="auto"/>
        <w:rPr>
          <w:color w:val="000000" w:themeColor="text1"/>
          <w:sz w:val="22"/>
          <w:szCs w:val="22"/>
        </w:rPr>
      </w:pPr>
    </w:p>
    <w:p w14:paraId="4488DE78"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 xml:space="preserve">However, on reflection, this approach was not the right one. The young male, despite his admission and apparent regret in interview, refused to engage with the Youth offending team on several occasions. As per force policy, after 3 failed attempts to engage with the male, the case then had to be dropped with no further action. This was a huge learning experience for me and my colleagues as we had always been under the impression that should someone fail to engage with the chosen out of court disposal, then they will be sent to court. However due to a change in force policy, this is not the case, and we were informed that doing this would be an abuse of process. As a result of this I have been left with disappointed victims and an offender who has met no punishment for his crimes. A more appropriate response to this incident, upon reflection, would have been to send this male to court from the beginning. While the victims did not want to attend court, following a reassuring conversation with them about special measures that can be put in place to support them through the court process if they are vulnerable or intimidated, they stated they would have attended if necessary (Working with victims and witnesses, 2023). If this approach had taken place, the victims would have been able to apply for a restraining order to prevent the male attending their place of work in the future. Special Measures are an effective tool to help break the cycle of repeat victimisation. Special Measures can provide a vulnerable victim with the support they need to go through the court process, rather than continuing to suffer the same cycle of victimisation. This is particularly useful when a victim </w:t>
      </w:r>
      <w:r w:rsidRPr="00403E0C">
        <w:rPr>
          <w:color w:val="000000" w:themeColor="text1"/>
          <w:sz w:val="22"/>
          <w:szCs w:val="22"/>
        </w:rPr>
        <w:lastRenderedPageBreak/>
        <w:t>does not want to engage due to fear or vulnerability. (Support to give your evidence - 'special measures' 2023)</w:t>
      </w:r>
    </w:p>
    <w:p w14:paraId="51CB8938" w14:textId="77777777" w:rsidR="002A0207" w:rsidRPr="00403E0C" w:rsidRDefault="002A0207" w:rsidP="002A0207">
      <w:pPr>
        <w:spacing w:line="480" w:lineRule="auto"/>
        <w:rPr>
          <w:color w:val="000000" w:themeColor="text1"/>
          <w:sz w:val="22"/>
          <w:szCs w:val="22"/>
        </w:rPr>
      </w:pPr>
    </w:p>
    <w:p w14:paraId="085C0B34"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 xml:space="preserve">In this case, an out of court disposal was not the appropriate response </w:t>
      </w:r>
      <w:proofErr w:type="gramStart"/>
      <w:r w:rsidRPr="00403E0C">
        <w:rPr>
          <w:color w:val="000000" w:themeColor="text1"/>
          <w:sz w:val="22"/>
          <w:szCs w:val="22"/>
        </w:rPr>
        <w:t>in order to</w:t>
      </w:r>
      <w:proofErr w:type="gramEnd"/>
      <w:r w:rsidRPr="00403E0C">
        <w:rPr>
          <w:color w:val="000000" w:themeColor="text1"/>
          <w:sz w:val="22"/>
          <w:szCs w:val="22"/>
        </w:rPr>
        <w:t xml:space="preserve"> tackle repeat offending, and certainly not repeat victimisation. Following this </w:t>
      </w:r>
      <w:proofErr w:type="gramStart"/>
      <w:r w:rsidRPr="00403E0C">
        <w:rPr>
          <w:color w:val="000000" w:themeColor="text1"/>
          <w:sz w:val="22"/>
          <w:szCs w:val="22"/>
        </w:rPr>
        <w:t>incident</w:t>
      </w:r>
      <w:proofErr w:type="gramEnd"/>
      <w:r w:rsidRPr="00403E0C">
        <w:rPr>
          <w:color w:val="000000" w:themeColor="text1"/>
          <w:sz w:val="22"/>
          <w:szCs w:val="22"/>
        </w:rPr>
        <w:t xml:space="preserve"> it would be understandable for victim 2 to never report incidents of hate crime in the future, as he feels he has been let down by the police on this occasion. Having reflected on my decision making in this incident, I considered whether my response was tailored too much to the needs of the offender due to his age. This is highlighted by Weisburd et al, who states that over the last decade, the UK has shifted from the traditional use of custodial sentencing to encompassing the needs of an individual offender (2017, p.169). Weisburd goes on to explain that deterrence of offenders is usually more effective when the certainty of punishment is known, rather than the severity. (2017, p.170). Having considered this, it supports my view that sending this offender to court after interview would have been a better deterrent for future offences as his punishment is more certain, whereas dealing with a youth worker was not only a mild punishment in terms of </w:t>
      </w:r>
      <w:proofErr w:type="gramStart"/>
      <w:r w:rsidRPr="00403E0C">
        <w:rPr>
          <w:color w:val="000000" w:themeColor="text1"/>
          <w:sz w:val="22"/>
          <w:szCs w:val="22"/>
        </w:rPr>
        <w:t>severity, but</w:t>
      </w:r>
      <w:proofErr w:type="gramEnd"/>
      <w:r w:rsidRPr="00403E0C">
        <w:rPr>
          <w:color w:val="000000" w:themeColor="text1"/>
          <w:sz w:val="22"/>
          <w:szCs w:val="22"/>
        </w:rPr>
        <w:t xml:space="preserve"> was also not particularly certain as the youth worker could not force the male to engage.</w:t>
      </w:r>
    </w:p>
    <w:p w14:paraId="4E2685E8" w14:textId="77777777" w:rsidR="002A0207" w:rsidRPr="00403E0C" w:rsidRDefault="002A0207" w:rsidP="002A0207">
      <w:pPr>
        <w:spacing w:line="480" w:lineRule="auto"/>
        <w:rPr>
          <w:color w:val="000000" w:themeColor="text1"/>
          <w:sz w:val="22"/>
          <w:szCs w:val="22"/>
        </w:rPr>
      </w:pPr>
    </w:p>
    <w:p w14:paraId="36EC0214"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 xml:space="preserve">This incident is an example of Problem-Oriented Policing, with use of the SARA model. The model consists of 4 parts – Scanning or identifying a problem, Analysing the problem to identify areas to intervene, </w:t>
      </w:r>
      <w:proofErr w:type="gramStart"/>
      <w:r w:rsidRPr="00403E0C">
        <w:rPr>
          <w:color w:val="000000" w:themeColor="text1"/>
          <w:sz w:val="22"/>
          <w:szCs w:val="22"/>
        </w:rPr>
        <w:t>Responding</w:t>
      </w:r>
      <w:proofErr w:type="gramEnd"/>
      <w:r w:rsidRPr="00403E0C">
        <w:rPr>
          <w:color w:val="000000" w:themeColor="text1"/>
          <w:sz w:val="22"/>
          <w:szCs w:val="22"/>
        </w:rPr>
        <w:t xml:space="preserve"> to the problem and Assessing the impact those responses may have had (Bullock et al., 2021). In this incident I identified a problem, pinpointed areas to intervene, responded to the issue by arresting the male and sending him for an out of court disposal, and then assessed </w:t>
      </w:r>
      <w:proofErr w:type="gramStart"/>
      <w:r w:rsidRPr="00403E0C">
        <w:rPr>
          <w:color w:val="000000" w:themeColor="text1"/>
          <w:sz w:val="22"/>
          <w:szCs w:val="22"/>
        </w:rPr>
        <w:t>it’s</w:t>
      </w:r>
      <w:proofErr w:type="gramEnd"/>
      <w:r w:rsidRPr="00403E0C">
        <w:rPr>
          <w:color w:val="000000" w:themeColor="text1"/>
          <w:sz w:val="22"/>
          <w:szCs w:val="22"/>
        </w:rPr>
        <w:t xml:space="preserve"> impact by determining this was not the most effective response. While problem-oriented policing is generally considered a very positive form of evidenced policing strategies, this incident highlights that there are still areas to improve (Bullock et al., 2021).</w:t>
      </w:r>
    </w:p>
    <w:p w14:paraId="17188938" w14:textId="77777777" w:rsidR="002A0207" w:rsidRPr="00403E0C" w:rsidRDefault="002A0207" w:rsidP="002A0207">
      <w:pPr>
        <w:spacing w:line="480" w:lineRule="auto"/>
        <w:rPr>
          <w:color w:val="000000" w:themeColor="text1"/>
          <w:sz w:val="22"/>
          <w:szCs w:val="22"/>
        </w:rPr>
      </w:pPr>
    </w:p>
    <w:p w14:paraId="2354D58E"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lastRenderedPageBreak/>
        <w:t xml:space="preserve">It is evident that tackling repeat offending and victimisation requires a multi-agency approach and collaboration and is not a simple fix. The CAPRICORN framework highlights several of the factors that need to be considered and utilised </w:t>
      </w:r>
      <w:proofErr w:type="gramStart"/>
      <w:r w:rsidRPr="00403E0C">
        <w:rPr>
          <w:color w:val="000000" w:themeColor="text1"/>
          <w:sz w:val="22"/>
          <w:szCs w:val="22"/>
        </w:rPr>
        <w:t>in order to</w:t>
      </w:r>
      <w:proofErr w:type="gramEnd"/>
      <w:r w:rsidRPr="00403E0C">
        <w:rPr>
          <w:color w:val="000000" w:themeColor="text1"/>
          <w:sz w:val="22"/>
          <w:szCs w:val="22"/>
        </w:rPr>
        <w:t xml:space="preserve"> make efforts to combat youth offending and repeat offending. This includes taking actions in several ways, such as community actions, such as engaging with schools and working to reduce the impact of social issues such as poverty and substance </w:t>
      </w:r>
      <w:proofErr w:type="gramStart"/>
      <w:r w:rsidRPr="00403E0C">
        <w:rPr>
          <w:color w:val="000000" w:themeColor="text1"/>
          <w:sz w:val="22"/>
          <w:szCs w:val="22"/>
        </w:rPr>
        <w:t>misuse, and</w:t>
      </w:r>
      <w:proofErr w:type="gramEnd"/>
      <w:r w:rsidRPr="00403E0C">
        <w:rPr>
          <w:color w:val="000000" w:themeColor="text1"/>
          <w:sz w:val="22"/>
          <w:szCs w:val="22"/>
        </w:rPr>
        <w:t xml:space="preserve"> taking action directly with a subjects family such as peer mentoring, and promoting family based interventions (Collaborative approaches to preventing offending and re-offending by Children (Capricorn): Summary 2019). Some of the ideas targeted specifically at preventing reoffending include ensuring access to mental health services and identifying children who are particularly at risk of reoffending (Collaborative approaches to preventing offending and re-offending by Children (Capricorn): Summary 2019). From the examples highlighted here, it is clear how many agencies need to be involved to address these issues, from the police, education, housing, social services, health, and more. This highlights the complexity of this issue.</w:t>
      </w:r>
    </w:p>
    <w:p w14:paraId="08916282" w14:textId="77777777" w:rsidR="002A0207" w:rsidRPr="00403E0C" w:rsidRDefault="002A0207" w:rsidP="002A0207">
      <w:pPr>
        <w:spacing w:line="480" w:lineRule="auto"/>
        <w:rPr>
          <w:color w:val="000000" w:themeColor="text1"/>
          <w:sz w:val="22"/>
          <w:szCs w:val="22"/>
        </w:rPr>
      </w:pPr>
    </w:p>
    <w:p w14:paraId="4C7CD85D" w14:textId="77777777" w:rsidR="002A0207" w:rsidRPr="00403E0C" w:rsidRDefault="002A0207" w:rsidP="002A0207">
      <w:pPr>
        <w:spacing w:line="480" w:lineRule="auto"/>
        <w:rPr>
          <w:color w:val="000000" w:themeColor="text1"/>
          <w:sz w:val="22"/>
          <w:szCs w:val="22"/>
        </w:rPr>
      </w:pPr>
      <w:r w:rsidRPr="00403E0C">
        <w:rPr>
          <w:color w:val="000000" w:themeColor="text1"/>
          <w:sz w:val="22"/>
          <w:szCs w:val="22"/>
        </w:rPr>
        <w:t>In conclusion, this was a complex incident which was made challenging as we were faced with multiple victims with their own vulnerabilities. It was vital to ensure these victims were safeguarded and supported and measures were put in place to prevent this happening again. While, on reflection, the victim focus was effective and appropriate support was put in place, not enough was done to appropriately handle the perpetrator. While every effort was made by the police to ensure justice for the victims, a change in policy meant that ultimately, justice was not served for these victims. On reflection, given the character of the male, an out of court disposal was not an appropriate decision and would certainly not be used again if I had the opportunity to deal with this incident again. There is still work to be done in terms of working with offenders, particularly youth offenders, to attempt to reduce the likelihood of repeat offending.</w:t>
      </w:r>
    </w:p>
    <w:p w14:paraId="6C853808" w14:textId="77777777" w:rsidR="002A0207" w:rsidRPr="00403E0C" w:rsidRDefault="002A0207" w:rsidP="002A0207">
      <w:pPr>
        <w:spacing w:line="480" w:lineRule="auto"/>
        <w:rPr>
          <w:color w:val="000000" w:themeColor="text1"/>
          <w:sz w:val="22"/>
          <w:szCs w:val="22"/>
        </w:rPr>
      </w:pPr>
      <w:r>
        <w:rPr>
          <w:color w:val="000000" w:themeColor="text1"/>
          <w:sz w:val="22"/>
          <w:szCs w:val="22"/>
        </w:rPr>
        <w:t>Word Count: 2052</w:t>
      </w:r>
    </w:p>
    <w:p w14:paraId="794A03E0" w14:textId="77777777" w:rsidR="002A0207" w:rsidRPr="00E676F7" w:rsidRDefault="002A0207" w:rsidP="5B843AF0">
      <w:pPr>
        <w:ind w:right="237"/>
        <w:jc w:val="both"/>
        <w:rPr>
          <w:rFonts w:eastAsia="Arial"/>
          <w:color w:val="000000" w:themeColor="text1"/>
          <w:sz w:val="24"/>
          <w:szCs w:val="24"/>
        </w:rPr>
      </w:pPr>
    </w:p>
    <w:p w14:paraId="68317E39" w14:textId="6B2BB1EA" w:rsidR="00E676F7" w:rsidRPr="00E676F7" w:rsidRDefault="00E676F7">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2CD71285"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During this essay I will discuss a domestic abuse incident I have attended during my time as a student police officer which had several factors which caused it to become complex and challenging in nature. These factors included a lack of cooperation with the police (from both the victim and the perpetrator) as well as the victim’s vulnerabilities including medical issues and mental health. These factors will be discussed in detail during this essay, I will also discuss strategies which have been developed to ensure effective policing in challenging incidents such as this one, and how they were implemented during the incident I attended. This will include the use of positive action and will be discussed during the essay.</w:t>
      </w:r>
    </w:p>
    <w:p w14:paraId="51EE4857" w14:textId="77777777" w:rsidR="00BD6804" w:rsidRPr="000000D2" w:rsidRDefault="00BD6804" w:rsidP="00925937">
      <w:pPr>
        <w:spacing w:line="480" w:lineRule="auto"/>
        <w:rPr>
          <w:color w:val="auto"/>
          <w:sz w:val="24"/>
          <w:szCs w:val="24"/>
        </w:rPr>
      </w:pPr>
    </w:p>
    <w:p w14:paraId="3D5A0B25" w14:textId="77777777" w:rsidR="00BD6804" w:rsidRPr="000000D2" w:rsidRDefault="00BD6804" w:rsidP="00925937">
      <w:pPr>
        <w:spacing w:line="480" w:lineRule="auto"/>
        <w:rPr>
          <w:color w:val="auto"/>
          <w:sz w:val="24"/>
          <w:szCs w:val="24"/>
        </w:rPr>
      </w:pPr>
    </w:p>
    <w:p w14:paraId="426A669A"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 xml:space="preserve">As part of my role as a student police officer, I attended a call which was initially reported to police as a disturbance/concern for welfare call. The reporting person stated that she could hear a female crying and screaming, and the sound of banging and shouting coming from the property next door. The caller explained that a male and a female live at the address and was able to provide their names. Based on this, were we able to identify the people living at this address on Niche, which is our police system that allowed us as responding officers to access information about those involved including their warning markers (any previous information such as they have been violent in the past, or that they suffer with their mental health) and their contact details. This is always useful information to have while attending an incident of a domestic nature and this allowed me to start to build up a picture of </w:t>
      </w:r>
      <w:r w:rsidRPr="000000D2">
        <w:rPr>
          <w:color w:val="auto"/>
          <w:sz w:val="24"/>
          <w:szCs w:val="24"/>
        </w:rPr>
        <w:lastRenderedPageBreak/>
        <w:t xml:space="preserve">who the individuals are and what their background is. This is just one simple strategy that has been developed to aid officers while responding to </w:t>
      </w:r>
      <w:proofErr w:type="gramStart"/>
      <w:r w:rsidRPr="000000D2">
        <w:rPr>
          <w:color w:val="auto"/>
          <w:sz w:val="24"/>
          <w:szCs w:val="24"/>
        </w:rPr>
        <w:t>incidents, and</w:t>
      </w:r>
      <w:proofErr w:type="gramEnd"/>
      <w:r w:rsidRPr="000000D2">
        <w:rPr>
          <w:color w:val="auto"/>
          <w:sz w:val="24"/>
          <w:szCs w:val="24"/>
        </w:rPr>
        <w:t xml:space="preserve"> is particularly useful for incidents of a domestic nature. While saying this, I had to ensure this information did not cloud my judgement and cause me to be biased prior to attending. As a result of </w:t>
      </w:r>
      <w:proofErr w:type="gramStart"/>
      <w:r w:rsidRPr="000000D2">
        <w:rPr>
          <w:color w:val="auto"/>
          <w:sz w:val="24"/>
          <w:szCs w:val="24"/>
        </w:rPr>
        <w:t>all of</w:t>
      </w:r>
      <w:proofErr w:type="gramEnd"/>
      <w:r w:rsidRPr="000000D2">
        <w:rPr>
          <w:color w:val="auto"/>
          <w:sz w:val="24"/>
          <w:szCs w:val="24"/>
        </w:rPr>
        <w:t xml:space="preserve"> the information available to me at the time, it was apparent there was a likelihood that this incident was domestic related and potentially involved an assault. Legislation states that a domestic incident involves two people over the age of 16 who are personally connected to each other. The abuse can take many forms including physical, emotional, sexual, psychological, and financial (Barrow-Grint et al., 2023 p.95). My colleague and I ascertained it was key for us to attend and speak with those involved as quickly as we could just in case anyone involved was injured.</w:t>
      </w:r>
    </w:p>
    <w:p w14:paraId="06EF0BD3" w14:textId="77777777" w:rsidR="00BD6804" w:rsidRPr="000000D2" w:rsidRDefault="00BD6804" w:rsidP="00925937">
      <w:pPr>
        <w:spacing w:line="480" w:lineRule="auto"/>
        <w:ind w:right="237"/>
        <w:jc w:val="both"/>
        <w:rPr>
          <w:color w:val="auto"/>
          <w:sz w:val="24"/>
          <w:szCs w:val="24"/>
        </w:rPr>
      </w:pPr>
    </w:p>
    <w:p w14:paraId="1BA54405"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 xml:space="preserve">When I arrived at the address, I could not hear any sound of a disturbance. I knocked the door several times however there was no reply. This was the beginning of the difficulties I faced during this incident. Due to the </w:t>
      </w:r>
      <w:proofErr w:type="gramStart"/>
      <w:r w:rsidRPr="000000D2">
        <w:rPr>
          <w:color w:val="auto"/>
          <w:sz w:val="24"/>
          <w:szCs w:val="24"/>
        </w:rPr>
        <w:t>report</w:t>
      </w:r>
      <w:proofErr w:type="gramEnd"/>
      <w:r w:rsidRPr="000000D2">
        <w:rPr>
          <w:color w:val="auto"/>
          <w:sz w:val="24"/>
          <w:szCs w:val="24"/>
        </w:rPr>
        <w:t xml:space="preserve"> we had received and the potential that an individual was in some way harmed within the address, I knew I had a power to enter the address under Section 17 of the Police and Criminal Evidence Act of 1984 (Bryant &amp; Bryant, 2020 p.209). Due to the type of door and lock, I made the decision to ask for assistance from armed response colleagues as I knew they had the ability to drill locks </w:t>
      </w:r>
      <w:proofErr w:type="gramStart"/>
      <w:r w:rsidRPr="000000D2">
        <w:rPr>
          <w:color w:val="auto"/>
          <w:sz w:val="24"/>
          <w:szCs w:val="24"/>
        </w:rPr>
        <w:t>in order to</w:t>
      </w:r>
      <w:proofErr w:type="gramEnd"/>
      <w:r w:rsidRPr="000000D2">
        <w:rPr>
          <w:color w:val="auto"/>
          <w:sz w:val="24"/>
          <w:szCs w:val="24"/>
        </w:rPr>
        <w:t xml:space="preserve"> enter the property. While I waited for my colleagues to arrive, I decided to make use of our police system and try to contact both parties registered as living at the address on the most recent contact details we had for them, however neither party was answering their mobile phones. </w:t>
      </w:r>
    </w:p>
    <w:p w14:paraId="2E2F274B" w14:textId="77777777" w:rsidR="00BD6804" w:rsidRPr="000000D2" w:rsidRDefault="00BD6804" w:rsidP="00925937">
      <w:pPr>
        <w:spacing w:line="480" w:lineRule="auto"/>
        <w:ind w:right="237"/>
        <w:jc w:val="both"/>
        <w:rPr>
          <w:color w:val="auto"/>
          <w:sz w:val="24"/>
          <w:szCs w:val="24"/>
        </w:rPr>
      </w:pPr>
    </w:p>
    <w:p w14:paraId="620339EB" w14:textId="77777777" w:rsidR="00BD6804" w:rsidRPr="000000D2" w:rsidRDefault="00BD6804" w:rsidP="00925937">
      <w:pPr>
        <w:spacing w:line="480" w:lineRule="auto"/>
        <w:ind w:right="237"/>
        <w:jc w:val="both"/>
        <w:rPr>
          <w:color w:val="auto"/>
          <w:sz w:val="24"/>
          <w:szCs w:val="24"/>
        </w:rPr>
      </w:pPr>
      <w:r w:rsidRPr="000000D2">
        <w:rPr>
          <w:color w:val="auto"/>
          <w:sz w:val="24"/>
          <w:szCs w:val="24"/>
        </w:rPr>
        <w:lastRenderedPageBreak/>
        <w:t xml:space="preserve">When firearms officers attended the address, they gave multiple opportunities for the occupants to open the door voluntarily by giving verbal commands through the letterbox. This again was met with no response so entry was forced to the property under Section 17 of PACE. When I have entered and searched the property, I have found one male and one female </w:t>
      </w:r>
      <w:proofErr w:type="spellStart"/>
      <w:r w:rsidRPr="000000D2">
        <w:rPr>
          <w:color w:val="auto"/>
          <w:sz w:val="24"/>
          <w:szCs w:val="24"/>
        </w:rPr>
        <w:t>laying</w:t>
      </w:r>
      <w:proofErr w:type="spellEnd"/>
      <w:r w:rsidRPr="000000D2">
        <w:rPr>
          <w:color w:val="auto"/>
          <w:sz w:val="24"/>
          <w:szCs w:val="24"/>
        </w:rPr>
        <w:t xml:space="preserve"> in bed in an upstairs bedroom in darkness. The female had a severe head wound and the male was wearing a </w:t>
      </w:r>
      <w:proofErr w:type="gramStart"/>
      <w:r w:rsidRPr="000000D2">
        <w:rPr>
          <w:color w:val="auto"/>
          <w:sz w:val="24"/>
          <w:szCs w:val="24"/>
        </w:rPr>
        <w:t>blood stained</w:t>
      </w:r>
      <w:proofErr w:type="gramEnd"/>
      <w:r w:rsidRPr="000000D2">
        <w:rPr>
          <w:color w:val="auto"/>
          <w:sz w:val="24"/>
          <w:szCs w:val="24"/>
        </w:rPr>
        <w:t xml:space="preserve"> t-shirt. There was also blood splatter on the radiator within that bedroom and a significant amount of blood on the carpet and skirting board. I immediately separated both parties to ensure the female’s safety due to her injuries, although the cause of them was still to be established, and to speak with </w:t>
      </w:r>
      <w:proofErr w:type="gramStart"/>
      <w:r w:rsidRPr="000000D2">
        <w:rPr>
          <w:color w:val="auto"/>
          <w:sz w:val="24"/>
          <w:szCs w:val="24"/>
        </w:rPr>
        <w:t>both of them</w:t>
      </w:r>
      <w:proofErr w:type="gramEnd"/>
      <w:r w:rsidRPr="000000D2">
        <w:rPr>
          <w:color w:val="auto"/>
          <w:sz w:val="24"/>
          <w:szCs w:val="24"/>
        </w:rPr>
        <w:t xml:space="preserve"> alone in order to establish what had taken place. This is another strategy which has been developed to effectively respond to domestic incidents. Speaking with parties separately gives them both the opportunity to give an account of what has taken place without the other being present (College of Policing, 2016). While this does not always work, due to victims often being in fear of disclosing what their partners may have done, it provides officers an opportunity to build a rapport and explain what the police can offer in terms of support without their partner being present. This initial attendance is vital as it will often determine the likelihood of the victim engaging and having trust in the police (Barrow-Grint et al., 2023, p.107). It also gives officers the opportunity to provide the victim with details of partner agencies who may be able to offer them help.</w:t>
      </w:r>
    </w:p>
    <w:p w14:paraId="30D1C5C3" w14:textId="77777777" w:rsidR="00BD6804" w:rsidRPr="000000D2" w:rsidRDefault="00BD6804" w:rsidP="00925937">
      <w:pPr>
        <w:spacing w:line="480" w:lineRule="auto"/>
        <w:ind w:right="237"/>
        <w:jc w:val="both"/>
        <w:rPr>
          <w:color w:val="auto"/>
          <w:sz w:val="24"/>
          <w:szCs w:val="24"/>
        </w:rPr>
      </w:pPr>
    </w:p>
    <w:p w14:paraId="7A9C9810"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 xml:space="preserve">Once I had separated both parties, I spoke with the female while my colleague spoke to the male in another room. The female had an injury to her forehead, but the bleeding had stopped. The area appeared very swollen. My main priorities at that </w:t>
      </w:r>
      <w:r w:rsidRPr="000000D2">
        <w:rPr>
          <w:color w:val="auto"/>
          <w:sz w:val="24"/>
          <w:szCs w:val="24"/>
        </w:rPr>
        <w:lastRenderedPageBreak/>
        <w:t xml:space="preserve">time were to ensure the female had the medical attention she needed, and to find out what had taken place to cause that injury so that we could safeguard her. </w:t>
      </w:r>
    </w:p>
    <w:p w14:paraId="64828FED" w14:textId="77777777" w:rsidR="00BD6804" w:rsidRPr="000000D2" w:rsidRDefault="00BD6804" w:rsidP="00925937">
      <w:pPr>
        <w:spacing w:line="480" w:lineRule="auto"/>
        <w:ind w:right="237"/>
        <w:jc w:val="both"/>
        <w:rPr>
          <w:color w:val="auto"/>
          <w:sz w:val="24"/>
          <w:szCs w:val="24"/>
        </w:rPr>
      </w:pPr>
    </w:p>
    <w:p w14:paraId="7FD86982"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The female was very defensive from the beginning of my time with her and provided an inconsistent account as to how she had accidentally caused the injury to herself and denied that she and her partner had argued or that he had assaulted her. This is a common challenge that I have faced several times in similar instances of domestic abuse whereby a victim does not wish to provide any information or assistance to the police and does not wish for any action to be taken against their partner. This is often due to fear of repercussions as well as a lack of trust in the police (</w:t>
      </w:r>
      <w:proofErr w:type="spellStart"/>
      <w:r w:rsidRPr="000000D2">
        <w:rPr>
          <w:color w:val="auto"/>
          <w:sz w:val="24"/>
          <w:szCs w:val="24"/>
        </w:rPr>
        <w:t>Schaap</w:t>
      </w:r>
      <w:proofErr w:type="spellEnd"/>
      <w:r w:rsidRPr="000000D2">
        <w:rPr>
          <w:color w:val="auto"/>
          <w:sz w:val="24"/>
          <w:szCs w:val="24"/>
        </w:rPr>
        <w:t>, 2020).</w:t>
      </w:r>
    </w:p>
    <w:p w14:paraId="2C54AE71" w14:textId="77777777" w:rsidR="00BD6804" w:rsidRPr="000000D2" w:rsidRDefault="00BD6804" w:rsidP="00925937">
      <w:pPr>
        <w:spacing w:line="480" w:lineRule="auto"/>
        <w:ind w:right="237"/>
        <w:jc w:val="both"/>
        <w:rPr>
          <w:color w:val="auto"/>
          <w:sz w:val="24"/>
          <w:szCs w:val="24"/>
        </w:rPr>
      </w:pPr>
    </w:p>
    <w:p w14:paraId="47B4F599"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 xml:space="preserve"> In extreme cases such as this, the victim actively obstructs the police. While this can come across as hostility it is important to consider why a victim may behave this way and to consider what measures can be taken to ensure we are still able to do our job. A strategy that has been developed which has allowed officers to be more effective while policing this type of incident is the police service’s implementation of policies such as “Positive Action” (College of Policing, 2016). Positive Action allows and ensures that officers always </w:t>
      </w:r>
      <w:proofErr w:type="gramStart"/>
      <w:r w:rsidRPr="000000D2">
        <w:rPr>
          <w:color w:val="auto"/>
          <w:sz w:val="24"/>
          <w:szCs w:val="24"/>
        </w:rPr>
        <w:t>take action</w:t>
      </w:r>
      <w:proofErr w:type="gramEnd"/>
      <w:r w:rsidRPr="000000D2">
        <w:rPr>
          <w:color w:val="auto"/>
          <w:sz w:val="24"/>
          <w:szCs w:val="24"/>
        </w:rPr>
        <w:t xml:space="preserve"> when attending an incident of a domestic nature. This means that officers must do something to safeguard those involved even when a criminal offence has not taken place or has not been disclosed to officers. This includes officers being able to remove people from an address for a period if they believe leaving them there could pose a risk to others. It also includes making an arrest without having the support of a victim, which is what my colleague and I chose to do in this incident. This is crucial as it means police are now mandated </w:t>
      </w:r>
      <w:r w:rsidRPr="000000D2">
        <w:rPr>
          <w:color w:val="auto"/>
          <w:sz w:val="24"/>
          <w:szCs w:val="24"/>
        </w:rPr>
        <w:lastRenderedPageBreak/>
        <w:t xml:space="preserve">to respond to domestic incidents with less use of discretion, which means there are more arrests of perpetrators of domestic abuse and better safeguarding of victims rather than just attending an incident and little happening as a result (Mills, 2009, pp.33-36). This can go all the way to a prosecution with the Crown Prosecution service now running victimless cases (CPS, 2022). </w:t>
      </w:r>
    </w:p>
    <w:p w14:paraId="043ED28A" w14:textId="77777777" w:rsidR="00BD6804" w:rsidRPr="000000D2" w:rsidRDefault="00BD6804" w:rsidP="00925937">
      <w:pPr>
        <w:spacing w:line="480" w:lineRule="auto"/>
        <w:ind w:right="237"/>
        <w:jc w:val="both"/>
        <w:rPr>
          <w:color w:val="auto"/>
          <w:sz w:val="24"/>
          <w:szCs w:val="24"/>
        </w:rPr>
      </w:pPr>
    </w:p>
    <w:p w14:paraId="791FB772"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 xml:space="preserve">Upon considering all the information available to me at the time, including the inconsistencies between the accounts of both involved, the injury to the female, the behaviour of both parties (such as not opening the door) and the information provided on the initial call by a neighbour, I decided it was necessary to arrest the male on suspicion of assault on his partner under section 47 of the Offences Against the Person Act 1861 (Bryant &amp; Bryant, 2020 p.358). I did this to prevent any further harm to the female, and </w:t>
      </w:r>
      <w:proofErr w:type="gramStart"/>
      <w:r w:rsidRPr="000000D2">
        <w:rPr>
          <w:color w:val="auto"/>
          <w:sz w:val="24"/>
          <w:szCs w:val="24"/>
        </w:rPr>
        <w:t>in order to</w:t>
      </w:r>
      <w:proofErr w:type="gramEnd"/>
      <w:r w:rsidRPr="000000D2">
        <w:rPr>
          <w:color w:val="auto"/>
          <w:sz w:val="24"/>
          <w:szCs w:val="24"/>
        </w:rPr>
        <w:t xml:space="preserve"> conduct a prompt and effective investigation into the injury she had sustained which I was concerned would happen if they were left together. </w:t>
      </w:r>
    </w:p>
    <w:p w14:paraId="50CD7CE9" w14:textId="77777777" w:rsidR="00BD6804" w:rsidRPr="000000D2" w:rsidRDefault="00BD6804" w:rsidP="00925937">
      <w:pPr>
        <w:spacing w:line="480" w:lineRule="auto"/>
        <w:ind w:right="237"/>
        <w:jc w:val="both"/>
        <w:rPr>
          <w:color w:val="auto"/>
          <w:sz w:val="24"/>
          <w:szCs w:val="24"/>
        </w:rPr>
      </w:pPr>
    </w:p>
    <w:p w14:paraId="763DD114" w14:textId="77777777" w:rsidR="00BD6804" w:rsidRPr="000000D2" w:rsidRDefault="00BD6804" w:rsidP="00925937">
      <w:pPr>
        <w:spacing w:line="480" w:lineRule="auto"/>
        <w:ind w:right="237"/>
        <w:jc w:val="both"/>
        <w:rPr>
          <w:color w:val="auto"/>
          <w:sz w:val="24"/>
          <w:szCs w:val="24"/>
        </w:rPr>
      </w:pPr>
    </w:p>
    <w:p w14:paraId="3C8AF5AF"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 xml:space="preserve">Another challenge we faced at this point was caring for the female. As I previously mentioned, she had sustained a rather severe injury to her head which needed medical attention, and in addition to this the female stated she was epileptic, and her husband was her only carer. The female stated she had no other family or friends who could come and care for her, and her hostility towards officers continued as she blamed us for taking away her only support and leaving her vulnerable. This situation continued to escalate as the female realised despite her best efforts to stop police arresting the male, the outcome of this incident would not change. </w:t>
      </w:r>
    </w:p>
    <w:p w14:paraId="3A001982" w14:textId="77777777" w:rsidR="00BD6804" w:rsidRPr="000000D2" w:rsidRDefault="00BD6804" w:rsidP="00925937">
      <w:pPr>
        <w:spacing w:line="480" w:lineRule="auto"/>
        <w:ind w:right="237"/>
        <w:jc w:val="both"/>
        <w:rPr>
          <w:color w:val="auto"/>
          <w:sz w:val="24"/>
          <w:szCs w:val="24"/>
        </w:rPr>
      </w:pPr>
    </w:p>
    <w:p w14:paraId="30DF6F63"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Upon this realisation, the female became even more aggressive and hostile towards officers, and began threatening to take her own life. This provided further complications as not only did we need the female to receive medical attention for her physical injuries, but also for her mental health. Additional units attended the address to assist us with conveying the male to custody so that my colleague and I could focus on ensuring the vulnerable female received the treatment she needed. Due to the female being within her own home, we were unable to detain her under section 136 of the Mental Health Act and convey her to a place of safety for her mental and physical health (Morgan &amp; Paterson, 2017). We therefore needed to adapt and convince the female to attend hospital willingly.</w:t>
      </w:r>
    </w:p>
    <w:p w14:paraId="06C0F6AB" w14:textId="77777777" w:rsidR="00BD6804" w:rsidRPr="000000D2" w:rsidRDefault="00BD6804" w:rsidP="00925937">
      <w:pPr>
        <w:spacing w:line="480" w:lineRule="auto"/>
        <w:ind w:right="237"/>
        <w:jc w:val="both"/>
        <w:rPr>
          <w:color w:val="auto"/>
          <w:sz w:val="24"/>
          <w:szCs w:val="24"/>
        </w:rPr>
      </w:pPr>
    </w:p>
    <w:p w14:paraId="33C3BF76"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Good communication skills in this incident were crucial. As I previously mentioned, this female was not supporting police involvement at all and building a rapport with her was very difficult. Eventually, after much discussion with the female, she agreed for us to take her to hospital to receive the treatment she needed on a voluntary basis. Despite our best efforts, the female did not change her account to officers and maintained that she had not been assaulted, however she was still safeguarded due to the male’s arrest and provided with medical attention, which I believe is a positive outcome considering the complexities faced by officers while responding to this call. The female was provided with safeguarding advice and offered support following this incident, which she accepted.</w:t>
      </w:r>
    </w:p>
    <w:p w14:paraId="7794D453" w14:textId="77777777" w:rsidR="00BD6804" w:rsidRPr="000000D2" w:rsidRDefault="00BD6804" w:rsidP="00925937">
      <w:pPr>
        <w:spacing w:line="480" w:lineRule="auto"/>
        <w:ind w:right="237"/>
        <w:jc w:val="both"/>
        <w:rPr>
          <w:color w:val="auto"/>
          <w:sz w:val="24"/>
          <w:szCs w:val="24"/>
        </w:rPr>
      </w:pPr>
    </w:p>
    <w:p w14:paraId="23A278C7" w14:textId="77777777" w:rsidR="00BD6804" w:rsidRPr="000000D2" w:rsidRDefault="00BD6804" w:rsidP="00925937">
      <w:pPr>
        <w:spacing w:line="480" w:lineRule="auto"/>
        <w:ind w:right="237"/>
        <w:jc w:val="both"/>
        <w:rPr>
          <w:color w:val="auto"/>
          <w:sz w:val="24"/>
          <w:szCs w:val="24"/>
        </w:rPr>
      </w:pPr>
      <w:r w:rsidRPr="000000D2">
        <w:rPr>
          <w:color w:val="auto"/>
          <w:sz w:val="24"/>
          <w:szCs w:val="24"/>
        </w:rPr>
        <w:t xml:space="preserve">I have reflected on this incident frequently since my attendance and I feel I have learned a lot having experienced such a complex call. One of the main things I have </w:t>
      </w:r>
      <w:r w:rsidRPr="000000D2">
        <w:rPr>
          <w:color w:val="auto"/>
          <w:sz w:val="24"/>
          <w:szCs w:val="24"/>
        </w:rPr>
        <w:lastRenderedPageBreak/>
        <w:t xml:space="preserve">learned </w:t>
      </w:r>
      <w:proofErr w:type="gramStart"/>
      <w:r w:rsidRPr="000000D2">
        <w:rPr>
          <w:color w:val="auto"/>
          <w:sz w:val="24"/>
          <w:szCs w:val="24"/>
        </w:rPr>
        <w:t>as a result of</w:t>
      </w:r>
      <w:proofErr w:type="gramEnd"/>
      <w:r w:rsidRPr="000000D2">
        <w:rPr>
          <w:color w:val="auto"/>
          <w:sz w:val="24"/>
          <w:szCs w:val="24"/>
        </w:rPr>
        <w:t xml:space="preserve"> this reflection is the importance of good communication skills. While I feel I communicated well and to the best of my ability during this incident, it is certainly something I feel I could develop further which has been a goal of mine since this incident. Another learning point for me after this incident is the importance of collaboration with other agencies, particularly in response to domestic incidents. As I previously mentioned, the victim had very little faith or trust in the police, so by putting her in touch with the relevant agencies that can support her, it ensures she receives a response not just from police but from a range of agencies who she may feel more comfortable working with.</w:t>
      </w:r>
    </w:p>
    <w:p w14:paraId="2B003140" w14:textId="77777777" w:rsidR="00BD6804" w:rsidRPr="000000D2" w:rsidRDefault="00BD6804" w:rsidP="00925937">
      <w:pPr>
        <w:spacing w:line="480" w:lineRule="auto"/>
        <w:ind w:right="237"/>
        <w:jc w:val="both"/>
        <w:rPr>
          <w:color w:val="auto"/>
          <w:sz w:val="24"/>
          <w:szCs w:val="24"/>
        </w:rPr>
      </w:pPr>
    </w:p>
    <w:p w14:paraId="416E3E9D" w14:textId="77777777" w:rsidR="00BD6804" w:rsidRPr="000000D2" w:rsidRDefault="00BD6804" w:rsidP="00925937">
      <w:pPr>
        <w:spacing w:line="480" w:lineRule="auto"/>
        <w:ind w:right="237"/>
        <w:jc w:val="both"/>
        <w:rPr>
          <w:b/>
          <w:bCs/>
          <w:color w:val="auto"/>
          <w:sz w:val="24"/>
          <w:szCs w:val="24"/>
        </w:rPr>
      </w:pPr>
      <w:r w:rsidRPr="000000D2">
        <w:rPr>
          <w:color w:val="auto"/>
          <w:sz w:val="24"/>
          <w:szCs w:val="24"/>
        </w:rPr>
        <w:t xml:space="preserve">In conclusion, this was a very difficult and complex incident to attend and certainly pushed me out of my comfort zone as a student police officer. However, having experienced this incident and reflect on many aspects of it, I feel I have taken on board valuable lessons which has enabled me to learn and provide an overall better service to the public going forward. I have learned the importance of good communication skills, to ensure I build a rapport with victims, and to consider vulnerabilities a person may have which may lead to them behaving a particular way. By taking these things on board I feel I am now more equipped to tailor and adapt my approach to suit the needs of individual victims and recognise and address their specific vulnerabilities. I feel that this incident allowed me to recognise and use the strategies that have been developed </w:t>
      </w:r>
      <w:proofErr w:type="gramStart"/>
      <w:r w:rsidRPr="000000D2">
        <w:rPr>
          <w:color w:val="auto"/>
          <w:sz w:val="24"/>
          <w:szCs w:val="24"/>
        </w:rPr>
        <w:t>in order to</w:t>
      </w:r>
      <w:proofErr w:type="gramEnd"/>
      <w:r w:rsidRPr="000000D2">
        <w:rPr>
          <w:color w:val="auto"/>
          <w:sz w:val="24"/>
          <w:szCs w:val="24"/>
        </w:rPr>
        <w:t xml:space="preserve"> deal with such incidents and has made me more aware and comfortable with using particular powers in order to deal with similar incidents in the future. </w:t>
      </w:r>
    </w:p>
    <w:p w14:paraId="042CB012" w14:textId="1493E0A3" w:rsidR="00BD6804" w:rsidRDefault="00BD6804" w:rsidP="00925937">
      <w:pPr>
        <w:overflowPunct/>
        <w:autoSpaceDE/>
        <w:autoSpaceDN/>
        <w:adjustRightInd/>
        <w:spacing w:line="480" w:lineRule="auto"/>
        <w:textAlignment w:val="auto"/>
        <w:rPr>
          <w:color w:val="000000" w:themeColor="text1"/>
          <w:sz w:val="24"/>
          <w:szCs w:val="24"/>
        </w:rPr>
      </w:pPr>
      <w:r>
        <w:rPr>
          <w:color w:val="000000" w:themeColor="text1"/>
          <w:sz w:val="24"/>
          <w:szCs w:val="24"/>
        </w:rPr>
        <w:t xml:space="preserve">Word Count: </w:t>
      </w:r>
      <w:r w:rsidR="00B64555">
        <w:rPr>
          <w:color w:val="000000" w:themeColor="text1"/>
          <w:sz w:val="24"/>
          <w:szCs w:val="24"/>
        </w:rPr>
        <w:t>2148</w:t>
      </w:r>
      <w:r>
        <w:rPr>
          <w:color w:val="000000" w:themeColor="text1"/>
          <w:sz w:val="24"/>
          <w:szCs w:val="24"/>
        </w:rPr>
        <w:br w:type="page"/>
      </w:r>
    </w:p>
    <w:p w14:paraId="74BCF97D" w14:textId="77777777"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F7E38F7" w:rsidR="0FF883D4" w:rsidRDefault="5CE196A1" w:rsidP="5CE196A1">
      <w:r w:rsidRPr="5CE196A1">
        <w:rPr>
          <w:rFonts w:eastAsia="Arial"/>
          <w:b/>
          <w:bCs/>
          <w:color w:val="000000" w:themeColor="text1"/>
          <w:sz w:val="24"/>
          <w:szCs w:val="24"/>
        </w:rPr>
        <w:t xml:space="preserve">Signed: </w:t>
      </w:r>
      <w:r w:rsidR="00B10079">
        <w:rPr>
          <w:rFonts w:eastAsia="Arial"/>
          <w:b/>
          <w:bCs/>
          <w:color w:val="000000" w:themeColor="text1"/>
          <w:sz w:val="24"/>
          <w:szCs w:val="24"/>
        </w:rPr>
        <w:t>J Humphreys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0ED8CB8B" w:rsidR="0FF883D4" w:rsidRDefault="5CE196A1" w:rsidP="5CE196A1">
      <w:r w:rsidRPr="5CE196A1">
        <w:rPr>
          <w:rFonts w:eastAsia="Arial"/>
          <w:b/>
          <w:bCs/>
          <w:color w:val="000000" w:themeColor="text1"/>
          <w:sz w:val="24"/>
          <w:szCs w:val="24"/>
        </w:rPr>
        <w:t>Date:</w:t>
      </w:r>
      <w:r w:rsidR="00B10079">
        <w:rPr>
          <w:rFonts w:eastAsia="Arial"/>
          <w:b/>
          <w:bCs/>
          <w:color w:val="000000" w:themeColor="text1"/>
          <w:sz w:val="24"/>
          <w:szCs w:val="24"/>
        </w:rPr>
        <w:t xml:space="preserve"> 08/06/23</w:t>
      </w:r>
    </w:p>
    <w:p w14:paraId="482B2B3A" w14:textId="1B5851F1" w:rsidR="0FF883D4" w:rsidRDefault="0FF883D4" w:rsidP="5CE196A1">
      <w:pPr>
        <w:ind w:left="2880" w:right="225" w:firstLine="720"/>
        <w:rPr>
          <w:b/>
          <w:bCs/>
          <w:sz w:val="24"/>
          <w:szCs w:val="24"/>
          <w:lang w:eastAsia="zh-TW"/>
        </w:rPr>
        <w:sectPr w:rsidR="0FF883D4" w:rsidSect="0022001B">
          <w:headerReference w:type="default" r:id="rId15"/>
          <w:footerReference w:type="default" r:id="rId1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72D801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A7BC7A1" w14:textId="77777777" w:rsidR="00B738EA" w:rsidRDefault="00B738EA" w:rsidP="00EA28F1">
      <w:pPr>
        <w:keepNext/>
        <w:spacing w:before="240" w:after="60"/>
        <w:ind w:right="237"/>
        <w:jc w:val="both"/>
        <w:rPr>
          <w:sz w:val="24"/>
          <w:szCs w:val="24"/>
        </w:rPr>
      </w:pPr>
    </w:p>
    <w:p w14:paraId="6B8CCD94" w14:textId="27D54176" w:rsidR="00A1571D" w:rsidRPr="00A1571D" w:rsidRDefault="00A1571D" w:rsidP="004C3DCA">
      <w:pPr>
        <w:pStyle w:val="NormalWeb"/>
        <w:spacing w:line="360" w:lineRule="auto"/>
        <w:ind w:left="567" w:hanging="567"/>
        <w:rPr>
          <w:rFonts w:ascii="Arial" w:hAnsi="Arial" w:cs="Arial"/>
        </w:rPr>
      </w:pPr>
      <w:r w:rsidRPr="000000D2">
        <w:rPr>
          <w:rFonts w:ascii="Arial" w:hAnsi="Arial" w:cs="Arial"/>
        </w:rPr>
        <w:t xml:space="preserve">Barrow-Grint, K., </w:t>
      </w:r>
      <w:proofErr w:type="spellStart"/>
      <w:r w:rsidRPr="000000D2">
        <w:rPr>
          <w:rFonts w:ascii="Arial" w:hAnsi="Arial" w:cs="Arial"/>
        </w:rPr>
        <w:t>Sebire</w:t>
      </w:r>
      <w:proofErr w:type="spellEnd"/>
      <w:r w:rsidRPr="000000D2">
        <w:rPr>
          <w:rFonts w:ascii="Arial" w:hAnsi="Arial" w:cs="Arial"/>
        </w:rPr>
        <w:t xml:space="preserve">, J. and Turton, J. (2023) </w:t>
      </w:r>
      <w:r w:rsidRPr="000000D2">
        <w:rPr>
          <w:rFonts w:ascii="Arial" w:hAnsi="Arial" w:cs="Arial"/>
          <w:i/>
          <w:iCs/>
        </w:rPr>
        <w:t>Policing domestic abuse: Risk, policy, and Practice</w:t>
      </w:r>
      <w:r w:rsidRPr="000000D2">
        <w:rPr>
          <w:rFonts w:ascii="Arial" w:hAnsi="Arial" w:cs="Arial"/>
        </w:rPr>
        <w:t xml:space="preserve">. London: Routledge Taylor &amp; Francis Group. </w:t>
      </w:r>
    </w:p>
    <w:p w14:paraId="757DDCD9" w14:textId="77777777" w:rsidR="002A0207" w:rsidRPr="00403E0C" w:rsidRDefault="002A0207" w:rsidP="00EB3D69">
      <w:pPr>
        <w:pStyle w:val="NormalWeb"/>
        <w:spacing w:line="480" w:lineRule="auto"/>
        <w:ind w:left="567" w:hanging="567"/>
        <w:rPr>
          <w:rFonts w:ascii="Arial" w:hAnsi="Arial" w:cs="Arial"/>
          <w:color w:val="000000" w:themeColor="text1"/>
          <w:sz w:val="22"/>
          <w:szCs w:val="22"/>
        </w:rPr>
      </w:pPr>
      <w:r w:rsidRPr="00403E0C">
        <w:rPr>
          <w:rFonts w:ascii="Arial" w:hAnsi="Arial" w:cs="Arial"/>
          <w:color w:val="000000" w:themeColor="text1"/>
          <w:sz w:val="22"/>
          <w:szCs w:val="22"/>
        </w:rPr>
        <w:t xml:space="preserve">Bryant, R. and Bryant, S. (2020) </w:t>
      </w:r>
      <w:r w:rsidRPr="00403E0C">
        <w:rPr>
          <w:rFonts w:ascii="Arial" w:hAnsi="Arial" w:cs="Arial"/>
          <w:i/>
          <w:iCs/>
          <w:color w:val="000000" w:themeColor="text1"/>
          <w:sz w:val="22"/>
          <w:szCs w:val="22"/>
        </w:rPr>
        <w:t>Blackstone’s Handbook for Policing Students</w:t>
      </w:r>
      <w:r w:rsidRPr="00403E0C">
        <w:rPr>
          <w:rFonts w:ascii="Arial" w:hAnsi="Arial" w:cs="Arial"/>
          <w:color w:val="000000" w:themeColor="text1"/>
          <w:sz w:val="22"/>
          <w:szCs w:val="22"/>
        </w:rPr>
        <w:t xml:space="preserve">. Oxford: Oxford University Press. </w:t>
      </w:r>
    </w:p>
    <w:p w14:paraId="788E5888" w14:textId="77777777" w:rsidR="002A0207" w:rsidRPr="00403E0C" w:rsidRDefault="002A0207" w:rsidP="002A0207">
      <w:pPr>
        <w:pStyle w:val="NormalWeb"/>
        <w:spacing w:line="480" w:lineRule="auto"/>
        <w:ind w:left="567" w:hanging="567"/>
        <w:rPr>
          <w:rFonts w:ascii="Arial" w:hAnsi="Arial" w:cs="Arial"/>
          <w:color w:val="000000" w:themeColor="text1"/>
          <w:sz w:val="22"/>
          <w:szCs w:val="22"/>
        </w:rPr>
      </w:pPr>
      <w:r w:rsidRPr="00403E0C">
        <w:rPr>
          <w:rFonts w:ascii="Arial" w:hAnsi="Arial" w:cs="Arial"/>
          <w:color w:val="000000" w:themeColor="text1"/>
          <w:sz w:val="22"/>
          <w:szCs w:val="22"/>
        </w:rPr>
        <w:t xml:space="preserve">Bullock, K. </w:t>
      </w:r>
      <w:r w:rsidRPr="00403E0C">
        <w:rPr>
          <w:rFonts w:ascii="Arial" w:hAnsi="Arial" w:cs="Arial"/>
          <w:i/>
          <w:iCs/>
          <w:color w:val="000000" w:themeColor="text1"/>
          <w:sz w:val="22"/>
          <w:szCs w:val="22"/>
        </w:rPr>
        <w:t>et al.</w:t>
      </w:r>
      <w:r w:rsidRPr="00403E0C">
        <w:rPr>
          <w:rFonts w:ascii="Arial" w:hAnsi="Arial" w:cs="Arial"/>
          <w:color w:val="000000" w:themeColor="text1"/>
          <w:sz w:val="22"/>
          <w:szCs w:val="22"/>
        </w:rPr>
        <w:t xml:space="preserve"> (2021) ‘Problem-oriented policing in England and Wales: Barriers and facilitators’, </w:t>
      </w:r>
      <w:r w:rsidRPr="00403E0C">
        <w:rPr>
          <w:rFonts w:ascii="Arial" w:hAnsi="Arial" w:cs="Arial"/>
          <w:i/>
          <w:iCs/>
          <w:color w:val="000000" w:themeColor="text1"/>
          <w:sz w:val="22"/>
          <w:szCs w:val="22"/>
        </w:rPr>
        <w:t>Policing and Society</w:t>
      </w:r>
      <w:r w:rsidRPr="00403E0C">
        <w:rPr>
          <w:rFonts w:ascii="Arial" w:hAnsi="Arial" w:cs="Arial"/>
          <w:color w:val="000000" w:themeColor="text1"/>
          <w:sz w:val="22"/>
          <w:szCs w:val="22"/>
        </w:rPr>
        <w:t xml:space="preserve">, 32(9), pp. 1087–1102. doi:10.1080/10439463.2021.2003361. </w:t>
      </w:r>
    </w:p>
    <w:p w14:paraId="07E7423C" w14:textId="77777777" w:rsidR="002A0207" w:rsidRPr="00403E0C" w:rsidRDefault="002A0207" w:rsidP="002A0207">
      <w:pPr>
        <w:pStyle w:val="NormalWeb"/>
        <w:spacing w:line="480" w:lineRule="auto"/>
        <w:ind w:left="567" w:hanging="567"/>
        <w:rPr>
          <w:rFonts w:ascii="Arial" w:hAnsi="Arial" w:cs="Arial"/>
          <w:color w:val="000000" w:themeColor="text1"/>
          <w:sz w:val="22"/>
          <w:szCs w:val="22"/>
        </w:rPr>
      </w:pPr>
      <w:proofErr w:type="spellStart"/>
      <w:r w:rsidRPr="00403E0C">
        <w:rPr>
          <w:rFonts w:ascii="Arial" w:hAnsi="Arial" w:cs="Arial"/>
          <w:color w:val="000000" w:themeColor="text1"/>
          <w:sz w:val="22"/>
          <w:szCs w:val="22"/>
        </w:rPr>
        <w:t>Capewell</w:t>
      </w:r>
      <w:proofErr w:type="spellEnd"/>
      <w:r w:rsidRPr="00403E0C">
        <w:rPr>
          <w:rFonts w:ascii="Arial" w:hAnsi="Arial" w:cs="Arial"/>
          <w:color w:val="000000" w:themeColor="text1"/>
          <w:sz w:val="22"/>
          <w:szCs w:val="22"/>
        </w:rPr>
        <w:t xml:space="preserve">, C., Ralph, S. and </w:t>
      </w:r>
      <w:proofErr w:type="spellStart"/>
      <w:r w:rsidRPr="00403E0C">
        <w:rPr>
          <w:rFonts w:ascii="Arial" w:hAnsi="Arial" w:cs="Arial"/>
          <w:color w:val="000000" w:themeColor="text1"/>
          <w:sz w:val="22"/>
          <w:szCs w:val="22"/>
        </w:rPr>
        <w:t>Bonnett</w:t>
      </w:r>
      <w:proofErr w:type="spellEnd"/>
      <w:r w:rsidRPr="00403E0C">
        <w:rPr>
          <w:rFonts w:ascii="Arial" w:hAnsi="Arial" w:cs="Arial"/>
          <w:color w:val="000000" w:themeColor="text1"/>
          <w:sz w:val="22"/>
          <w:szCs w:val="22"/>
        </w:rPr>
        <w:t xml:space="preserve">, L. (2015) ‘The continuing violence towards disabled people’, </w:t>
      </w:r>
      <w:r w:rsidRPr="00403E0C">
        <w:rPr>
          <w:rFonts w:ascii="Arial" w:hAnsi="Arial" w:cs="Arial"/>
          <w:i/>
          <w:iCs/>
          <w:color w:val="000000" w:themeColor="text1"/>
          <w:sz w:val="22"/>
          <w:szCs w:val="22"/>
        </w:rPr>
        <w:t>Journal of Research in Special Educational Needs</w:t>
      </w:r>
      <w:r w:rsidRPr="00403E0C">
        <w:rPr>
          <w:rFonts w:ascii="Arial" w:hAnsi="Arial" w:cs="Arial"/>
          <w:color w:val="000000" w:themeColor="text1"/>
          <w:sz w:val="22"/>
          <w:szCs w:val="22"/>
        </w:rPr>
        <w:t xml:space="preserve">, 15(3), pp. 211–221. doi:10.1111/1471-3802.12112. </w:t>
      </w:r>
    </w:p>
    <w:p w14:paraId="4DE4AFC5" w14:textId="77777777" w:rsidR="002A0207" w:rsidRDefault="002A0207" w:rsidP="002A0207">
      <w:pPr>
        <w:pStyle w:val="NormalWeb"/>
        <w:spacing w:line="480" w:lineRule="auto"/>
        <w:ind w:left="567" w:hanging="567"/>
        <w:rPr>
          <w:rFonts w:ascii="Arial" w:hAnsi="Arial" w:cs="Arial"/>
          <w:color w:val="000000" w:themeColor="text1"/>
          <w:sz w:val="22"/>
          <w:szCs w:val="22"/>
        </w:rPr>
      </w:pPr>
      <w:r w:rsidRPr="00403E0C">
        <w:rPr>
          <w:rFonts w:ascii="Arial" w:hAnsi="Arial" w:cs="Arial"/>
          <w:i/>
          <w:iCs/>
          <w:color w:val="000000" w:themeColor="text1"/>
          <w:sz w:val="22"/>
          <w:szCs w:val="22"/>
        </w:rPr>
        <w:t>Collaborative approaches to preventing offending and re-offending by Children (Capricorn): Summary</w:t>
      </w:r>
      <w:r w:rsidRPr="00403E0C">
        <w:rPr>
          <w:rFonts w:ascii="Arial" w:hAnsi="Arial" w:cs="Arial"/>
          <w:color w:val="000000" w:themeColor="text1"/>
          <w:sz w:val="22"/>
          <w:szCs w:val="22"/>
        </w:rPr>
        <w:t xml:space="preserve"> (2019) </w:t>
      </w:r>
      <w:r w:rsidRPr="00403E0C">
        <w:rPr>
          <w:rFonts w:ascii="Arial" w:hAnsi="Arial" w:cs="Arial"/>
          <w:i/>
          <w:iCs/>
          <w:color w:val="000000" w:themeColor="text1"/>
          <w:sz w:val="22"/>
          <w:szCs w:val="22"/>
        </w:rPr>
        <w:t>GOV.UK</w:t>
      </w:r>
      <w:r w:rsidRPr="00403E0C">
        <w:rPr>
          <w:rFonts w:ascii="Arial" w:hAnsi="Arial" w:cs="Arial"/>
          <w:color w:val="000000" w:themeColor="text1"/>
          <w:sz w:val="22"/>
          <w:szCs w:val="22"/>
        </w:rPr>
        <w:t xml:space="preserve">. Available at: https://www.gov.uk/government/publications/preventing-offending-and-re-offending-by-children/collaborative-approaches-to-preventing-offending-and-re-offending-by-children-capricorn-summary (Accessed: 20 May 2023). </w:t>
      </w:r>
    </w:p>
    <w:p w14:paraId="7AFD585B" w14:textId="77777777" w:rsidR="00B738EA" w:rsidRDefault="00B738EA" w:rsidP="00B738EA">
      <w:pPr>
        <w:pStyle w:val="NormalWeb"/>
        <w:spacing w:line="360" w:lineRule="auto"/>
        <w:ind w:left="567" w:hanging="567"/>
        <w:rPr>
          <w:rFonts w:ascii="Arial" w:hAnsi="Arial" w:cs="Arial"/>
        </w:rPr>
      </w:pPr>
      <w:r w:rsidRPr="000000D2">
        <w:rPr>
          <w:rFonts w:ascii="Arial" w:hAnsi="Arial" w:cs="Arial"/>
        </w:rPr>
        <w:t xml:space="preserve">College of Policing. (2016) </w:t>
      </w:r>
      <w:r w:rsidRPr="000000D2">
        <w:rPr>
          <w:rFonts w:ascii="Arial" w:hAnsi="Arial" w:cs="Arial"/>
          <w:i/>
          <w:iCs/>
        </w:rPr>
        <w:t>First Response Quick Reference Guide - Domestic abuse</w:t>
      </w:r>
      <w:r w:rsidRPr="000000D2">
        <w:rPr>
          <w:rFonts w:ascii="Arial" w:hAnsi="Arial" w:cs="Arial"/>
        </w:rPr>
        <w:t xml:space="preserve">, </w:t>
      </w:r>
      <w:r w:rsidRPr="000000D2">
        <w:rPr>
          <w:rFonts w:ascii="Arial" w:hAnsi="Arial" w:cs="Arial"/>
          <w:i/>
          <w:iCs/>
        </w:rPr>
        <w:t>College of Policing</w:t>
      </w:r>
      <w:r w:rsidRPr="000000D2">
        <w:rPr>
          <w:rFonts w:ascii="Arial" w:hAnsi="Arial" w:cs="Arial"/>
        </w:rPr>
        <w:t xml:space="preserve">. Available at: https://www.college.police.uk/app/major-investigation-and-public-protection/domestic-abuse/first-response-quick-reference-guide-domestic-abuse#take-positive-action (Accessed: 08 June 2023). </w:t>
      </w:r>
    </w:p>
    <w:p w14:paraId="294B7D73" w14:textId="77777777" w:rsidR="009D5650" w:rsidRDefault="009D5650" w:rsidP="00B738EA">
      <w:pPr>
        <w:pStyle w:val="NormalWeb"/>
        <w:spacing w:line="360" w:lineRule="auto"/>
        <w:ind w:left="567" w:hanging="567"/>
        <w:rPr>
          <w:rFonts w:ascii="Arial" w:hAnsi="Arial" w:cs="Arial"/>
        </w:rPr>
      </w:pPr>
    </w:p>
    <w:p w14:paraId="5B08C869" w14:textId="6BD3BC06" w:rsidR="00B738EA" w:rsidRPr="004C3DCA" w:rsidRDefault="009D5650" w:rsidP="004C3DCA">
      <w:pPr>
        <w:pStyle w:val="NormalWeb"/>
        <w:spacing w:line="360" w:lineRule="auto"/>
        <w:ind w:left="567" w:hanging="567"/>
        <w:rPr>
          <w:rFonts w:ascii="Arial" w:hAnsi="Arial" w:cs="Arial"/>
        </w:rPr>
      </w:pPr>
      <w:r w:rsidRPr="000000D2">
        <w:rPr>
          <w:rFonts w:ascii="Arial" w:hAnsi="Arial" w:cs="Arial"/>
        </w:rPr>
        <w:lastRenderedPageBreak/>
        <w:t xml:space="preserve">CPS. (2022) </w:t>
      </w:r>
      <w:r w:rsidRPr="000000D2">
        <w:rPr>
          <w:rFonts w:ascii="Arial" w:hAnsi="Arial" w:cs="Arial"/>
          <w:i/>
          <w:iCs/>
        </w:rPr>
        <w:t>Domestic abuse</w:t>
      </w:r>
      <w:r w:rsidRPr="000000D2">
        <w:rPr>
          <w:rFonts w:ascii="Arial" w:hAnsi="Arial" w:cs="Arial"/>
        </w:rPr>
        <w:t xml:space="preserve">, </w:t>
      </w:r>
      <w:r w:rsidRPr="000000D2">
        <w:rPr>
          <w:rFonts w:ascii="Arial" w:hAnsi="Arial" w:cs="Arial"/>
          <w:i/>
          <w:iCs/>
        </w:rPr>
        <w:t>Domestic Abuse | The Crown Prosecution Service</w:t>
      </w:r>
      <w:r w:rsidRPr="000000D2">
        <w:rPr>
          <w:rFonts w:ascii="Arial" w:hAnsi="Arial" w:cs="Arial"/>
        </w:rPr>
        <w:t xml:space="preserve">. Available at: https://www.cps.gov.uk/legal-guidance/domestic-abuse (Accessed: 08 June 2023). </w:t>
      </w:r>
    </w:p>
    <w:p w14:paraId="5937E657" w14:textId="77777777" w:rsidR="002A0207" w:rsidRDefault="002A0207" w:rsidP="002A0207">
      <w:pPr>
        <w:pStyle w:val="NormalWeb"/>
        <w:spacing w:line="480" w:lineRule="auto"/>
        <w:ind w:left="567" w:hanging="567"/>
        <w:rPr>
          <w:rFonts w:ascii="Arial" w:hAnsi="Arial" w:cs="Arial"/>
          <w:color w:val="000000" w:themeColor="text1"/>
          <w:sz w:val="22"/>
          <w:szCs w:val="22"/>
        </w:rPr>
      </w:pPr>
      <w:r w:rsidRPr="00403E0C">
        <w:rPr>
          <w:rFonts w:ascii="Arial" w:hAnsi="Arial" w:cs="Arial"/>
          <w:color w:val="000000" w:themeColor="text1"/>
          <w:sz w:val="22"/>
          <w:szCs w:val="22"/>
        </w:rPr>
        <w:t xml:space="preserve">Donoghue, J. (2013) ‘Reflections on risk, anti-social behaviour and vulnerable/repeat victims’, </w:t>
      </w:r>
      <w:r w:rsidRPr="00403E0C">
        <w:rPr>
          <w:rFonts w:ascii="Arial" w:hAnsi="Arial" w:cs="Arial"/>
          <w:i/>
          <w:iCs/>
          <w:color w:val="000000" w:themeColor="text1"/>
          <w:sz w:val="22"/>
          <w:szCs w:val="22"/>
        </w:rPr>
        <w:t>British Journal of Criminology</w:t>
      </w:r>
      <w:r w:rsidRPr="00403E0C">
        <w:rPr>
          <w:rFonts w:ascii="Arial" w:hAnsi="Arial" w:cs="Arial"/>
          <w:color w:val="000000" w:themeColor="text1"/>
          <w:sz w:val="22"/>
          <w:szCs w:val="22"/>
        </w:rPr>
        <w:t>, 53(5), pp. 805–823. doi:10.1093/</w:t>
      </w:r>
      <w:proofErr w:type="spellStart"/>
      <w:r w:rsidRPr="00403E0C">
        <w:rPr>
          <w:rFonts w:ascii="Arial" w:hAnsi="Arial" w:cs="Arial"/>
          <w:color w:val="000000" w:themeColor="text1"/>
          <w:sz w:val="22"/>
          <w:szCs w:val="22"/>
        </w:rPr>
        <w:t>bjc</w:t>
      </w:r>
      <w:proofErr w:type="spellEnd"/>
      <w:r w:rsidRPr="00403E0C">
        <w:rPr>
          <w:rFonts w:ascii="Arial" w:hAnsi="Arial" w:cs="Arial"/>
          <w:color w:val="000000" w:themeColor="text1"/>
          <w:sz w:val="22"/>
          <w:szCs w:val="22"/>
        </w:rPr>
        <w:t xml:space="preserve">/azt023. </w:t>
      </w:r>
    </w:p>
    <w:p w14:paraId="4FEB3A96" w14:textId="77777777" w:rsidR="00943FCB" w:rsidRPr="000000D2" w:rsidRDefault="00943FCB" w:rsidP="00943FCB">
      <w:pPr>
        <w:pStyle w:val="NormalWeb"/>
        <w:spacing w:line="360" w:lineRule="auto"/>
        <w:ind w:left="567" w:hanging="567"/>
        <w:rPr>
          <w:rFonts w:ascii="Arial" w:hAnsi="Arial" w:cs="Arial"/>
        </w:rPr>
      </w:pPr>
      <w:r w:rsidRPr="000000D2">
        <w:rPr>
          <w:rFonts w:ascii="Arial" w:hAnsi="Arial" w:cs="Arial"/>
        </w:rPr>
        <w:t xml:space="preserve">Mills, L.G. (2009) </w:t>
      </w:r>
      <w:r w:rsidRPr="000000D2">
        <w:rPr>
          <w:rFonts w:ascii="Arial" w:hAnsi="Arial" w:cs="Arial"/>
          <w:i/>
          <w:iCs/>
        </w:rPr>
        <w:t>Insult to injury rethinking our responses to intimate abuse</w:t>
      </w:r>
      <w:r w:rsidRPr="000000D2">
        <w:rPr>
          <w:rFonts w:ascii="Arial" w:hAnsi="Arial" w:cs="Arial"/>
        </w:rPr>
        <w:t xml:space="preserve">. Princeton: Princeton University Press. </w:t>
      </w:r>
    </w:p>
    <w:p w14:paraId="0E14D2E4" w14:textId="20E04D23" w:rsidR="00943FCB" w:rsidRPr="004C3DCA" w:rsidRDefault="005B432E" w:rsidP="004C3DCA">
      <w:pPr>
        <w:pStyle w:val="NormalWeb"/>
        <w:spacing w:line="360" w:lineRule="auto"/>
        <w:ind w:left="567" w:hanging="567"/>
        <w:rPr>
          <w:rFonts w:ascii="Arial" w:hAnsi="Arial" w:cs="Arial"/>
        </w:rPr>
      </w:pPr>
      <w:r w:rsidRPr="000000D2">
        <w:rPr>
          <w:rFonts w:ascii="Arial" w:hAnsi="Arial" w:cs="Arial"/>
        </w:rPr>
        <w:t xml:space="preserve">Morgan, M. and Paterson, C. (2017) ‘“it’s mental health, not mental police”: A human rights approach to Mental Health Triage and section 136 of the mental health act 1983’, </w:t>
      </w:r>
      <w:r w:rsidRPr="000000D2">
        <w:rPr>
          <w:rFonts w:ascii="Arial" w:hAnsi="Arial" w:cs="Arial"/>
          <w:i/>
          <w:iCs/>
        </w:rPr>
        <w:t>Policing: A Journal of Policy and Practice</w:t>
      </w:r>
      <w:r w:rsidRPr="000000D2">
        <w:rPr>
          <w:rFonts w:ascii="Arial" w:hAnsi="Arial" w:cs="Arial"/>
        </w:rPr>
        <w:t xml:space="preserve">, 13(2), pp. 123–133. doi:10.1093/police/pax047. </w:t>
      </w:r>
    </w:p>
    <w:p w14:paraId="508C8646" w14:textId="77777777" w:rsidR="002A0207" w:rsidRDefault="002A0207" w:rsidP="002A0207">
      <w:pPr>
        <w:pStyle w:val="NormalWeb"/>
        <w:spacing w:line="480" w:lineRule="auto"/>
        <w:ind w:left="567" w:hanging="567"/>
        <w:rPr>
          <w:rFonts w:ascii="Arial" w:hAnsi="Arial" w:cs="Arial"/>
          <w:color w:val="000000" w:themeColor="text1"/>
          <w:sz w:val="22"/>
          <w:szCs w:val="22"/>
        </w:rPr>
      </w:pPr>
      <w:r w:rsidRPr="00403E0C">
        <w:rPr>
          <w:rFonts w:ascii="Arial" w:hAnsi="Arial" w:cs="Arial"/>
          <w:i/>
          <w:iCs/>
          <w:color w:val="000000" w:themeColor="text1"/>
          <w:sz w:val="22"/>
          <w:szCs w:val="22"/>
        </w:rPr>
        <w:t>Responding to hate crimes</w:t>
      </w:r>
      <w:r w:rsidRPr="00403E0C">
        <w:rPr>
          <w:rFonts w:ascii="Arial" w:hAnsi="Arial" w:cs="Arial"/>
          <w:color w:val="000000" w:themeColor="text1"/>
          <w:sz w:val="22"/>
          <w:szCs w:val="22"/>
        </w:rPr>
        <w:t xml:space="preserve"> (2023) </w:t>
      </w:r>
      <w:r w:rsidRPr="00403E0C">
        <w:rPr>
          <w:rFonts w:ascii="Arial" w:hAnsi="Arial" w:cs="Arial"/>
          <w:i/>
          <w:iCs/>
          <w:color w:val="000000" w:themeColor="text1"/>
          <w:sz w:val="22"/>
          <w:szCs w:val="22"/>
        </w:rPr>
        <w:t>College of Policing</w:t>
      </w:r>
      <w:r w:rsidRPr="00403E0C">
        <w:rPr>
          <w:rFonts w:ascii="Arial" w:hAnsi="Arial" w:cs="Arial"/>
          <w:color w:val="000000" w:themeColor="text1"/>
          <w:sz w:val="22"/>
          <w:szCs w:val="22"/>
        </w:rPr>
        <w:t xml:space="preserve">. Available at: https://www.college.police.uk/app/major-investigation-and-public-protection/hate-crime/responding-hate#recording-hate-crimes (Accessed: 20 May 2023). </w:t>
      </w:r>
    </w:p>
    <w:p w14:paraId="79DB4265" w14:textId="6CA9F0EB" w:rsidR="004C3DCA" w:rsidRPr="004C3DCA" w:rsidRDefault="004C3DCA" w:rsidP="004C3DCA">
      <w:pPr>
        <w:pStyle w:val="NormalWeb"/>
        <w:spacing w:line="360" w:lineRule="auto"/>
        <w:ind w:left="567" w:hanging="567"/>
        <w:rPr>
          <w:rFonts w:ascii="Arial" w:hAnsi="Arial" w:cs="Arial"/>
        </w:rPr>
      </w:pPr>
      <w:proofErr w:type="spellStart"/>
      <w:r w:rsidRPr="000000D2">
        <w:rPr>
          <w:rFonts w:ascii="Arial" w:hAnsi="Arial" w:cs="Arial"/>
        </w:rPr>
        <w:t>Schaap</w:t>
      </w:r>
      <w:proofErr w:type="spellEnd"/>
      <w:r w:rsidRPr="000000D2">
        <w:rPr>
          <w:rFonts w:ascii="Arial" w:hAnsi="Arial" w:cs="Arial"/>
        </w:rPr>
        <w:t xml:space="preserve">, D. (2020) ‘Police trust-building strategies. A socio-institutional, comparative approach’, </w:t>
      </w:r>
      <w:r w:rsidRPr="000000D2">
        <w:rPr>
          <w:rFonts w:ascii="Arial" w:hAnsi="Arial" w:cs="Arial"/>
          <w:i/>
          <w:iCs/>
        </w:rPr>
        <w:t>Policing and Society</w:t>
      </w:r>
      <w:r w:rsidRPr="000000D2">
        <w:rPr>
          <w:rFonts w:ascii="Arial" w:hAnsi="Arial" w:cs="Arial"/>
        </w:rPr>
        <w:t xml:space="preserve">, 31(3), pp. 304–320. doi:10.1080/10439463.2020.1726345. </w:t>
      </w:r>
    </w:p>
    <w:p w14:paraId="3A081022" w14:textId="77777777" w:rsidR="002A0207" w:rsidRPr="00403E0C" w:rsidRDefault="002A0207" w:rsidP="002A0207">
      <w:pPr>
        <w:pStyle w:val="NormalWeb"/>
        <w:spacing w:line="480" w:lineRule="auto"/>
        <w:ind w:left="567" w:hanging="567"/>
        <w:rPr>
          <w:rFonts w:ascii="Arial" w:hAnsi="Arial" w:cs="Arial"/>
          <w:color w:val="000000" w:themeColor="text1"/>
          <w:sz w:val="22"/>
          <w:szCs w:val="22"/>
        </w:rPr>
      </w:pPr>
      <w:r w:rsidRPr="00403E0C">
        <w:rPr>
          <w:rFonts w:ascii="Arial" w:hAnsi="Arial" w:cs="Arial"/>
          <w:i/>
          <w:iCs/>
          <w:color w:val="000000" w:themeColor="text1"/>
          <w:sz w:val="22"/>
          <w:szCs w:val="22"/>
        </w:rPr>
        <w:t>Support to give your evidence - ‘special measures’</w:t>
      </w:r>
      <w:r w:rsidRPr="00403E0C">
        <w:rPr>
          <w:rFonts w:ascii="Arial" w:hAnsi="Arial" w:cs="Arial"/>
          <w:color w:val="000000" w:themeColor="text1"/>
          <w:sz w:val="22"/>
          <w:szCs w:val="22"/>
        </w:rPr>
        <w:t xml:space="preserve"> (2023) </w:t>
      </w:r>
      <w:r w:rsidRPr="00403E0C">
        <w:rPr>
          <w:rFonts w:ascii="Arial" w:hAnsi="Arial" w:cs="Arial"/>
          <w:i/>
          <w:iCs/>
          <w:color w:val="000000" w:themeColor="text1"/>
          <w:sz w:val="22"/>
          <w:szCs w:val="22"/>
        </w:rPr>
        <w:t>The Crown Prosecution Service</w:t>
      </w:r>
      <w:r w:rsidRPr="00403E0C">
        <w:rPr>
          <w:rFonts w:ascii="Arial" w:hAnsi="Arial" w:cs="Arial"/>
          <w:color w:val="000000" w:themeColor="text1"/>
          <w:sz w:val="22"/>
          <w:szCs w:val="22"/>
        </w:rPr>
        <w:t xml:space="preserve">. Available at: https://www.cps.gov.uk/support-give-your-evidence-special-measures (Accessed: 20 May 2023). </w:t>
      </w:r>
    </w:p>
    <w:p w14:paraId="625FC6FC" w14:textId="7E52F907" w:rsidR="002A0207" w:rsidRPr="00403E0C" w:rsidRDefault="002A0207" w:rsidP="000E24C5">
      <w:pPr>
        <w:spacing w:line="480" w:lineRule="auto"/>
        <w:rPr>
          <w:color w:val="000000" w:themeColor="text1"/>
          <w:sz w:val="22"/>
          <w:szCs w:val="22"/>
          <w:shd w:val="clear" w:color="auto" w:fill="FFFFFF"/>
        </w:rPr>
      </w:pPr>
      <w:r w:rsidRPr="00403E0C">
        <w:rPr>
          <w:color w:val="000000" w:themeColor="text1"/>
          <w:sz w:val="22"/>
          <w:szCs w:val="22"/>
        </w:rPr>
        <w:t xml:space="preserve">Weisburd, D., Farrington, D.P. and Gill, C. (2017) </w:t>
      </w:r>
      <w:r w:rsidRPr="00403E0C">
        <w:rPr>
          <w:i/>
          <w:iCs/>
          <w:color w:val="000000" w:themeColor="text1"/>
          <w:sz w:val="22"/>
          <w:szCs w:val="22"/>
        </w:rPr>
        <w:t xml:space="preserve">What works in crime prevention and </w:t>
      </w:r>
      <w:r w:rsidR="000E24C5">
        <w:rPr>
          <w:i/>
          <w:iCs/>
          <w:color w:val="000000" w:themeColor="text1"/>
          <w:sz w:val="22"/>
          <w:szCs w:val="22"/>
        </w:rPr>
        <w:t xml:space="preserve">         </w:t>
      </w:r>
      <w:r w:rsidRPr="00403E0C">
        <w:rPr>
          <w:i/>
          <w:iCs/>
          <w:color w:val="000000" w:themeColor="text1"/>
          <w:sz w:val="22"/>
          <w:szCs w:val="22"/>
        </w:rPr>
        <w:t>rehabilitation: Lessons from systematic reviews</w:t>
      </w:r>
      <w:r w:rsidRPr="00403E0C">
        <w:rPr>
          <w:color w:val="000000" w:themeColor="text1"/>
          <w:sz w:val="22"/>
          <w:szCs w:val="22"/>
        </w:rPr>
        <w:t xml:space="preserve">. New York: Springer. </w:t>
      </w:r>
      <w:r w:rsidRPr="00403E0C">
        <w:rPr>
          <w:color w:val="000000" w:themeColor="text1"/>
          <w:sz w:val="22"/>
          <w:szCs w:val="22"/>
          <w:shd w:val="clear" w:color="auto" w:fill="FFFFFF"/>
        </w:rPr>
        <w:t xml:space="preserve">Available from: ProQuest </w:t>
      </w:r>
      <w:proofErr w:type="spellStart"/>
      <w:r w:rsidRPr="00403E0C">
        <w:rPr>
          <w:color w:val="000000" w:themeColor="text1"/>
          <w:sz w:val="22"/>
          <w:szCs w:val="22"/>
          <w:shd w:val="clear" w:color="auto" w:fill="FFFFFF"/>
        </w:rPr>
        <w:t>Ebook</w:t>
      </w:r>
      <w:proofErr w:type="spellEnd"/>
      <w:r w:rsidRPr="00403E0C">
        <w:rPr>
          <w:color w:val="000000" w:themeColor="text1"/>
          <w:sz w:val="22"/>
          <w:szCs w:val="22"/>
          <w:shd w:val="clear" w:color="auto" w:fill="FFFFFF"/>
        </w:rPr>
        <w:t xml:space="preserve"> Central. [16 May 2023].</w:t>
      </w:r>
    </w:p>
    <w:p w14:paraId="0F619B33" w14:textId="77777777" w:rsidR="002A0207" w:rsidRPr="00403E0C" w:rsidRDefault="002A0207" w:rsidP="002A0207">
      <w:pPr>
        <w:pStyle w:val="NormalWeb"/>
        <w:spacing w:line="480" w:lineRule="auto"/>
        <w:ind w:left="567" w:hanging="567"/>
        <w:rPr>
          <w:rFonts w:ascii="Arial" w:hAnsi="Arial" w:cs="Arial"/>
          <w:color w:val="000000" w:themeColor="text1"/>
          <w:sz w:val="22"/>
          <w:szCs w:val="22"/>
        </w:rPr>
      </w:pPr>
      <w:r w:rsidRPr="00403E0C">
        <w:rPr>
          <w:rFonts w:ascii="Arial" w:hAnsi="Arial" w:cs="Arial"/>
          <w:i/>
          <w:iCs/>
          <w:color w:val="000000" w:themeColor="text1"/>
          <w:sz w:val="22"/>
          <w:szCs w:val="22"/>
        </w:rPr>
        <w:t>Working with victims and witnesses</w:t>
      </w:r>
      <w:r w:rsidRPr="00403E0C">
        <w:rPr>
          <w:rFonts w:ascii="Arial" w:hAnsi="Arial" w:cs="Arial"/>
          <w:color w:val="000000" w:themeColor="text1"/>
          <w:sz w:val="22"/>
          <w:szCs w:val="22"/>
        </w:rPr>
        <w:t xml:space="preserve"> (2023) </w:t>
      </w:r>
      <w:r w:rsidRPr="00403E0C">
        <w:rPr>
          <w:rFonts w:ascii="Arial" w:hAnsi="Arial" w:cs="Arial"/>
          <w:i/>
          <w:iCs/>
          <w:color w:val="000000" w:themeColor="text1"/>
          <w:sz w:val="22"/>
          <w:szCs w:val="22"/>
        </w:rPr>
        <w:t>College of Policing</w:t>
      </w:r>
      <w:r w:rsidRPr="00403E0C">
        <w:rPr>
          <w:rFonts w:ascii="Arial" w:hAnsi="Arial" w:cs="Arial"/>
          <w:color w:val="000000" w:themeColor="text1"/>
          <w:sz w:val="22"/>
          <w:szCs w:val="22"/>
        </w:rPr>
        <w:t xml:space="preserve">. Available at: https://www.college.police.uk/app/investigation/working-victims-and-witnesses#special-measures (Accessed: 20 May 2023). </w:t>
      </w:r>
    </w:p>
    <w:p w14:paraId="2E8BAB5A" w14:textId="77777777" w:rsidR="002A0207" w:rsidRDefault="002A0207" w:rsidP="002A0207">
      <w:pPr>
        <w:pStyle w:val="NormalWeb"/>
        <w:ind w:left="567" w:hanging="567"/>
      </w:pPr>
    </w:p>
    <w:p w14:paraId="3F395B89" w14:textId="77777777" w:rsidR="002A0207" w:rsidRPr="004A4203" w:rsidRDefault="002A0207" w:rsidP="002A0207">
      <w:pPr>
        <w:spacing w:line="480" w:lineRule="auto"/>
        <w:rPr>
          <w:sz w:val="22"/>
          <w:szCs w:val="22"/>
        </w:rPr>
      </w:pPr>
    </w:p>
    <w:p w14:paraId="4AAD4D5E" w14:textId="77777777" w:rsidR="002A0207" w:rsidRDefault="002A0207" w:rsidP="00EA28F1">
      <w:pPr>
        <w:keepNext/>
        <w:spacing w:before="240" w:after="60"/>
        <w:ind w:right="237"/>
        <w:jc w:val="both"/>
      </w:pPr>
    </w:p>
    <w:sectPr w:rsidR="002A020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F0DEA" w14:textId="066280EE" w:rsidR="00B21440" w:rsidRDefault="00B21440">
    <w:pPr>
      <w:pStyle w:val="Header"/>
    </w:pPr>
    <w:r>
      <w:t>2124756</w:t>
    </w:r>
  </w:p>
  <w:p w14:paraId="7797C6E6" w14:textId="77777777" w:rsidR="00C35C25" w:rsidRDefault="00C35C25">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A8E7C84"/>
    <w:lvl w:ilvl="0" w:tplc="3190AE88">
      <w:start w:val="1"/>
      <w:numFmt w:val="decimal"/>
      <w:lvlText w:val="%1."/>
      <w:lvlJc w:val="left"/>
      <w:pPr>
        <w:ind w:left="720" w:hanging="360"/>
      </w:pPr>
    </w:lvl>
    <w:lvl w:ilvl="1" w:tplc="0F72CABE">
      <w:start w:val="1"/>
      <w:numFmt w:val="lowerLetter"/>
      <w:lvlText w:val="%2."/>
      <w:lvlJc w:val="left"/>
      <w:pPr>
        <w:ind w:left="1440" w:hanging="360"/>
      </w:pPr>
    </w:lvl>
    <w:lvl w:ilvl="2" w:tplc="4F7000AE">
      <w:start w:val="1"/>
      <w:numFmt w:val="lowerRoman"/>
      <w:lvlText w:val="%3."/>
      <w:lvlJc w:val="right"/>
      <w:pPr>
        <w:ind w:left="2160" w:hanging="180"/>
      </w:pPr>
    </w:lvl>
    <w:lvl w:ilvl="3" w:tplc="903CB70A">
      <w:start w:val="1"/>
      <w:numFmt w:val="decimal"/>
      <w:lvlText w:val="%4."/>
      <w:lvlJc w:val="left"/>
      <w:pPr>
        <w:ind w:left="2880" w:hanging="360"/>
      </w:pPr>
    </w:lvl>
    <w:lvl w:ilvl="4" w:tplc="90C66360">
      <w:start w:val="1"/>
      <w:numFmt w:val="lowerLetter"/>
      <w:lvlText w:val="%5."/>
      <w:lvlJc w:val="left"/>
      <w:pPr>
        <w:ind w:left="3600" w:hanging="360"/>
      </w:pPr>
    </w:lvl>
    <w:lvl w:ilvl="5" w:tplc="DA2ED772">
      <w:start w:val="1"/>
      <w:numFmt w:val="lowerRoman"/>
      <w:lvlText w:val="%6."/>
      <w:lvlJc w:val="right"/>
      <w:pPr>
        <w:ind w:left="4320" w:hanging="180"/>
      </w:pPr>
    </w:lvl>
    <w:lvl w:ilvl="6" w:tplc="A8EC020C">
      <w:start w:val="1"/>
      <w:numFmt w:val="decimal"/>
      <w:lvlText w:val="%7."/>
      <w:lvlJc w:val="left"/>
      <w:pPr>
        <w:ind w:left="5040" w:hanging="360"/>
      </w:pPr>
    </w:lvl>
    <w:lvl w:ilvl="7" w:tplc="FDF0AB5A">
      <w:start w:val="1"/>
      <w:numFmt w:val="lowerLetter"/>
      <w:lvlText w:val="%8."/>
      <w:lvlJc w:val="left"/>
      <w:pPr>
        <w:ind w:left="5760" w:hanging="360"/>
      </w:pPr>
    </w:lvl>
    <w:lvl w:ilvl="8" w:tplc="36E456A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E0D863AC"/>
    <w:lvl w:ilvl="0" w:tplc="22D6B88E">
      <w:start w:val="1"/>
      <w:numFmt w:val="decimal"/>
      <w:lvlText w:val="%1."/>
      <w:lvlJc w:val="left"/>
      <w:pPr>
        <w:ind w:left="720" w:hanging="360"/>
      </w:pPr>
    </w:lvl>
    <w:lvl w:ilvl="1" w:tplc="B80C51E4">
      <w:start w:val="1"/>
      <w:numFmt w:val="decimal"/>
      <w:lvlText w:val="%2."/>
      <w:lvlJc w:val="left"/>
      <w:pPr>
        <w:ind w:left="1440" w:hanging="360"/>
      </w:pPr>
    </w:lvl>
    <w:lvl w:ilvl="2" w:tplc="EC3E8A86">
      <w:start w:val="1"/>
      <w:numFmt w:val="lowerRoman"/>
      <w:lvlText w:val="%3."/>
      <w:lvlJc w:val="right"/>
      <w:pPr>
        <w:ind w:left="2160" w:hanging="180"/>
      </w:pPr>
    </w:lvl>
    <w:lvl w:ilvl="3" w:tplc="DFBE1240">
      <w:start w:val="1"/>
      <w:numFmt w:val="decimal"/>
      <w:lvlText w:val="%4."/>
      <w:lvlJc w:val="left"/>
      <w:pPr>
        <w:ind w:left="2880" w:hanging="360"/>
      </w:pPr>
    </w:lvl>
    <w:lvl w:ilvl="4" w:tplc="784A2646">
      <w:start w:val="1"/>
      <w:numFmt w:val="lowerLetter"/>
      <w:lvlText w:val="%5."/>
      <w:lvlJc w:val="left"/>
      <w:pPr>
        <w:ind w:left="3600" w:hanging="360"/>
      </w:pPr>
    </w:lvl>
    <w:lvl w:ilvl="5" w:tplc="C292E7F8">
      <w:start w:val="1"/>
      <w:numFmt w:val="lowerRoman"/>
      <w:lvlText w:val="%6."/>
      <w:lvlJc w:val="right"/>
      <w:pPr>
        <w:ind w:left="4320" w:hanging="180"/>
      </w:pPr>
    </w:lvl>
    <w:lvl w:ilvl="6" w:tplc="97CCF3F6">
      <w:start w:val="1"/>
      <w:numFmt w:val="decimal"/>
      <w:lvlText w:val="%7."/>
      <w:lvlJc w:val="left"/>
      <w:pPr>
        <w:ind w:left="5040" w:hanging="360"/>
      </w:pPr>
    </w:lvl>
    <w:lvl w:ilvl="7" w:tplc="C6D4258A">
      <w:start w:val="1"/>
      <w:numFmt w:val="lowerLetter"/>
      <w:lvlText w:val="%8."/>
      <w:lvlJc w:val="left"/>
      <w:pPr>
        <w:ind w:left="5760" w:hanging="360"/>
      </w:pPr>
    </w:lvl>
    <w:lvl w:ilvl="8" w:tplc="9474C34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1595688">
    <w:abstractNumId w:val="47"/>
  </w:num>
  <w:num w:numId="2" w16cid:durableId="397748641">
    <w:abstractNumId w:val="10"/>
  </w:num>
  <w:num w:numId="3" w16cid:durableId="321010299">
    <w:abstractNumId w:val="1"/>
    <w:lvlOverride w:ilvl="0">
      <w:lvl w:ilvl="0">
        <w:start w:val="1"/>
        <w:numFmt w:val="bullet"/>
        <w:lvlText w:val=""/>
        <w:lvlJc w:val="left"/>
        <w:pPr>
          <w:ind w:left="720" w:hanging="360"/>
        </w:pPr>
        <w:rPr>
          <w:rFonts w:ascii="Symbol" w:hAnsi="Symbol" w:hint="default"/>
        </w:rPr>
      </w:lvl>
    </w:lvlOverride>
  </w:num>
  <w:num w:numId="4" w16cid:durableId="468475995">
    <w:abstractNumId w:val="22"/>
  </w:num>
  <w:num w:numId="5" w16cid:durableId="1988826831">
    <w:abstractNumId w:val="44"/>
  </w:num>
  <w:num w:numId="6" w16cid:durableId="168837610">
    <w:abstractNumId w:val="46"/>
  </w:num>
  <w:num w:numId="7" w16cid:durableId="431047314">
    <w:abstractNumId w:val="34"/>
  </w:num>
  <w:num w:numId="8" w16cid:durableId="2082486636">
    <w:abstractNumId w:val="32"/>
  </w:num>
  <w:num w:numId="9" w16cid:durableId="867521106">
    <w:abstractNumId w:val="29"/>
  </w:num>
  <w:num w:numId="10" w16cid:durableId="773866818">
    <w:abstractNumId w:val="30"/>
  </w:num>
  <w:num w:numId="11" w16cid:durableId="69736360">
    <w:abstractNumId w:val="9"/>
  </w:num>
  <w:num w:numId="12" w16cid:durableId="750541760">
    <w:abstractNumId w:val="33"/>
  </w:num>
  <w:num w:numId="13" w16cid:durableId="1371373029">
    <w:abstractNumId w:val="17"/>
  </w:num>
  <w:num w:numId="14" w16cid:durableId="1726566024">
    <w:abstractNumId w:val="16"/>
  </w:num>
  <w:num w:numId="15" w16cid:durableId="310912728">
    <w:abstractNumId w:val="26"/>
  </w:num>
  <w:num w:numId="16" w16cid:durableId="1258715117">
    <w:abstractNumId w:val="7"/>
  </w:num>
  <w:num w:numId="17" w16cid:durableId="2135319630">
    <w:abstractNumId w:val="25"/>
  </w:num>
  <w:num w:numId="18" w16cid:durableId="2084601061">
    <w:abstractNumId w:val="15"/>
  </w:num>
  <w:num w:numId="19" w16cid:durableId="1390956294">
    <w:abstractNumId w:val="13"/>
  </w:num>
  <w:num w:numId="20" w16cid:durableId="152286323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91187525">
    <w:abstractNumId w:val="23"/>
  </w:num>
  <w:num w:numId="22" w16cid:durableId="2139882458">
    <w:abstractNumId w:val="18"/>
  </w:num>
  <w:num w:numId="23" w16cid:durableId="346296605">
    <w:abstractNumId w:val="14"/>
  </w:num>
  <w:num w:numId="24" w16cid:durableId="960914161">
    <w:abstractNumId w:val="11"/>
  </w:num>
  <w:num w:numId="25" w16cid:durableId="365834489">
    <w:abstractNumId w:val="27"/>
  </w:num>
  <w:num w:numId="26" w16cid:durableId="360278932">
    <w:abstractNumId w:val="19"/>
  </w:num>
  <w:num w:numId="27" w16cid:durableId="1796751422">
    <w:abstractNumId w:val="40"/>
  </w:num>
  <w:num w:numId="28" w16cid:durableId="1973173135">
    <w:abstractNumId w:val="35"/>
  </w:num>
  <w:num w:numId="29" w16cid:durableId="1297879389">
    <w:abstractNumId w:val="39"/>
  </w:num>
  <w:num w:numId="30" w16cid:durableId="501896485">
    <w:abstractNumId w:val="20"/>
  </w:num>
  <w:num w:numId="31" w16cid:durableId="771978570">
    <w:abstractNumId w:val="42"/>
  </w:num>
  <w:num w:numId="32" w16cid:durableId="1693647842">
    <w:abstractNumId w:val="31"/>
  </w:num>
  <w:num w:numId="33" w16cid:durableId="975987408">
    <w:abstractNumId w:val="12"/>
  </w:num>
  <w:num w:numId="34" w16cid:durableId="282662926">
    <w:abstractNumId w:val="43"/>
  </w:num>
  <w:num w:numId="35" w16cid:durableId="638923368">
    <w:abstractNumId w:val="38"/>
  </w:num>
  <w:num w:numId="36" w16cid:durableId="1765832479">
    <w:abstractNumId w:val="4"/>
  </w:num>
  <w:num w:numId="37" w16cid:durableId="441219796">
    <w:abstractNumId w:val="45"/>
  </w:num>
  <w:num w:numId="38" w16cid:durableId="314918383">
    <w:abstractNumId w:val="41"/>
  </w:num>
  <w:num w:numId="39" w16cid:durableId="4209637">
    <w:abstractNumId w:val="36"/>
  </w:num>
  <w:num w:numId="40" w16cid:durableId="2047639028">
    <w:abstractNumId w:val="37"/>
  </w:num>
  <w:num w:numId="41" w16cid:durableId="504169102">
    <w:abstractNumId w:val="3"/>
  </w:num>
  <w:num w:numId="42" w16cid:durableId="884098730">
    <w:abstractNumId w:val="5"/>
  </w:num>
  <w:num w:numId="43" w16cid:durableId="219904846">
    <w:abstractNumId w:val="24"/>
  </w:num>
  <w:num w:numId="44" w16cid:durableId="1302534512">
    <w:abstractNumId w:val="6"/>
  </w:num>
  <w:num w:numId="45" w16cid:durableId="942881172">
    <w:abstractNumId w:val="2"/>
  </w:num>
  <w:num w:numId="46" w16cid:durableId="1678843169">
    <w:abstractNumId w:val="0"/>
  </w:num>
  <w:num w:numId="47" w16cid:durableId="2009288763">
    <w:abstractNumId w:val="21"/>
  </w:num>
  <w:num w:numId="48" w16cid:durableId="1315796844">
    <w:abstractNumId w:val="28"/>
  </w:num>
  <w:num w:numId="49" w16cid:durableId="26688970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3E6"/>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4C5"/>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625"/>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207"/>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3DC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432E"/>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5937"/>
    <w:rsid w:val="00926436"/>
    <w:rsid w:val="0093018C"/>
    <w:rsid w:val="00932CCA"/>
    <w:rsid w:val="00943FCB"/>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5650"/>
    <w:rsid w:val="009D7BC9"/>
    <w:rsid w:val="009E0C5A"/>
    <w:rsid w:val="009E1982"/>
    <w:rsid w:val="009E4D2C"/>
    <w:rsid w:val="009F0978"/>
    <w:rsid w:val="009F3AEC"/>
    <w:rsid w:val="00A00081"/>
    <w:rsid w:val="00A015F7"/>
    <w:rsid w:val="00A10D56"/>
    <w:rsid w:val="00A12AAE"/>
    <w:rsid w:val="00A1571D"/>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0079"/>
    <w:rsid w:val="00B12295"/>
    <w:rsid w:val="00B137BE"/>
    <w:rsid w:val="00B17FA0"/>
    <w:rsid w:val="00B21440"/>
    <w:rsid w:val="00B24344"/>
    <w:rsid w:val="00B26769"/>
    <w:rsid w:val="00B31C91"/>
    <w:rsid w:val="00B3747F"/>
    <w:rsid w:val="00B43194"/>
    <w:rsid w:val="00B47734"/>
    <w:rsid w:val="00B50FBA"/>
    <w:rsid w:val="00B558EB"/>
    <w:rsid w:val="00B577D3"/>
    <w:rsid w:val="00B60466"/>
    <w:rsid w:val="00B64555"/>
    <w:rsid w:val="00B6548F"/>
    <w:rsid w:val="00B738EA"/>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6804"/>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35C25"/>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20E7"/>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3D69"/>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2A020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erChar">
    <w:name w:val="Header Char"/>
    <w:basedOn w:val="DefaultParagraphFont"/>
    <w:link w:val="Header"/>
    <w:uiPriority w:val="99"/>
    <w:rsid w:val="00B21440"/>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5949</Words>
  <Characters>33910</Characters>
  <Application>Microsoft Office Word</Application>
  <DocSecurity>0</DocSecurity>
  <Lines>282</Lines>
  <Paragraphs>79</Paragraphs>
  <ScaleCrop>false</ScaleCrop>
  <Company>Powys County Council</Company>
  <LinksUpToDate>false</LinksUpToDate>
  <CharactersWithSpaces>39780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Humphreys,Jessica swp8165</cp:lastModifiedBy>
  <cp:revision>2</cp:revision>
  <cp:lastPrinted>2014-08-26T08:55:00Z</cp:lastPrinted>
  <dcterms:created xsi:type="dcterms:W3CDTF">2023-06-08T14:47:00Z</dcterms:created>
  <dcterms:modified xsi:type="dcterms:W3CDTF">2023-06-08T14:47:00Z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2023-02-21T12:37:06Z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c215eac7-bb26-4dcc-86cc-ae2f8649b0df</vt:lpwstr>
  </property>
  <property fmtid="{D5CDD505-2E9C-101B-9397-08002B2CF9AE}" pid="9" name="MSIP_Label_66cf8fe5-b7b7-4df7-b38d-1c61ac2f6639_ContentBits">
    <vt:lpwstr>0</vt:lpwstr>
  </property>
</Properties>
</file>