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word/theme/theme1.xml" ContentType="application/vnd.openxmlformats-officedocument.theme+xml"/>
  <Override PartName="/word/fontTable.xml" ContentType="application/vnd.openxmlformats-officedocument.wordprocessingml.fontTable+xml"/>
  <Override PartName="/docProps/core.xml" ContentType="application/vnd.openxmlformats-package.core-properties+xml"/>
  <Override PartName="/word/document.xml" ContentType="application/vnd.openxmlformats-officedocument.wordprocessingml.document.main+xml"/>
  <Override PartName="/word/header1.xml" ContentType="application/vnd.openxmlformats-officedocument.wordprocessingml.header+xml"/>
  <Override PartName="/word/numbering.xml" ContentType="application/vnd.openxmlformats-officedocument.wordprocessingml.numbering+xml"/>
  <Override PartName="/word/footer2.xml" ContentType="application/vnd.openxmlformats-officedocument.wordprocessingml.footer+xml"/>
  <Override PartName="/word/settings.xml" ContentType="application/vnd.openxmlformats-officedocument.wordprocessingml.settings+xml"/>
  <Override PartName="/docProps/custom.xml" ContentType="application/vnd.openxmlformats-officedocument.custom-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spacing w:lineRule="auto" w:line="360"/>
        <w:ind w:left="426" w:right="272"/>
        <w:jc w:val="center"/>
        <w:rPr>
          <w:rFonts w:ascii="Arial" w:cs="Arial" w:eastAsia="Arial" w:hAnsi="Arial"/>
          <w:b/>
          <w:sz w:val="24"/>
          <w:szCs w:val="24"/>
          <w:u w:val="single"/>
        </w:rPr>
      </w:pPr>
    </w:p>
    <w:p>
      <w:pPr>
        <w:pStyle w:val="style0"/>
        <w:spacing w:lineRule="auto" w:line="360"/>
        <w:ind w:left="426" w:right="272"/>
        <w:jc w:val="center"/>
        <w:rPr>
          <w:rFonts w:ascii="Arial" w:cs="Arial" w:eastAsia="Arial" w:hAnsi="Arial"/>
          <w:b/>
          <w:sz w:val="24"/>
          <w:szCs w:val="24"/>
          <w:u w:val="single"/>
        </w:rPr>
      </w:pPr>
    </w:p>
    <w:p>
      <w:pPr>
        <w:pStyle w:val="style0"/>
        <w:spacing w:lineRule="auto" w:line="360"/>
        <w:ind w:left="426" w:right="272"/>
        <w:jc w:val="center"/>
        <w:rPr>
          <w:rFonts w:ascii="Arial" w:cs="Arial" w:eastAsia="Arial" w:hAnsi="Arial"/>
          <w:b/>
          <w:sz w:val="24"/>
          <w:szCs w:val="24"/>
          <w:u w:val="single"/>
        </w:rPr>
      </w:pPr>
    </w:p>
    <w:p>
      <w:pPr>
        <w:pStyle w:val="style0"/>
        <w:spacing w:lineRule="auto" w:line="360"/>
        <w:ind w:left="426" w:right="272"/>
        <w:jc w:val="center"/>
        <w:rPr>
          <w:rFonts w:ascii="Arial" w:cs="Arial" w:eastAsia="Arial" w:hAnsi="Arial"/>
          <w:b/>
          <w:sz w:val="24"/>
          <w:szCs w:val="24"/>
          <w:u w:val="single"/>
        </w:rPr>
      </w:pPr>
    </w:p>
    <w:p>
      <w:pPr>
        <w:pStyle w:val="style0"/>
        <w:spacing w:lineRule="auto" w:line="360"/>
        <w:ind w:left="426" w:right="272"/>
        <w:jc w:val="center"/>
        <w:rPr>
          <w:rFonts w:ascii="Arial" w:cs="Arial" w:eastAsia="Arial" w:hAnsi="Arial"/>
          <w:b/>
          <w:sz w:val="24"/>
          <w:szCs w:val="24"/>
          <w:u w:val="single"/>
        </w:rPr>
      </w:pPr>
    </w:p>
    <w:p>
      <w:pPr>
        <w:pStyle w:val="style0"/>
        <w:spacing w:lineRule="auto" w:line="360"/>
        <w:ind w:left="426" w:right="272"/>
        <w:jc w:val="center"/>
        <w:rPr>
          <w:rFonts w:ascii="Arial" w:cs="Arial" w:eastAsia="Arial" w:hAnsi="Arial"/>
          <w:b/>
          <w:sz w:val="24"/>
          <w:szCs w:val="24"/>
          <w:u w:val="single"/>
        </w:rPr>
      </w:pPr>
    </w:p>
    <w:p>
      <w:pPr>
        <w:pStyle w:val="style0"/>
        <w:spacing w:lineRule="auto" w:line="360"/>
        <w:ind w:left="426" w:right="272"/>
        <w:jc w:val="center"/>
        <w:rPr>
          <w:rFonts w:ascii="Arial" w:cs="Arial" w:eastAsia="Arial" w:hAnsi="Arial"/>
          <w:b/>
          <w:sz w:val="24"/>
          <w:szCs w:val="24"/>
          <w:u w:val="single"/>
        </w:rPr>
      </w:pPr>
    </w:p>
    <w:p>
      <w:pPr>
        <w:pStyle w:val="style0"/>
        <w:spacing w:lineRule="auto" w:line="360"/>
        <w:ind w:left="426" w:right="272"/>
        <w:jc w:val="center"/>
        <w:rPr>
          <w:rFonts w:ascii="Arial" w:cs="Arial" w:eastAsia="Arial" w:hAnsi="Arial"/>
          <w:b/>
          <w:sz w:val="24"/>
          <w:szCs w:val="24"/>
        </w:rPr>
      </w:pPr>
      <w:r>
        <w:rPr>
          <w:rFonts w:ascii="Arial" w:cs="Arial" w:eastAsia="Arial" w:hAnsi="Arial"/>
          <w:b/>
          <w:sz w:val="24"/>
          <w:szCs w:val="24"/>
        </w:rPr>
        <w:t>Master of Business Administration</w:t>
      </w:r>
    </w:p>
    <w:p>
      <w:pPr>
        <w:pStyle w:val="style0"/>
        <w:spacing w:lineRule="auto" w:line="360"/>
        <w:ind w:left="426" w:right="272"/>
        <w:jc w:val="center"/>
        <w:rPr>
          <w:rFonts w:ascii="Arial" w:cs="Arial" w:eastAsia="Arial" w:hAnsi="Arial"/>
          <w:b/>
          <w:sz w:val="24"/>
          <w:szCs w:val="24"/>
        </w:rPr>
      </w:pPr>
      <w:r>
        <w:rPr>
          <w:rFonts w:ascii="Arial" w:cs="Arial" w:eastAsia="Arial" w:hAnsi="Arial"/>
          <w:b/>
          <w:sz w:val="24"/>
          <w:szCs w:val="24"/>
        </w:rPr>
        <w:t>Human Capital Management LCMB7023</w:t>
      </w:r>
    </w:p>
    <w:p>
      <w:pPr>
        <w:pStyle w:val="style0"/>
        <w:spacing w:lineRule="auto" w:line="360"/>
        <w:ind w:left="426" w:right="272"/>
        <w:jc w:val="center"/>
        <w:rPr>
          <w:rFonts w:ascii="Arial" w:cs="Arial" w:eastAsia="Arial" w:hAnsi="Arial"/>
          <w:b/>
          <w:sz w:val="24"/>
          <w:szCs w:val="24"/>
        </w:rPr>
      </w:pPr>
      <w:r>
        <w:rPr>
          <w:rFonts w:ascii="Arial" w:cs="Arial" w:eastAsia="Arial" w:hAnsi="Arial"/>
          <w:b/>
          <w:sz w:val="24"/>
          <w:szCs w:val="24"/>
        </w:rPr>
        <w:t>Assessment component 1: Individual report</w:t>
      </w:r>
    </w:p>
    <w:p>
      <w:pPr>
        <w:pStyle w:val="style0"/>
        <w:spacing w:lineRule="auto" w:line="360"/>
        <w:ind w:left="426" w:right="272"/>
        <w:jc w:val="center"/>
        <w:rPr>
          <w:rFonts w:ascii="Arial" w:cs="Arial" w:eastAsia="Arial" w:hAnsi="Arial"/>
          <w:b/>
          <w:sz w:val="24"/>
          <w:szCs w:val="24"/>
        </w:rPr>
      </w:pPr>
      <w:r>
        <w:rPr>
          <w:rFonts w:ascii="Arial" w:cs="Arial" w:eastAsia="Arial" w:hAnsi="Arial"/>
          <w:b/>
          <w:sz w:val="24"/>
          <w:szCs w:val="24"/>
        </w:rPr>
        <w:t>Student Name:</w:t>
      </w:r>
      <w:r>
        <w:rPr>
          <w:rFonts w:ascii="Arial" w:cs="Arial" w:eastAsia="Arial" w:hAnsi="Arial"/>
          <w:b/>
          <w:sz w:val="24"/>
          <w:szCs w:val="24"/>
          <w:lang w:val="en-US"/>
        </w:rPr>
        <w:t xml:space="preserve"> payal odedra </w:t>
      </w:r>
    </w:p>
    <w:p>
      <w:pPr>
        <w:pStyle w:val="style0"/>
        <w:spacing w:lineRule="auto" w:line="360"/>
        <w:ind w:left="426" w:right="272"/>
        <w:jc w:val="center"/>
        <w:rPr>
          <w:rFonts w:ascii="Arial" w:cs="Arial" w:eastAsia="Arial" w:hAnsi="Arial"/>
          <w:b/>
          <w:sz w:val="24"/>
          <w:szCs w:val="24"/>
        </w:rPr>
      </w:pPr>
      <w:r>
        <w:rPr>
          <w:rFonts w:ascii="Arial" w:cs="Arial" w:eastAsia="Arial" w:hAnsi="Arial"/>
          <w:b/>
          <w:sz w:val="24"/>
          <w:szCs w:val="24"/>
        </w:rPr>
        <w:t>Student ID:</w:t>
      </w:r>
      <w:r>
        <w:rPr>
          <w:rFonts w:ascii="Arial" w:cs="Arial" w:eastAsia="Arial" w:hAnsi="Arial"/>
          <w:b/>
          <w:sz w:val="24"/>
          <w:szCs w:val="24"/>
          <w:lang w:val="en-US"/>
        </w:rPr>
        <w:t xml:space="preserve"> 2439521</w:t>
      </w:r>
    </w:p>
    <w:p>
      <w:pPr>
        <w:pStyle w:val="style0"/>
        <w:spacing w:lineRule="auto" w:line="360"/>
        <w:ind w:left="426" w:right="272"/>
        <w:jc w:val="center"/>
        <w:rPr>
          <w:rFonts w:ascii="Arial" w:cs="Arial" w:eastAsia="Arial" w:hAnsi="Arial"/>
          <w:b/>
          <w:sz w:val="24"/>
          <w:szCs w:val="24"/>
        </w:rPr>
      </w:pPr>
      <w:r>
        <w:rPr>
          <w:rFonts w:ascii="Arial" w:cs="Arial" w:eastAsia="Arial" w:hAnsi="Arial"/>
          <w:b/>
          <w:sz w:val="24"/>
          <w:szCs w:val="24"/>
        </w:rPr>
        <w:t>Word Count: 27</w:t>
      </w:r>
      <w:r>
        <w:rPr>
          <w:rFonts w:ascii="Arial" w:cs="Arial" w:eastAsia="Arial" w:hAnsi="Arial"/>
          <w:b/>
          <w:sz w:val="24"/>
          <w:szCs w:val="24"/>
        </w:rPr>
        <w:t>43</w:t>
      </w:r>
    </w:p>
    <w:p>
      <w:pPr>
        <w:pStyle w:val="style0"/>
        <w:spacing w:lineRule="auto" w:line="360"/>
        <w:ind w:left="426" w:right="272"/>
        <w:jc w:val="center"/>
        <w:rPr>
          <w:rFonts w:ascii="Arial" w:cs="Arial" w:eastAsia="Arial" w:hAnsi="Arial"/>
          <w:b/>
          <w:sz w:val="24"/>
          <w:szCs w:val="24"/>
        </w:rPr>
      </w:pPr>
      <w:r>
        <w:rPr>
          <w:rFonts w:ascii="Arial" w:cs="Arial" w:eastAsia="Arial" w:hAnsi="Arial"/>
          <w:b/>
          <w:sz w:val="24"/>
          <w:szCs w:val="24"/>
        </w:rPr>
        <w:t xml:space="preserve">October </w:t>
      </w:r>
      <w:r>
        <w:rPr>
          <w:rFonts w:ascii="Arial" w:cs="Arial" w:eastAsia="Arial" w:hAnsi="Arial"/>
          <w:b/>
          <w:sz w:val="24"/>
          <w:szCs w:val="24"/>
          <w:lang w:val="en-US"/>
        </w:rPr>
        <w:t>17</w:t>
      </w:r>
      <w:r>
        <w:rPr>
          <w:rFonts w:ascii="Arial" w:cs="Arial" w:eastAsia="Arial" w:hAnsi="Arial"/>
          <w:b/>
          <w:sz w:val="24"/>
          <w:szCs w:val="24"/>
          <w:vertAlign w:val="superscript"/>
        </w:rPr>
        <w:t>th</w:t>
      </w:r>
      <w:r>
        <w:rPr>
          <w:rFonts w:ascii="Arial" w:cs="Arial" w:eastAsia="Arial" w:hAnsi="Arial"/>
          <w:b/>
          <w:sz w:val="24"/>
          <w:szCs w:val="24"/>
        </w:rPr>
        <w:t xml:space="preserve"> 2025</w:t>
      </w:r>
    </w:p>
    <w:p>
      <w:pPr>
        <w:pStyle w:val="style0"/>
        <w:spacing w:lineRule="auto" w:line="360"/>
        <w:rPr>
          <w:rFonts w:ascii="Arial" w:cs="Arial" w:eastAsia="Arial" w:hAnsi="Arial"/>
          <w:sz w:val="24"/>
          <w:szCs w:val="24"/>
        </w:rPr>
      </w:pPr>
      <w:r>
        <w:br w:type="page"/>
      </w:r>
    </w:p>
    <w:p>
      <w:pPr>
        <w:pStyle w:val="style0"/>
        <w:keepNext/>
        <w:keepLines/>
        <w:pBdr>
          <w:left w:val="nil"/>
          <w:right w:val="nil"/>
          <w:top w:val="nil"/>
          <w:bottom w:val="nil"/>
          <w:between w:val="nil"/>
        </w:pBdr>
        <w:spacing w:before="240" w:lineRule="auto" w:line="360"/>
        <w:jc w:val="both"/>
        <w:rPr>
          <w:rFonts w:ascii="Arial" w:cs="Arial" w:eastAsia="Arial" w:hAnsi="Arial"/>
          <w:b/>
          <w:color w:val="000000"/>
          <w:sz w:val="24"/>
          <w:szCs w:val="24"/>
        </w:rPr>
      </w:pPr>
      <w:r>
        <w:rPr>
          <w:rFonts w:ascii="Arial" w:cs="Arial" w:eastAsia="Arial" w:hAnsi="Arial"/>
          <w:b/>
          <w:color w:val="000000"/>
          <w:sz w:val="24"/>
          <w:szCs w:val="24"/>
        </w:rPr>
        <w:t>Table of Contents</w:t>
      </w:r>
    </w:p>
    <w:p>
      <w:pPr>
        <w:pStyle w:val="style0"/>
        <w:pBdr>
          <w:left w:val="nil"/>
          <w:right w:val="nil"/>
          <w:top w:val="nil"/>
          <w:bottom w:val="nil"/>
          <w:between w:val="nil"/>
        </w:pBdr>
        <w:tabs>
          <w:tab w:val="right" w:leader="dot" w:pos="9800"/>
        </w:tabs>
        <w:spacing w:lineRule="auto" w:line="360"/>
        <w:rPr>
          <w:rFonts w:ascii="Arial" w:cs="Arial" w:eastAsia="Arial" w:hAnsi="Arial"/>
          <w:color w:val="000000"/>
          <w:sz w:val="24"/>
          <w:szCs w:val="24"/>
        </w:rPr>
      </w:pPr>
      <w:r>
        <w:rPr/>
        <w:fldChar w:fldCharType="begin"/>
      </w:r>
      <w:r>
        <w:instrText xml:space="preserve"> TOC \h \u \z \t "Heading 1,1,Heading 2,2,Heading 3,3,"</w:instrText>
      </w:r>
      <w:r>
        <w:rPr/>
        <w:fldChar w:fldCharType="separate"/>
      </w:r>
      <w:r>
        <w:rPr/>
        <w:fldChar w:fldCharType="begin"/>
      </w:r>
      <w:r>
        <w:instrText xml:space="preserve"> HYPERLINK \l "_n52mqkvkugpr" </w:instrText>
      </w:r>
      <w:r>
        <w:rPr/>
        <w:fldChar w:fldCharType="separate"/>
      </w:r>
      <w:r>
        <w:rPr>
          <w:rFonts w:ascii="Arial" w:cs="Arial" w:eastAsia="Arial" w:hAnsi="Arial"/>
          <w:color w:val="000000"/>
          <w:sz w:val="24"/>
          <w:szCs w:val="24"/>
        </w:rPr>
        <w:t>Introduction</w:t>
      </w:r>
      <w:r>
        <w:rPr>
          <w:rFonts w:ascii="Arial" w:cs="Arial" w:eastAsia="Arial" w:hAnsi="Arial"/>
          <w:color w:val="000000"/>
          <w:sz w:val="24"/>
          <w:szCs w:val="24"/>
        </w:rPr>
        <w:tab/>
      </w:r>
      <w:r>
        <w:rPr>
          <w:rFonts w:ascii="Arial" w:cs="Arial" w:eastAsia="Arial" w:hAnsi="Arial"/>
          <w:color w:val="000000"/>
          <w:sz w:val="24"/>
          <w:szCs w:val="24"/>
        </w:rPr>
        <w:t>3</w:t>
      </w:r>
      <w:r>
        <w:rPr/>
        <w:fldChar w:fldCharType="end"/>
      </w:r>
    </w:p>
    <w:p>
      <w:pPr>
        <w:pStyle w:val="style0"/>
        <w:pBdr>
          <w:left w:val="nil"/>
          <w:right w:val="nil"/>
          <w:top w:val="nil"/>
          <w:bottom w:val="nil"/>
          <w:between w:val="nil"/>
        </w:pBdr>
        <w:tabs>
          <w:tab w:val="right" w:leader="dot" w:pos="9800"/>
        </w:tabs>
        <w:spacing w:lineRule="auto" w:line="360"/>
        <w:rPr>
          <w:rFonts w:ascii="Arial" w:cs="Arial" w:eastAsia="Arial" w:hAnsi="Arial"/>
          <w:color w:val="000000"/>
          <w:sz w:val="24"/>
          <w:szCs w:val="24"/>
        </w:rPr>
      </w:pPr>
      <w:r>
        <w:rPr/>
        <w:fldChar w:fldCharType="begin"/>
      </w:r>
      <w:r>
        <w:instrText xml:space="preserve"> HYPERLINK \l "_9r05c9gnhfol" </w:instrText>
      </w:r>
      <w:r>
        <w:rPr/>
        <w:fldChar w:fldCharType="separate"/>
      </w:r>
      <w:r>
        <w:rPr>
          <w:rFonts w:ascii="Arial" w:cs="Arial" w:eastAsia="Arial" w:hAnsi="Arial"/>
          <w:color w:val="000000"/>
          <w:sz w:val="24"/>
          <w:szCs w:val="24"/>
        </w:rPr>
        <w:t>1. Reshaping Labour Markets by Technological Advancements (AI, Automation, Digital Platforms) and their Implications on HRM and IHRM Strategies</w:t>
      </w:r>
      <w:r>
        <w:rPr>
          <w:rFonts w:ascii="Arial" w:cs="Arial" w:eastAsia="Arial" w:hAnsi="Arial"/>
          <w:color w:val="000000"/>
          <w:sz w:val="24"/>
          <w:szCs w:val="24"/>
        </w:rPr>
        <w:tab/>
      </w:r>
      <w:r>
        <w:rPr>
          <w:rFonts w:ascii="Arial" w:cs="Arial" w:eastAsia="Arial" w:hAnsi="Arial"/>
          <w:color w:val="000000"/>
          <w:sz w:val="24"/>
          <w:szCs w:val="24"/>
        </w:rPr>
        <w:t>3</w:t>
      </w:r>
      <w:r>
        <w:rPr/>
        <w:fldChar w:fldCharType="end"/>
      </w:r>
    </w:p>
    <w:p>
      <w:pPr>
        <w:pStyle w:val="style0"/>
        <w:pBdr>
          <w:left w:val="nil"/>
          <w:right w:val="nil"/>
          <w:top w:val="nil"/>
          <w:bottom w:val="nil"/>
          <w:between w:val="nil"/>
        </w:pBdr>
        <w:tabs>
          <w:tab w:val="right" w:leader="dot" w:pos="9800"/>
        </w:tabs>
        <w:spacing w:lineRule="auto" w:line="360"/>
        <w:rPr>
          <w:rFonts w:ascii="Arial" w:cs="Arial" w:eastAsia="Arial" w:hAnsi="Arial"/>
          <w:color w:val="000000"/>
          <w:sz w:val="24"/>
          <w:szCs w:val="24"/>
        </w:rPr>
      </w:pPr>
      <w:r>
        <w:rPr/>
        <w:fldChar w:fldCharType="begin"/>
      </w:r>
      <w:r>
        <w:instrText xml:space="preserve"> HYPERLINK \l "_kb6mf3nhgakl" </w:instrText>
      </w:r>
      <w:r>
        <w:rPr/>
        <w:fldChar w:fldCharType="separate"/>
      </w:r>
      <w:r>
        <w:rPr>
          <w:rFonts w:ascii="Arial" w:cs="Arial" w:eastAsia="Arial" w:hAnsi="Arial"/>
          <w:color w:val="000000"/>
          <w:sz w:val="24"/>
          <w:szCs w:val="24"/>
        </w:rPr>
        <w:t xml:space="preserve">2. Key Demographic and Geopolitical Factors Influencing Employment Markets and Challenges towards HR Professionals </w:t>
      </w:r>
      <w:r>
        <w:rPr>
          <w:rFonts w:ascii="Arial" w:cs="Arial" w:eastAsia="Arial" w:hAnsi="Arial"/>
          <w:color w:val="000000"/>
          <w:sz w:val="24"/>
          <w:szCs w:val="24"/>
        </w:rPr>
        <w:tab/>
      </w:r>
      <w:r>
        <w:rPr>
          <w:rFonts w:ascii="Arial" w:cs="Arial" w:eastAsia="Arial" w:hAnsi="Arial"/>
          <w:color w:val="000000"/>
          <w:sz w:val="24"/>
          <w:szCs w:val="24"/>
        </w:rPr>
        <w:t>5</w:t>
      </w:r>
      <w:r>
        <w:rPr/>
        <w:fldChar w:fldCharType="end"/>
      </w:r>
    </w:p>
    <w:p>
      <w:pPr>
        <w:pStyle w:val="style0"/>
        <w:pBdr>
          <w:left w:val="nil"/>
          <w:right w:val="nil"/>
          <w:top w:val="nil"/>
          <w:bottom w:val="nil"/>
          <w:between w:val="nil"/>
        </w:pBdr>
        <w:tabs>
          <w:tab w:val="right" w:leader="dot" w:pos="9800"/>
        </w:tabs>
        <w:spacing w:lineRule="auto" w:line="360"/>
        <w:rPr>
          <w:rFonts w:ascii="Arial" w:cs="Arial" w:eastAsia="Arial" w:hAnsi="Arial"/>
          <w:color w:val="000000"/>
          <w:sz w:val="24"/>
          <w:szCs w:val="24"/>
        </w:rPr>
      </w:pPr>
      <w:r>
        <w:rPr/>
        <w:fldChar w:fldCharType="begin"/>
      </w:r>
      <w:r>
        <w:instrText xml:space="preserve"> HYPERLINK \l "_79oim63fwqur" </w:instrText>
      </w:r>
      <w:r>
        <w:rPr/>
        <w:fldChar w:fldCharType="separate"/>
      </w:r>
      <w:r>
        <w:rPr>
          <w:rFonts w:ascii="Arial" w:cs="Arial" w:eastAsia="Arial" w:hAnsi="Arial"/>
          <w:color w:val="000000"/>
          <w:sz w:val="24"/>
          <w:szCs w:val="24"/>
        </w:rPr>
        <w:t xml:space="preserve">3. Addressing Persistent Skills Gaps, Talent Shortages in Critical Sectors (e.g., tech, hospitality, healthcare) through Strategic HRM </w:t>
      </w:r>
      <w:r>
        <w:rPr>
          <w:rFonts w:ascii="Arial" w:cs="Arial" w:eastAsia="Arial" w:hAnsi="Arial"/>
          <w:color w:val="000000"/>
          <w:sz w:val="24"/>
          <w:szCs w:val="24"/>
        </w:rPr>
        <w:tab/>
      </w:r>
      <w:r>
        <w:rPr>
          <w:rFonts w:ascii="Arial" w:cs="Arial" w:eastAsia="Arial" w:hAnsi="Arial"/>
          <w:color w:val="000000"/>
          <w:sz w:val="24"/>
          <w:szCs w:val="24"/>
        </w:rPr>
        <w:t>8</w:t>
      </w:r>
      <w:r>
        <w:rPr/>
        <w:fldChar w:fldCharType="end"/>
      </w:r>
    </w:p>
    <w:p>
      <w:pPr>
        <w:pStyle w:val="style0"/>
        <w:pBdr>
          <w:left w:val="nil"/>
          <w:right w:val="nil"/>
          <w:top w:val="nil"/>
          <w:bottom w:val="nil"/>
          <w:between w:val="nil"/>
        </w:pBdr>
        <w:tabs>
          <w:tab w:val="right" w:leader="dot" w:pos="9800"/>
        </w:tabs>
        <w:spacing w:lineRule="auto" w:line="360"/>
        <w:rPr>
          <w:rFonts w:ascii="Arial" w:cs="Arial" w:eastAsia="Arial" w:hAnsi="Arial"/>
          <w:color w:val="000000"/>
          <w:sz w:val="24"/>
          <w:szCs w:val="24"/>
        </w:rPr>
      </w:pPr>
      <w:r>
        <w:rPr/>
        <w:fldChar w:fldCharType="begin"/>
      </w:r>
      <w:r>
        <w:instrText xml:space="preserve"> HYPERLINK \l "_txn7vw4wk7vg" </w:instrText>
      </w:r>
      <w:r>
        <w:rPr/>
        <w:fldChar w:fldCharType="separate"/>
      </w:r>
      <w:r>
        <w:rPr>
          <w:rFonts w:ascii="Arial" w:cs="Arial" w:eastAsia="Arial" w:hAnsi="Arial"/>
          <w:color w:val="000000"/>
          <w:sz w:val="24"/>
          <w:szCs w:val="24"/>
        </w:rPr>
        <w:t xml:space="preserve">4. Reflective Report on Current Capabilities and Preparedness to Enter Labour Market </w:t>
      </w:r>
      <w:r>
        <w:rPr>
          <w:rFonts w:ascii="Arial" w:cs="Arial" w:eastAsia="Arial" w:hAnsi="Arial"/>
          <w:color w:val="000000"/>
          <w:sz w:val="24"/>
          <w:szCs w:val="24"/>
        </w:rPr>
        <w:tab/>
      </w:r>
      <w:r>
        <w:rPr>
          <w:rFonts w:ascii="Arial" w:cs="Arial" w:eastAsia="Arial" w:hAnsi="Arial"/>
          <w:color w:val="000000"/>
          <w:sz w:val="24"/>
          <w:szCs w:val="24"/>
        </w:rPr>
        <w:t>9</w:t>
      </w:r>
      <w:r>
        <w:rPr/>
        <w:fldChar w:fldCharType="end"/>
      </w:r>
    </w:p>
    <w:p>
      <w:pPr>
        <w:pStyle w:val="style0"/>
        <w:pBdr>
          <w:left w:val="nil"/>
          <w:right w:val="nil"/>
          <w:top w:val="nil"/>
          <w:bottom w:val="nil"/>
          <w:between w:val="nil"/>
        </w:pBdr>
        <w:tabs>
          <w:tab w:val="right" w:leader="dot" w:pos="9800"/>
        </w:tabs>
        <w:spacing w:lineRule="auto" w:line="360"/>
        <w:rPr>
          <w:rFonts w:ascii="Arial" w:cs="Arial" w:eastAsia="Arial" w:hAnsi="Arial"/>
          <w:color w:val="000000"/>
          <w:sz w:val="24"/>
          <w:szCs w:val="24"/>
        </w:rPr>
      </w:pPr>
      <w:r>
        <w:rPr/>
        <w:fldChar w:fldCharType="begin"/>
      </w:r>
      <w:r>
        <w:instrText xml:space="preserve"> HYPERLINK \l "_j14dar6zzw8" </w:instrText>
      </w:r>
      <w:r>
        <w:rPr/>
        <w:fldChar w:fldCharType="separate"/>
      </w:r>
      <w:r>
        <w:rPr>
          <w:rFonts w:ascii="Arial" w:cs="Arial" w:eastAsia="Arial" w:hAnsi="Arial"/>
          <w:color w:val="000000"/>
          <w:sz w:val="24"/>
          <w:szCs w:val="24"/>
        </w:rPr>
        <w:t>Conclusion</w:t>
      </w:r>
      <w:r>
        <w:rPr>
          <w:rFonts w:ascii="Arial" w:cs="Arial" w:eastAsia="Arial" w:hAnsi="Arial"/>
          <w:color w:val="000000"/>
          <w:sz w:val="24"/>
          <w:szCs w:val="24"/>
        </w:rPr>
        <w:tab/>
      </w:r>
      <w:r>
        <w:rPr>
          <w:rFonts w:ascii="Arial" w:cs="Arial" w:eastAsia="Arial" w:hAnsi="Arial"/>
          <w:color w:val="000000"/>
          <w:sz w:val="24"/>
          <w:szCs w:val="24"/>
        </w:rPr>
        <w:t>13</w:t>
      </w:r>
      <w:r>
        <w:rPr/>
        <w:fldChar w:fldCharType="end"/>
      </w:r>
    </w:p>
    <w:p>
      <w:pPr>
        <w:pStyle w:val="style0"/>
        <w:pBdr>
          <w:left w:val="nil"/>
          <w:right w:val="nil"/>
          <w:top w:val="nil"/>
          <w:bottom w:val="nil"/>
          <w:between w:val="nil"/>
        </w:pBdr>
        <w:tabs>
          <w:tab w:val="right" w:leader="dot" w:pos="9800"/>
        </w:tabs>
        <w:spacing w:lineRule="auto" w:line="360"/>
        <w:rPr>
          <w:rFonts w:ascii="Arial" w:cs="Arial" w:eastAsia="Arial" w:hAnsi="Arial"/>
          <w:color w:val="000000"/>
          <w:sz w:val="24"/>
          <w:szCs w:val="24"/>
        </w:rPr>
      </w:pPr>
      <w:r>
        <w:rPr/>
        <w:fldChar w:fldCharType="begin"/>
      </w:r>
      <w:r>
        <w:instrText xml:space="preserve"> HYPERLINK \l "_5bffc6ptlqfi" </w:instrText>
      </w:r>
      <w:r>
        <w:rPr/>
        <w:fldChar w:fldCharType="separate"/>
      </w:r>
      <w:r>
        <w:rPr>
          <w:rFonts w:ascii="Arial" w:cs="Arial" w:eastAsia="Arial" w:hAnsi="Arial"/>
          <w:color w:val="000000"/>
          <w:sz w:val="24"/>
          <w:szCs w:val="24"/>
        </w:rPr>
        <w:t xml:space="preserve">References </w:t>
      </w:r>
      <w:r>
        <w:rPr>
          <w:rFonts w:ascii="Arial" w:cs="Arial" w:eastAsia="Arial" w:hAnsi="Arial"/>
          <w:color w:val="000000"/>
          <w:sz w:val="24"/>
          <w:szCs w:val="24"/>
        </w:rPr>
        <w:tab/>
      </w:r>
      <w:r>
        <w:rPr>
          <w:rFonts w:ascii="Arial" w:cs="Arial" w:eastAsia="Arial" w:hAnsi="Arial"/>
          <w:color w:val="000000"/>
          <w:sz w:val="24"/>
          <w:szCs w:val="24"/>
        </w:rPr>
        <w:t>14</w:t>
      </w:r>
      <w:r>
        <w:rPr/>
        <w:fldChar w:fldCharType="end"/>
      </w:r>
    </w:p>
    <w:p>
      <w:pPr>
        <w:pStyle w:val="style0"/>
        <w:spacing w:lineRule="auto" w:line="360"/>
        <w:rPr>
          <w:rFonts w:ascii="Arial" w:cs="Arial" w:eastAsia="Arial" w:hAnsi="Arial"/>
          <w:sz w:val="24"/>
          <w:szCs w:val="24"/>
        </w:rPr>
      </w:pPr>
      <w:r>
        <w:rPr/>
        <w:fldChar w:fldCharType="end"/>
      </w:r>
    </w:p>
    <w:p>
      <w:pPr>
        <w:pStyle w:val="style0"/>
        <w:spacing w:lineRule="auto" w:line="360"/>
        <w:ind w:left="426" w:right="272"/>
        <w:jc w:val="center"/>
        <w:rPr>
          <w:rFonts w:ascii="Arial" w:cs="Arial" w:eastAsia="Arial" w:hAnsi="Arial"/>
          <w:sz w:val="24"/>
          <w:szCs w:val="24"/>
        </w:rPr>
      </w:pPr>
    </w:p>
    <w:p>
      <w:pPr>
        <w:pStyle w:val="style0"/>
        <w:spacing w:lineRule="auto" w:line="360"/>
        <w:ind w:left="426" w:right="272"/>
        <w:jc w:val="center"/>
        <w:rPr>
          <w:rFonts w:ascii="Arial" w:cs="Arial" w:eastAsia="Arial" w:hAnsi="Arial"/>
          <w:sz w:val="24"/>
          <w:szCs w:val="24"/>
        </w:rPr>
      </w:pPr>
    </w:p>
    <w:p>
      <w:pPr>
        <w:pStyle w:val="style0"/>
        <w:spacing w:lineRule="auto" w:line="360"/>
        <w:ind w:left="426" w:right="272"/>
        <w:jc w:val="center"/>
        <w:rPr>
          <w:rFonts w:ascii="Arial" w:cs="Arial" w:eastAsia="Arial" w:hAnsi="Arial"/>
          <w:sz w:val="24"/>
          <w:szCs w:val="24"/>
        </w:rPr>
      </w:pPr>
    </w:p>
    <w:p>
      <w:pPr>
        <w:pStyle w:val="style0"/>
        <w:spacing w:lineRule="auto" w:line="360"/>
        <w:ind w:left="426" w:right="272"/>
        <w:jc w:val="center"/>
        <w:rPr>
          <w:rFonts w:ascii="Arial" w:cs="Arial" w:eastAsia="Arial" w:hAnsi="Arial"/>
          <w:sz w:val="24"/>
          <w:szCs w:val="24"/>
        </w:rPr>
      </w:pPr>
    </w:p>
    <w:p>
      <w:pPr>
        <w:pStyle w:val="style0"/>
        <w:spacing w:lineRule="auto" w:line="360"/>
        <w:ind w:left="426" w:right="272"/>
        <w:jc w:val="center"/>
        <w:rPr>
          <w:rFonts w:ascii="Arial" w:cs="Arial" w:eastAsia="Arial" w:hAnsi="Arial"/>
          <w:sz w:val="24"/>
          <w:szCs w:val="24"/>
        </w:rPr>
      </w:pPr>
    </w:p>
    <w:p>
      <w:pPr>
        <w:pStyle w:val="style0"/>
        <w:spacing w:lineRule="auto" w:line="360"/>
        <w:ind w:left="426" w:right="272"/>
        <w:jc w:val="center"/>
        <w:rPr>
          <w:rFonts w:ascii="Arial" w:cs="Arial" w:eastAsia="Arial" w:hAnsi="Arial"/>
          <w:sz w:val="24"/>
          <w:szCs w:val="24"/>
        </w:rPr>
      </w:pPr>
    </w:p>
    <w:p>
      <w:pPr>
        <w:pStyle w:val="style0"/>
        <w:spacing w:lineRule="auto" w:line="360"/>
        <w:ind w:left="426" w:right="272"/>
        <w:jc w:val="center"/>
        <w:rPr>
          <w:rFonts w:ascii="Arial" w:cs="Arial" w:eastAsia="Arial" w:hAnsi="Arial"/>
          <w:sz w:val="24"/>
          <w:szCs w:val="24"/>
        </w:rPr>
      </w:pPr>
    </w:p>
    <w:p>
      <w:pPr>
        <w:pStyle w:val="style0"/>
        <w:spacing w:lineRule="auto" w:line="360"/>
        <w:ind w:left="426" w:right="272"/>
        <w:jc w:val="center"/>
        <w:rPr>
          <w:rFonts w:ascii="Arial" w:cs="Arial" w:eastAsia="Arial" w:hAnsi="Arial"/>
          <w:sz w:val="24"/>
          <w:szCs w:val="24"/>
        </w:rPr>
      </w:pPr>
    </w:p>
    <w:p>
      <w:pPr>
        <w:pStyle w:val="style0"/>
        <w:spacing w:lineRule="auto" w:line="360"/>
        <w:ind w:left="426" w:right="272"/>
        <w:jc w:val="center"/>
        <w:rPr>
          <w:rFonts w:ascii="Arial" w:cs="Arial" w:eastAsia="Arial" w:hAnsi="Arial"/>
          <w:sz w:val="24"/>
          <w:szCs w:val="24"/>
        </w:rPr>
      </w:pPr>
    </w:p>
    <w:p>
      <w:pPr>
        <w:pStyle w:val="style0"/>
        <w:spacing w:lineRule="auto" w:line="360"/>
        <w:ind w:left="426" w:right="272"/>
        <w:jc w:val="center"/>
        <w:rPr>
          <w:rFonts w:ascii="Arial" w:cs="Arial" w:eastAsia="Arial" w:hAnsi="Arial"/>
          <w:sz w:val="24"/>
          <w:szCs w:val="24"/>
        </w:rPr>
      </w:pPr>
    </w:p>
    <w:p>
      <w:pPr>
        <w:pStyle w:val="style0"/>
        <w:spacing w:lineRule="auto" w:line="360"/>
        <w:ind w:left="426" w:right="272"/>
        <w:jc w:val="center"/>
        <w:rPr>
          <w:rFonts w:ascii="Arial" w:cs="Arial" w:eastAsia="Arial" w:hAnsi="Arial"/>
          <w:sz w:val="24"/>
          <w:szCs w:val="24"/>
        </w:rPr>
      </w:pPr>
    </w:p>
    <w:bookmarkStart w:id="0" w:name="_n52mqkvkugpr" w:colFirst="0" w:colLast="0"/>
    <w:bookmarkEnd w:id="0"/>
    <w:p>
      <w:pPr>
        <w:pStyle w:val="style1"/>
        <w:rPr>
          <w:sz w:val="24"/>
          <w:szCs w:val="24"/>
        </w:rPr>
      </w:pPr>
    </w:p>
    <w:p>
      <w:pPr>
        <w:pStyle w:val="style0"/>
        <w:spacing w:after="160" w:lineRule="auto" w:line="259"/>
        <w:rPr>
          <w:rFonts w:ascii="Arial" w:cs="Arial" w:eastAsia="Arial" w:hAnsi="Arial"/>
          <w:b/>
          <w:color w:val="000000"/>
          <w:sz w:val="24"/>
          <w:szCs w:val="24"/>
        </w:rPr>
      </w:pPr>
      <w:r>
        <w:br w:type="page"/>
      </w:r>
    </w:p>
    <w:p>
      <w:pPr>
        <w:pStyle w:val="style1"/>
        <w:rPr>
          <w:sz w:val="24"/>
          <w:szCs w:val="24"/>
        </w:rPr>
      </w:pPr>
      <w:r>
        <w:rPr>
          <w:sz w:val="24"/>
          <w:szCs w:val="24"/>
          <w:lang w:val="en-US"/>
        </w:rPr>
        <w:t xml:space="preserve">                              </w:t>
      </w:r>
      <w:r>
        <w:rPr>
          <w:sz w:val="24"/>
          <w:szCs w:val="24"/>
        </w:rPr>
        <w:t>Introduction</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The present report aims to evaluate the impacts of technological advancements on reshaping labour markets as well as on HRM and IHRM strategies. The report also describes the demographic as well as geopolitical factors influencing labour markets. The present report also addresses the skill gap and talent shortage in key sectors (healthcare sector, technological sector and hospitality sector). Lastly, the report has outlined the reflective report on self-efficacy and self-competence. </w:t>
      </w:r>
    </w:p>
    <w:bookmarkStart w:id="1" w:name="_9r05c9gnhfol" w:colFirst="0" w:colLast="0"/>
    <w:bookmarkEnd w:id="1"/>
    <w:p>
      <w:pPr>
        <w:pStyle w:val="style1"/>
        <w:rPr>
          <w:sz w:val="24"/>
          <w:szCs w:val="24"/>
        </w:rPr>
      </w:pPr>
      <w:r>
        <w:rPr>
          <w:sz w:val="24"/>
          <w:szCs w:val="24"/>
        </w:rPr>
        <w:t xml:space="preserve">1. Reshaping Labour Markets by Technological Advancements (AI, Automation, Digital Platforms) and their Implications on HRM and IHRM Strategies </w:t>
      </w:r>
    </w:p>
    <w:p>
      <w:pPr>
        <w:pStyle w:val="style0"/>
        <w:spacing w:lineRule="auto" w:line="360"/>
        <w:jc w:val="both"/>
        <w:rPr>
          <w:rFonts w:ascii="Arial" w:cs="Arial" w:eastAsia="Arial" w:hAnsi="Arial"/>
          <w:b/>
          <w:sz w:val="24"/>
          <w:szCs w:val="24"/>
        </w:rPr>
      </w:pPr>
      <w:r>
        <w:rPr>
          <w:rFonts w:ascii="Arial" w:cs="Arial" w:eastAsia="Arial" w:hAnsi="Arial"/>
          <w:b/>
          <w:sz w:val="24"/>
          <w:szCs w:val="24"/>
        </w:rPr>
        <w:t xml:space="preserve">Impacts of Digital Platforms </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The advanced technologies, including AI, automation processes, and various digital platforms, have reshaped the structure as well as dynamics of global labour markets. Referring to Figure 1, it is seen that labour workers include core workers as well as peripheral workers. Core workers are employed based on a standard contract. On the contrary, peripheral workers are employed on the basis of a short-term contract (Week 2 HRM Lecture Note). Following the traditional method, the companies relied heavily on the core labourers, including permanent and full-time employees (Cárdenas Villanueva, 2021). They were the backbone of the </w:t>
      </w:r>
      <w:r>
        <w:rPr>
          <w:rFonts w:ascii="Arial" w:cs="Arial" w:eastAsia="Arial" w:hAnsi="Arial"/>
          <w:sz w:val="24"/>
          <w:szCs w:val="24"/>
        </w:rPr>
        <w:t>organisations</w:t>
      </w:r>
      <w:r>
        <w:rPr>
          <w:rFonts w:ascii="Arial" w:cs="Arial" w:eastAsia="Arial" w:hAnsi="Arial"/>
          <w:color w:val="000000"/>
          <w:sz w:val="24"/>
          <w:szCs w:val="24"/>
        </w:rPr>
        <w:t xml:space="preserve"> before the technological advancement paradigm. The technology-driven flexibility, including the availability of various free digital platforms for communication, has changed the entire scenario of labour markets. Secondary and peripheral labour markets are being expanded, which include part-timers, freelancers, self-employed professionals, and agency workers. Introduction of digital platforms, including Upwork, Fiverr, and LinkedIn, has enhanced the gig economy and flexible and on-demand workforce. According to the Deloitte 2023 report, 72% businesses are relying on gig workers (Celestin, 2024). Figure 1 reflects the core primary labour markets and the secondary labour markets, which are comprised of part-time, job-sharing and short-term contracts. Therefore, the figure is efficient for understanding the actual labour markets in the extended landscapes from which the knowledge regarding the labour engagement is also ensured, which cn be of four different types self employed, sub-contracting, outsourcing and agency workers. </w:t>
      </w:r>
    </w:p>
    <w:p>
      <w:pPr>
        <w:pStyle w:val="style0"/>
        <w:pBdr>
          <w:left w:val="nil"/>
          <w:right w:val="nil"/>
          <w:top w:val="nil"/>
          <w:bottom w:val="nil"/>
          <w:between w:val="nil"/>
        </w:pBdr>
        <w:spacing w:before="280" w:lineRule="auto" w:line="360"/>
        <w:jc w:val="both"/>
        <w:rPr>
          <w:rFonts w:ascii="Arial" w:cs="Arial" w:eastAsia="Arial" w:hAnsi="Arial"/>
          <w:color w:val="ee0000"/>
          <w:sz w:val="24"/>
          <w:szCs w:val="24"/>
        </w:rPr>
      </w:pPr>
    </w:p>
    <w:p>
      <w:pPr>
        <w:pStyle w:val="style0"/>
        <w:pBdr>
          <w:left w:val="nil"/>
          <w:right w:val="nil"/>
          <w:top w:val="nil"/>
          <w:bottom w:val="nil"/>
          <w:between w:val="nil"/>
        </w:pBdr>
        <w:spacing w:before="280" w:lineRule="auto" w:line="360"/>
        <w:jc w:val="center"/>
        <w:rPr>
          <w:rFonts w:ascii="Arial" w:cs="Arial" w:eastAsia="Arial" w:hAnsi="Arial"/>
          <w:color w:val="000000"/>
          <w:sz w:val="24"/>
          <w:szCs w:val="24"/>
        </w:rPr>
      </w:pPr>
      <w:r>
        <w:rPr>
          <w:noProof/>
        </w:rPr>
        <w:drawing>
          <wp:anchor distT="0" distB="0" distL="114300" distR="114300" simplePos="false" relativeHeight="2" behindDoc="false" locked="false" layoutInCell="true" allowOverlap="true">
            <wp:simplePos x="0" y="0"/>
            <wp:positionH relativeFrom="page">
              <wp:posOffset>1819691</wp:posOffset>
            </wp:positionH>
            <wp:positionV relativeFrom="page">
              <wp:posOffset>1112467</wp:posOffset>
            </wp:positionV>
            <wp:extent cx="4229690" cy="2591161"/>
            <wp:effectExtent l="28575" t="28575" r="28575" b="28575"/>
            <wp:wrapSquare wrapText="bothSides"/>
            <wp:docPr id="1026" name="image1.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image1.png"/>
                    <pic:cNvPicPr/>
                  </pic:nvPicPr>
                  <pic:blipFill>
                    <a:blip r:embed="rId2" cstate="print"/>
                    <a:srcRect l="0" t="0" r="0" b="0"/>
                    <a:stretch/>
                  </pic:blipFill>
                  <pic:spPr>
                    <a:xfrm rot="0">
                      <a:off x="0" y="0"/>
                      <a:ext cx="4229690" cy="2591161"/>
                    </a:xfrm>
                    <a:prstGeom prst="rect"/>
                    <a:ln cmpd="sng" cap="flat" w="28575">
                      <a:solidFill>
                        <a:srgbClr val="000000"/>
                      </a:solidFill>
                      <a:prstDash val="solid"/>
                      <a:round/>
                      <a:headEnd/>
                      <a:tailEnd/>
                    </a:ln>
                  </pic:spPr>
                </pic:pic>
              </a:graphicData>
            </a:graphic>
          </wp:anchor>
        </w:drawing>
      </w:r>
    </w:p>
    <w:p>
      <w:pPr>
        <w:pStyle w:val="style0"/>
        <w:pBdr>
          <w:left w:val="nil"/>
          <w:right w:val="nil"/>
          <w:top w:val="nil"/>
          <w:bottom w:val="nil"/>
          <w:between w:val="nil"/>
        </w:pBdr>
        <w:spacing w:before="280" w:lineRule="auto" w:line="360"/>
        <w:jc w:val="center"/>
        <w:rPr>
          <w:rFonts w:ascii="Arial" w:cs="Arial" w:eastAsia="Arial" w:hAnsi="Arial"/>
          <w:b/>
          <w:color w:val="000000"/>
          <w:sz w:val="24"/>
          <w:szCs w:val="24"/>
        </w:rPr>
      </w:pPr>
    </w:p>
    <w:p>
      <w:pPr>
        <w:pStyle w:val="style0"/>
        <w:pBdr>
          <w:left w:val="nil"/>
          <w:right w:val="nil"/>
          <w:top w:val="nil"/>
          <w:bottom w:val="nil"/>
          <w:between w:val="nil"/>
        </w:pBdr>
        <w:spacing w:before="280" w:lineRule="auto" w:line="360"/>
        <w:jc w:val="center"/>
        <w:rPr>
          <w:rFonts w:ascii="Arial" w:cs="Arial" w:eastAsia="Arial" w:hAnsi="Arial"/>
          <w:b/>
          <w:color w:val="000000"/>
          <w:sz w:val="24"/>
          <w:szCs w:val="24"/>
        </w:rPr>
      </w:pPr>
    </w:p>
    <w:p>
      <w:pPr>
        <w:pStyle w:val="style0"/>
        <w:pBdr>
          <w:left w:val="nil"/>
          <w:right w:val="nil"/>
          <w:top w:val="nil"/>
          <w:bottom w:val="nil"/>
          <w:between w:val="nil"/>
        </w:pBdr>
        <w:spacing w:before="280" w:lineRule="auto" w:line="360"/>
        <w:jc w:val="center"/>
        <w:rPr>
          <w:rFonts w:ascii="Arial" w:cs="Arial" w:eastAsia="Arial" w:hAnsi="Arial"/>
          <w:b/>
          <w:color w:val="000000"/>
          <w:sz w:val="24"/>
          <w:szCs w:val="24"/>
        </w:rPr>
      </w:pPr>
    </w:p>
    <w:p>
      <w:pPr>
        <w:pStyle w:val="style0"/>
        <w:pBdr>
          <w:left w:val="nil"/>
          <w:right w:val="nil"/>
          <w:top w:val="nil"/>
          <w:bottom w:val="nil"/>
          <w:between w:val="nil"/>
        </w:pBdr>
        <w:spacing w:before="280" w:lineRule="auto" w:line="360"/>
        <w:jc w:val="center"/>
        <w:rPr>
          <w:rFonts w:ascii="Arial" w:cs="Arial" w:eastAsia="Arial" w:hAnsi="Arial"/>
          <w:b/>
          <w:color w:val="000000"/>
          <w:sz w:val="24"/>
          <w:szCs w:val="24"/>
        </w:rPr>
      </w:pPr>
    </w:p>
    <w:p>
      <w:pPr>
        <w:pStyle w:val="style0"/>
        <w:pBdr>
          <w:left w:val="nil"/>
          <w:right w:val="nil"/>
          <w:top w:val="nil"/>
          <w:bottom w:val="nil"/>
          <w:between w:val="nil"/>
        </w:pBdr>
        <w:spacing w:before="280" w:lineRule="auto" w:line="360"/>
        <w:jc w:val="center"/>
        <w:rPr>
          <w:rFonts w:ascii="Arial" w:cs="Arial" w:eastAsia="Arial" w:hAnsi="Arial"/>
          <w:b/>
          <w:color w:val="000000"/>
          <w:sz w:val="24"/>
          <w:szCs w:val="24"/>
        </w:rPr>
      </w:pPr>
    </w:p>
    <w:p>
      <w:pPr>
        <w:pStyle w:val="style0"/>
        <w:pBdr>
          <w:left w:val="nil"/>
          <w:right w:val="nil"/>
          <w:top w:val="nil"/>
          <w:bottom w:val="nil"/>
          <w:between w:val="nil"/>
        </w:pBdr>
        <w:spacing w:before="280" w:lineRule="auto" w:line="360"/>
        <w:jc w:val="center"/>
        <w:rPr>
          <w:rFonts w:ascii="Arial" w:cs="Arial" w:eastAsia="Arial" w:hAnsi="Arial"/>
          <w:b/>
          <w:color w:val="000000"/>
          <w:sz w:val="24"/>
          <w:szCs w:val="24"/>
        </w:rPr>
      </w:pPr>
    </w:p>
    <w:p>
      <w:pPr>
        <w:pStyle w:val="style0"/>
        <w:pBdr>
          <w:left w:val="nil"/>
          <w:right w:val="nil"/>
          <w:top w:val="nil"/>
          <w:bottom w:val="nil"/>
          <w:between w:val="nil"/>
        </w:pBdr>
        <w:spacing w:before="280" w:lineRule="auto" w:line="360"/>
        <w:jc w:val="center"/>
        <w:rPr>
          <w:rFonts w:ascii="Arial" w:cs="Arial" w:eastAsia="Arial" w:hAnsi="Arial"/>
          <w:b/>
          <w:color w:val="000000"/>
          <w:sz w:val="24"/>
          <w:szCs w:val="24"/>
        </w:rPr>
      </w:pPr>
      <w:r>
        <w:rPr>
          <w:rFonts w:ascii="Arial" w:cs="Arial" w:eastAsia="Arial" w:hAnsi="Arial"/>
          <w:b/>
          <w:color w:val="000000"/>
          <w:sz w:val="24"/>
          <w:szCs w:val="24"/>
        </w:rPr>
        <w:t>Figure 1: Core Primary Labour Markets and Secondary Labour Markets</w:t>
      </w:r>
    </w:p>
    <w:p>
      <w:pPr>
        <w:pStyle w:val="style0"/>
        <w:pBdr>
          <w:left w:val="nil"/>
          <w:right w:val="nil"/>
          <w:top w:val="nil"/>
          <w:bottom w:val="nil"/>
          <w:between w:val="nil"/>
        </w:pBdr>
        <w:spacing w:before="280" w:lineRule="auto" w:line="360"/>
        <w:jc w:val="center"/>
        <w:rPr>
          <w:rFonts w:ascii="Arial" w:cs="Arial" w:eastAsia="Arial" w:hAnsi="Arial"/>
          <w:color w:val="000000"/>
          <w:sz w:val="24"/>
          <w:szCs w:val="24"/>
        </w:rPr>
      </w:pPr>
      <w:r>
        <w:rPr>
          <w:rFonts w:ascii="Arial" w:cs="Arial" w:eastAsia="Arial" w:hAnsi="Arial"/>
          <w:color w:val="000000"/>
          <w:sz w:val="24"/>
          <w:szCs w:val="24"/>
        </w:rPr>
        <w:t>(Source: Week 2 Lecture Note, adopted from Leopold, 2002)</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The line between employment and self-employment has been blurred by proposing "secondary" or "peripheral zones" in the labour market. HRM ("Human Resource Management") and IHRM ("International Human Resource Management") both are looking at hybrid-structured employment models after this technology-driven transformation. Digital platforms made inclusion and diversity easy in the labour market. </w:t>
      </w:r>
    </w:p>
    <w:p>
      <w:pPr>
        <w:pStyle w:val="style0"/>
        <w:pBdr>
          <w:left w:val="nil"/>
          <w:right w:val="nil"/>
          <w:top w:val="nil"/>
          <w:bottom w:val="nil"/>
          <w:between w:val="nil"/>
        </w:pBdr>
        <w:spacing w:before="280" w:lineRule="auto" w:line="360"/>
        <w:jc w:val="both"/>
        <w:rPr>
          <w:rFonts w:ascii="Arial" w:cs="Arial" w:eastAsia="Arial" w:hAnsi="Arial"/>
          <w:b/>
          <w:color w:val="000000"/>
          <w:sz w:val="24"/>
          <w:szCs w:val="24"/>
        </w:rPr>
      </w:pPr>
      <w:r>
        <w:rPr>
          <w:rFonts w:ascii="Arial" w:cs="Arial" w:eastAsia="Arial" w:hAnsi="Arial"/>
          <w:b/>
          <w:color w:val="000000"/>
          <w:sz w:val="24"/>
          <w:szCs w:val="24"/>
        </w:rPr>
        <w:t xml:space="preserve">Impacts of AI and Automation Process </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Introduction of AI and automation processes in the labour market is reshaping the nature of tasks in administrative, customer service, and manufacturing departments. The advanced technology has replaced the traditional method of repetitive and routine tasks with an agile workforce strategy. The hybrid-structured workforce design is reinforced. Employment patterns have shifted from core to peripheral due to the availability of digital platforms (Rodon </w:t>
      </w:r>
      <w:r>
        <w:rPr>
          <w:rFonts w:ascii="Arial" w:cs="Arial" w:eastAsia="Arial" w:hAnsi="Arial"/>
          <w:color w:val="000000"/>
          <w:sz w:val="24"/>
          <w:szCs w:val="24"/>
        </w:rPr>
        <w:t>Modol</w:t>
      </w:r>
      <w:r>
        <w:rPr>
          <w:rFonts w:ascii="Arial" w:cs="Arial" w:eastAsia="Arial" w:hAnsi="Arial"/>
          <w:color w:val="000000"/>
          <w:sz w:val="24"/>
          <w:szCs w:val="24"/>
        </w:rPr>
        <w:t xml:space="preserve"> and Eaton, 2021). Hence, companies are adapting with data analytics, different software development, and cybersecurity to manage peripheral employees (freelancers, subcontractors) over the digital platform. </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b/>
          <w:color w:val="000000"/>
          <w:sz w:val="24"/>
          <w:szCs w:val="24"/>
        </w:rPr>
        <w:t xml:space="preserve">Impacts on HRM and IHRM </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Technological advancements increase talent mobility across the globe. Remote work and the presence of digital communication tools help companies to recruit international employees without having physical offices. IHRM needs to align global e-recruitment, managing a cross-cultural team with diverse labour laws (Kolhe and Bhat, 2024).  However, several issues, including job security, inequality, and ethical practice of employees, have been addressed by HRM and IHRM both, after including peripheral labour markets (</w:t>
      </w:r>
      <w:r>
        <w:rPr>
          <w:rFonts w:ascii="Arial" w:cs="Arial" w:eastAsia="Arial" w:hAnsi="Arial"/>
          <w:color w:val="000000"/>
          <w:sz w:val="24"/>
          <w:szCs w:val="24"/>
        </w:rPr>
        <w:t>Ererdi</w:t>
      </w:r>
      <w:r>
        <w:rPr>
          <w:rFonts w:ascii="Arial" w:cs="Arial" w:eastAsia="Arial" w:hAnsi="Arial"/>
          <w:color w:val="000000"/>
          <w:sz w:val="24"/>
          <w:szCs w:val="24"/>
        </w:rPr>
        <w:t xml:space="preserve"> et al., 2022). Thus, HRM and IHRM strategies need to focus on the legal aspect while creating their policies. </w:t>
      </w:r>
    </w:p>
    <w:bookmarkStart w:id="2" w:name="_kb6mf3nhgakl" w:colFirst="0" w:colLast="0"/>
    <w:bookmarkEnd w:id="2"/>
    <w:p>
      <w:pPr>
        <w:pStyle w:val="style1"/>
        <w:rPr>
          <w:sz w:val="24"/>
          <w:szCs w:val="24"/>
        </w:rPr>
      </w:pPr>
      <w:r>
        <w:rPr>
          <w:sz w:val="24"/>
          <w:szCs w:val="24"/>
        </w:rPr>
        <w:t xml:space="preserve">2. Key Demographic and Geopolitical Factors Influencing Employment Markets and Challenges towards HR Professionals </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Various demographic and geopolitical factors play a crucial role in structuring employee markets and influencing HR practices in the international business environment. According to the Week 6 lecture note, HR managers need to adapt to challenges regarding cross-border employee management, as workplace diversity increases. </w:t>
      </w:r>
    </w:p>
    <w:p>
      <w:pPr>
        <w:pStyle w:val="style0"/>
        <w:pBdr>
          <w:left w:val="nil"/>
          <w:right w:val="nil"/>
          <w:top w:val="nil"/>
          <w:bottom w:val="nil"/>
          <w:between w:val="nil"/>
        </w:pBdr>
        <w:spacing w:before="280" w:lineRule="auto" w:line="360"/>
        <w:jc w:val="both"/>
        <w:rPr>
          <w:rFonts w:ascii="Arial" w:cs="Arial" w:eastAsia="Arial" w:hAnsi="Arial"/>
          <w:b/>
          <w:color w:val="000000"/>
          <w:sz w:val="24"/>
          <w:szCs w:val="24"/>
        </w:rPr>
      </w:pPr>
      <w:r>
        <w:rPr>
          <w:rFonts w:ascii="Arial" w:cs="Arial" w:eastAsia="Arial" w:hAnsi="Arial"/>
          <w:b/>
          <w:color w:val="000000"/>
          <w:sz w:val="24"/>
          <w:szCs w:val="24"/>
        </w:rPr>
        <w:t xml:space="preserve">Demographic Factors </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The significant demographic factor is the ageing population, which highly affects labour markets. As the life expectancy is increasing and the birth rate is decreasing, the number of older workers is more than the number of young talents (Case and Deaton, 2021). This ageing trend causes skill shortages. It also compels the HR managers to retain experienced employees through designing flexible work arrangements and retirement policies. In addition, HR professionals also need to integrate workforce management, as the </w:t>
      </w:r>
      <w:r>
        <w:rPr>
          <w:rFonts w:ascii="Arial" w:cs="Arial" w:eastAsia="Arial" w:hAnsi="Arial"/>
          <w:sz w:val="24"/>
          <w:szCs w:val="24"/>
        </w:rPr>
        <w:t>organisations</w:t>
      </w:r>
      <w:r>
        <w:rPr>
          <w:rFonts w:ascii="Arial" w:cs="Arial" w:eastAsia="Arial" w:hAnsi="Arial"/>
          <w:color w:val="000000"/>
          <w:sz w:val="24"/>
          <w:szCs w:val="24"/>
        </w:rPr>
        <w:t xml:space="preserve"> need to balance technological proficiency and the values of Generation X, Millennials, and Generation Z employees. Figure 2 reflects the stances at which the percentage of the workforce is over the age of 50 years. The stated demographic factor is important for the workforce as they are the employees who have less time left for the job. It causes changes in policies, including flexible work mode, parental leave, and development in leadership. </w:t>
      </w:r>
    </w:p>
    <w:p>
      <w:pPr>
        <w:pStyle w:val="style0"/>
        <w:pBdr>
          <w:left w:val="nil"/>
          <w:right w:val="nil"/>
          <w:top w:val="nil"/>
          <w:bottom w:val="nil"/>
          <w:between w:val="nil"/>
        </w:pBdr>
        <w:spacing w:before="280" w:lineRule="auto" w:line="360"/>
        <w:jc w:val="center"/>
        <w:rPr>
          <w:rFonts w:ascii="Arial" w:cs="Arial" w:eastAsia="Arial" w:hAnsi="Arial"/>
          <w:color w:val="000000"/>
          <w:sz w:val="24"/>
          <w:szCs w:val="24"/>
        </w:rPr>
      </w:pPr>
      <w:r>
        <w:rPr>
          <w:rFonts w:ascii="Arial" w:cs="Arial" w:eastAsia="Arial" w:hAnsi="Arial"/>
          <w:noProof/>
          <w:color w:val="000000"/>
          <w:sz w:val="24"/>
          <w:szCs w:val="24"/>
        </w:rPr>
        <w:drawing>
          <wp:inline distL="0" distT="0" distB="0" distR="0">
            <wp:extent cx="4851910" cy="3241970"/>
            <wp:effectExtent l="28575" t="28575" r="28575" b="28575"/>
            <wp:docPr id="1027" name="image2.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1" name="image2.png"/>
                    <pic:cNvPicPr/>
                  </pic:nvPicPr>
                  <pic:blipFill>
                    <a:blip r:embed="rId3" cstate="print"/>
                    <a:srcRect l="0" t="0" r="0" b="0"/>
                    <a:stretch/>
                  </pic:blipFill>
                  <pic:spPr>
                    <a:xfrm rot="0">
                      <a:off x="0" y="0"/>
                      <a:ext cx="4851910" cy="3241970"/>
                    </a:xfrm>
                    <a:prstGeom prst="rect"/>
                    <a:ln cmpd="sng" cap="flat" w="28575">
                      <a:solidFill>
                        <a:srgbClr val="000000"/>
                      </a:solidFill>
                      <a:prstDash val="solid"/>
                      <a:round/>
                      <a:headEnd/>
                      <a:tailEnd/>
                    </a:ln>
                  </pic:spPr>
                </pic:pic>
              </a:graphicData>
            </a:graphic>
          </wp:inline>
        </w:drawing>
      </w:r>
    </w:p>
    <w:p>
      <w:pPr>
        <w:pStyle w:val="style0"/>
        <w:pBdr>
          <w:left w:val="nil"/>
          <w:right w:val="nil"/>
          <w:top w:val="nil"/>
          <w:bottom w:val="nil"/>
          <w:between w:val="nil"/>
        </w:pBdr>
        <w:spacing w:before="280" w:lineRule="auto" w:line="360"/>
        <w:jc w:val="center"/>
        <w:rPr>
          <w:rFonts w:ascii="Arial" w:cs="Arial" w:eastAsia="Arial" w:hAnsi="Arial"/>
          <w:b/>
          <w:color w:val="000000"/>
          <w:sz w:val="24"/>
          <w:szCs w:val="24"/>
        </w:rPr>
      </w:pPr>
      <w:r>
        <w:rPr>
          <w:rFonts w:ascii="Arial" w:cs="Arial" w:eastAsia="Arial" w:hAnsi="Arial"/>
          <w:b/>
          <w:color w:val="000000"/>
          <w:sz w:val="24"/>
          <w:szCs w:val="24"/>
        </w:rPr>
        <w:t xml:space="preserve">Figure 2: % workforce over </w:t>
      </w:r>
      <w:r>
        <w:rPr>
          <w:rFonts w:ascii="Arial" w:cs="Arial" w:eastAsia="Arial" w:hAnsi="Arial"/>
          <w:b/>
          <w:sz w:val="24"/>
          <w:szCs w:val="24"/>
        </w:rPr>
        <w:t xml:space="preserve">the </w:t>
      </w:r>
      <w:r>
        <w:rPr>
          <w:rFonts w:ascii="Arial" w:cs="Arial" w:eastAsia="Arial" w:hAnsi="Arial"/>
          <w:b/>
          <w:color w:val="000000"/>
          <w:sz w:val="24"/>
          <w:szCs w:val="24"/>
        </w:rPr>
        <w:t>age of 50</w:t>
      </w:r>
    </w:p>
    <w:p>
      <w:pPr>
        <w:pStyle w:val="style0"/>
        <w:pBdr>
          <w:left w:val="nil"/>
          <w:right w:val="nil"/>
          <w:top w:val="nil"/>
          <w:bottom w:val="nil"/>
          <w:between w:val="nil"/>
        </w:pBdr>
        <w:spacing w:before="280" w:lineRule="auto" w:line="360"/>
        <w:jc w:val="center"/>
        <w:rPr>
          <w:rFonts w:ascii="Arial" w:cs="Arial" w:eastAsia="Arial" w:hAnsi="Arial"/>
          <w:color w:val="000000"/>
          <w:sz w:val="24"/>
          <w:szCs w:val="24"/>
        </w:rPr>
      </w:pPr>
      <w:r>
        <w:rPr>
          <w:rFonts w:ascii="Arial" w:cs="Arial" w:eastAsia="Arial" w:hAnsi="Arial"/>
          <w:color w:val="000000"/>
          <w:sz w:val="24"/>
          <w:szCs w:val="24"/>
        </w:rPr>
        <w:t xml:space="preserve">(Source: </w:t>
      </w:r>
      <w:r>
        <w:rPr>
          <w:rFonts w:ascii="Arial" w:cs="Arial" w:eastAsia="Arial" w:hAnsi="Arial"/>
          <w:sz w:val="24"/>
          <w:szCs w:val="24"/>
        </w:rPr>
        <w:t>Grey</w:t>
      </w:r>
      <w:r>
        <w:rPr>
          <w:rFonts w:ascii="Arial" w:cs="Arial" w:eastAsia="Arial" w:hAnsi="Arial"/>
          <w:color w:val="000000"/>
          <w:sz w:val="24"/>
          <w:szCs w:val="24"/>
        </w:rPr>
        <w:t>, 2024)</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Another demographic factor includes workforce mobility and migration, which also structures the labour markets. It is seen that talent is increasingly mobile due to </w:t>
      </w:r>
      <w:r>
        <w:rPr>
          <w:rFonts w:ascii="Arial" w:cs="Arial" w:eastAsia="Arial" w:hAnsi="Arial"/>
          <w:sz w:val="24"/>
          <w:szCs w:val="24"/>
        </w:rPr>
        <w:t>globalisation</w:t>
      </w:r>
      <w:r>
        <w:rPr>
          <w:rFonts w:ascii="Arial" w:cs="Arial" w:eastAsia="Arial" w:hAnsi="Arial"/>
          <w:color w:val="000000"/>
          <w:sz w:val="24"/>
          <w:szCs w:val="24"/>
        </w:rPr>
        <w:t xml:space="preserve"> and improved digital communication (Miao, 2021). The week's lecture note draws on "Demographic and Working Abroad," which highlights the importance of intercultural training, preparation, and expatriate support. </w:t>
      </w:r>
      <w:r>
        <w:rPr>
          <w:rFonts w:ascii="Arial" w:cs="Arial" w:eastAsia="Arial" w:hAnsi="Arial"/>
          <w:sz w:val="24"/>
          <w:szCs w:val="24"/>
        </w:rPr>
        <w:t>Organisations</w:t>
      </w:r>
      <w:r>
        <w:rPr>
          <w:rFonts w:ascii="Arial" w:cs="Arial" w:eastAsia="Arial" w:hAnsi="Arial"/>
          <w:color w:val="000000"/>
          <w:sz w:val="24"/>
          <w:szCs w:val="24"/>
        </w:rPr>
        <w:t xml:space="preserve"> often avoid structured pre-departure programs to reduce to last-minute briefings. </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Another demographic factor in the recent labour market is the increased number of female employees, which has reshaped the workplace as more diverse and inclusive in nature (Miao, 2021). It became quite difficult for the </w:t>
      </w:r>
      <w:r>
        <w:rPr>
          <w:rFonts w:ascii="Arial" w:cs="Arial" w:eastAsia="Arial" w:hAnsi="Arial"/>
          <w:sz w:val="24"/>
          <w:szCs w:val="24"/>
        </w:rPr>
        <w:t>organisations</w:t>
      </w:r>
      <w:r>
        <w:rPr>
          <w:rFonts w:ascii="Arial" w:cs="Arial" w:eastAsia="Arial" w:hAnsi="Arial"/>
          <w:color w:val="000000"/>
          <w:sz w:val="24"/>
          <w:szCs w:val="24"/>
        </w:rPr>
        <w:t xml:space="preserve"> to fit gender equality, work-life balance, and inclusivity under one single frame. </w:t>
      </w:r>
    </w:p>
    <w:p>
      <w:pPr>
        <w:pStyle w:val="style0"/>
        <w:pBdr>
          <w:left w:val="nil"/>
          <w:right w:val="nil"/>
          <w:top w:val="nil"/>
          <w:bottom w:val="nil"/>
          <w:between w:val="nil"/>
        </w:pBdr>
        <w:spacing w:before="280" w:lineRule="auto" w:line="360"/>
        <w:jc w:val="both"/>
        <w:rPr>
          <w:rFonts w:ascii="Arial" w:cs="Arial" w:eastAsia="Arial" w:hAnsi="Arial"/>
          <w:b/>
          <w:color w:val="000000"/>
          <w:sz w:val="24"/>
          <w:szCs w:val="24"/>
        </w:rPr>
      </w:pPr>
      <w:r>
        <w:rPr>
          <w:rFonts w:ascii="Arial" w:cs="Arial" w:eastAsia="Arial" w:hAnsi="Arial"/>
          <w:b/>
          <w:color w:val="000000"/>
          <w:sz w:val="24"/>
          <w:szCs w:val="24"/>
        </w:rPr>
        <w:t xml:space="preserve">Geopolitical Factors </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Evidence </w:t>
      </w:r>
      <w:r>
        <w:rPr>
          <w:rFonts w:ascii="Arial" w:cs="Arial" w:eastAsia="Arial" w:hAnsi="Arial"/>
          <w:sz w:val="24"/>
          <w:szCs w:val="24"/>
        </w:rPr>
        <w:t>suggests</w:t>
      </w:r>
      <w:r>
        <w:rPr>
          <w:rFonts w:ascii="Arial" w:cs="Arial" w:eastAsia="Arial" w:hAnsi="Arial"/>
          <w:color w:val="000000"/>
          <w:sz w:val="24"/>
          <w:szCs w:val="24"/>
        </w:rPr>
        <w:t xml:space="preserve"> that companies are adapting </w:t>
      </w:r>
      <w:r>
        <w:rPr>
          <w:rFonts w:ascii="Arial" w:cs="Arial" w:eastAsia="Arial" w:hAnsi="Arial"/>
          <w:sz w:val="24"/>
          <w:szCs w:val="24"/>
        </w:rPr>
        <w:t xml:space="preserve">their </w:t>
      </w:r>
      <w:r>
        <w:rPr>
          <w:rFonts w:ascii="Arial" w:cs="Arial" w:eastAsia="Arial" w:hAnsi="Arial"/>
          <w:color w:val="000000"/>
          <w:sz w:val="24"/>
          <w:szCs w:val="24"/>
        </w:rPr>
        <w:t xml:space="preserve">global operations more due to geopolitical instability. For example, </w:t>
      </w:r>
      <w:r>
        <w:rPr>
          <w:rFonts w:ascii="Arial" w:cs="Arial" w:eastAsia="Arial" w:hAnsi="Arial"/>
          <w:sz w:val="24"/>
          <w:szCs w:val="24"/>
        </w:rPr>
        <w:t xml:space="preserve">a </w:t>
      </w:r>
      <w:r>
        <w:rPr>
          <w:rFonts w:ascii="Arial" w:cs="Arial" w:eastAsia="Arial" w:hAnsi="Arial"/>
          <w:color w:val="000000"/>
          <w:sz w:val="24"/>
          <w:szCs w:val="24"/>
        </w:rPr>
        <w:t>Bain &amp; Company survey in 2024 found that “81% of CEOs/COOs now plan to bring supply chains closer to home (reshoring or near-shoring), up from 63% in 2022, and some 64% are implementing split-shoring or near-</w:t>
      </w:r>
      <w:r>
        <w:rPr>
          <w:rFonts w:ascii="Arial" w:cs="Arial" w:eastAsia="Arial" w:hAnsi="Arial"/>
          <w:color w:val="000000"/>
          <w:sz w:val="24"/>
          <w:szCs w:val="24"/>
        </w:rPr>
        <w:t xml:space="preserve">shoring moves” (Bain, 2024). At the time of reducing exposure to geopolitical risk, </w:t>
      </w:r>
      <w:r>
        <w:rPr>
          <w:rFonts w:ascii="Arial" w:cs="Arial" w:eastAsia="Arial" w:hAnsi="Arial"/>
          <w:sz w:val="24"/>
          <w:szCs w:val="24"/>
        </w:rPr>
        <w:t>OECD-modelling</w:t>
      </w:r>
      <w:r>
        <w:rPr>
          <w:rFonts w:ascii="Arial" w:cs="Arial" w:eastAsia="Arial" w:hAnsi="Arial"/>
          <w:color w:val="000000"/>
          <w:sz w:val="24"/>
          <w:szCs w:val="24"/>
        </w:rPr>
        <w:t xml:space="preserve"> warns that aggressive reshoring could shrink global trade by ~18% and reduce GDP in affected countries by up to ~12% (Foster, 202). SAP’s withdrawal from Russia under sanctions provides a case study of how global HR must manage workforce relocation, safety, severance and cross-border cultural transitions under crisis in corporate practice (Schulte, 2025). </w:t>
      </w:r>
    </w:p>
    <w:p>
      <w:pPr>
        <w:pStyle w:val="style0"/>
        <w:pBdr>
          <w:left w:val="nil"/>
          <w:right w:val="nil"/>
          <w:top w:val="nil"/>
          <w:bottom w:val="nil"/>
          <w:between w:val="nil"/>
        </w:pBdr>
        <w:spacing w:before="280" w:lineRule="auto" w:line="360"/>
        <w:jc w:val="center"/>
        <w:rPr>
          <w:rFonts w:ascii="Arial" w:cs="Arial" w:eastAsia="Arial" w:hAnsi="Arial"/>
          <w:color w:val="000000"/>
          <w:sz w:val="24"/>
          <w:szCs w:val="24"/>
        </w:rPr>
      </w:pPr>
      <w:r>
        <w:rPr>
          <w:rFonts w:ascii="Arial" w:cs="Arial" w:eastAsia="Arial" w:hAnsi="Arial"/>
          <w:noProof/>
          <w:color w:val="000000"/>
          <w:sz w:val="24"/>
          <w:szCs w:val="24"/>
        </w:rPr>
        <w:drawing>
          <wp:inline distL="0" distT="0" distB="0" distR="0">
            <wp:extent cx="4572000" cy="3038475"/>
            <wp:effectExtent l="28575" t="28575" r="28575" b="28575"/>
            <wp:docPr id="1028" name="image5.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2" name="image5.png"/>
                    <pic:cNvPicPr/>
                  </pic:nvPicPr>
                  <pic:blipFill>
                    <a:blip r:embed="rId4" cstate="print"/>
                    <a:srcRect l="0" t="5456" r="0" b="11688"/>
                    <a:stretch/>
                  </pic:blipFill>
                  <pic:spPr>
                    <a:xfrm rot="0">
                      <a:off x="0" y="0"/>
                      <a:ext cx="4572000" cy="3038475"/>
                    </a:xfrm>
                    <a:prstGeom prst="rect"/>
                    <a:ln cmpd="sng" cap="flat" w="28575">
                      <a:solidFill>
                        <a:srgbClr val="000000"/>
                      </a:solidFill>
                      <a:prstDash val="solid"/>
                      <a:round/>
                      <a:headEnd/>
                      <a:tailEnd/>
                    </a:ln>
                  </pic:spPr>
                </pic:pic>
              </a:graphicData>
            </a:graphic>
          </wp:inline>
        </w:drawing>
      </w:r>
    </w:p>
    <w:p>
      <w:pPr>
        <w:pStyle w:val="style0"/>
        <w:pBdr>
          <w:left w:val="nil"/>
          <w:right w:val="nil"/>
          <w:top w:val="nil"/>
          <w:bottom w:val="nil"/>
          <w:between w:val="nil"/>
        </w:pBdr>
        <w:spacing w:before="280" w:lineRule="auto" w:line="360"/>
        <w:jc w:val="center"/>
        <w:rPr>
          <w:rFonts w:ascii="Arial" w:cs="Arial" w:eastAsia="Arial" w:hAnsi="Arial"/>
          <w:b/>
          <w:color w:val="000000"/>
          <w:sz w:val="24"/>
          <w:szCs w:val="24"/>
        </w:rPr>
      </w:pPr>
      <w:r>
        <w:rPr>
          <w:rFonts w:ascii="Arial" w:cs="Arial" w:eastAsia="Arial" w:hAnsi="Arial"/>
          <w:b/>
          <w:color w:val="000000"/>
          <w:sz w:val="24"/>
          <w:szCs w:val="24"/>
        </w:rPr>
        <w:t>Figure 3: Global Trade and Geopolitical Reality\</w:t>
      </w:r>
    </w:p>
    <w:p>
      <w:pPr>
        <w:pStyle w:val="style0"/>
        <w:pBdr>
          <w:left w:val="nil"/>
          <w:right w:val="nil"/>
          <w:top w:val="nil"/>
          <w:bottom w:val="nil"/>
          <w:between w:val="nil"/>
        </w:pBdr>
        <w:spacing w:before="280" w:lineRule="auto" w:line="360"/>
        <w:jc w:val="center"/>
        <w:rPr>
          <w:rFonts w:ascii="Arial" w:cs="Arial" w:eastAsia="Arial" w:hAnsi="Arial"/>
          <w:color w:val="000000"/>
          <w:sz w:val="24"/>
          <w:szCs w:val="24"/>
        </w:rPr>
      </w:pPr>
      <w:r>
        <w:rPr>
          <w:rFonts w:ascii="Arial" w:cs="Arial" w:eastAsia="Arial" w:hAnsi="Arial"/>
          <w:color w:val="000000"/>
          <w:sz w:val="24"/>
          <w:szCs w:val="24"/>
        </w:rPr>
        <w:t>(Deloitte Insights, 2024)</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According to Deloitte Insights (2024), OECD Digital Services Trade Restrictiveness Index (2022) indicates that 58% of digital trade barriers are linked to infrastructure and connectivity issues, followed by electronic transactions (18%), payment systems (14%), and intellectual property rights (6%). </w:t>
      </w:r>
    </w:p>
    <w:p>
      <w:pPr>
        <w:pStyle w:val="style0"/>
        <w:pBdr>
          <w:left w:val="nil"/>
          <w:right w:val="nil"/>
          <w:top w:val="nil"/>
          <w:bottom w:val="nil"/>
          <w:between w:val="nil"/>
        </w:pBdr>
        <w:spacing w:before="280" w:lineRule="auto" w:line="360"/>
        <w:jc w:val="both"/>
        <w:rPr>
          <w:rFonts w:ascii="Arial" w:cs="Arial" w:eastAsia="Arial" w:hAnsi="Arial"/>
          <w:color w:val="000000"/>
          <w:sz w:val="24"/>
          <w:szCs w:val="24"/>
        </w:rPr>
      </w:pPr>
      <w:r>
        <w:rPr>
          <w:rFonts w:ascii="Arial" w:cs="Arial" w:eastAsia="Arial" w:hAnsi="Arial"/>
          <w:color w:val="000000"/>
          <w:sz w:val="24"/>
          <w:szCs w:val="24"/>
        </w:rPr>
        <w:t xml:space="preserve">These strategies help the companies </w:t>
      </w:r>
      <w:r>
        <w:rPr>
          <w:rFonts w:ascii="Arial" w:cs="Arial" w:eastAsia="Arial" w:hAnsi="Arial"/>
          <w:sz w:val="24"/>
          <w:szCs w:val="24"/>
        </w:rPr>
        <w:t>maintain</w:t>
      </w:r>
      <w:r>
        <w:rPr>
          <w:rFonts w:ascii="Arial" w:cs="Arial" w:eastAsia="Arial" w:hAnsi="Arial"/>
          <w:color w:val="000000"/>
          <w:sz w:val="24"/>
          <w:szCs w:val="24"/>
        </w:rPr>
        <w:t xml:space="preserve"> their continuity. However, overreliance on reshoring or abrupt relocation can also lead to tremendous cost, negative employer brand, stakeholder </w:t>
      </w:r>
      <w:r>
        <w:rPr>
          <w:rFonts w:ascii="Arial" w:cs="Arial" w:eastAsia="Arial" w:hAnsi="Arial"/>
          <w:sz w:val="24"/>
          <w:szCs w:val="24"/>
        </w:rPr>
        <w:t>relationships</w:t>
      </w:r>
      <w:r>
        <w:rPr>
          <w:rFonts w:ascii="Arial" w:cs="Arial" w:eastAsia="Arial" w:hAnsi="Arial"/>
          <w:color w:val="000000"/>
          <w:sz w:val="24"/>
          <w:szCs w:val="24"/>
        </w:rPr>
        <w:t xml:space="preserve"> and regulatory complexity.  </w:t>
      </w:r>
    </w:p>
    <w:bookmarkStart w:id="3" w:name="_79oim63fwqur" w:colFirst="0" w:colLast="0"/>
    <w:bookmarkEnd w:id="3"/>
    <w:p>
      <w:pPr>
        <w:pStyle w:val="style1"/>
        <w:rPr>
          <w:sz w:val="24"/>
          <w:szCs w:val="24"/>
        </w:rPr>
      </w:pPr>
      <w:r>
        <w:rPr>
          <w:sz w:val="24"/>
          <w:szCs w:val="24"/>
        </w:rPr>
        <w:t xml:space="preserve">3. Addressing Persistent Skills Gaps, Talent Shortages in Critical Sectors (e.g., tech, hospitality, healthcare) through Strategic HRM </w:t>
      </w:r>
    </w:p>
    <w:p>
      <w:pPr>
        <w:pStyle w:val="style0"/>
        <w:spacing w:lineRule="auto" w:line="360"/>
        <w:rPr>
          <w:rFonts w:ascii="Arial" w:cs="Arial" w:eastAsia="Arial" w:hAnsi="Arial"/>
          <w:b/>
          <w:sz w:val="24"/>
          <w:szCs w:val="24"/>
        </w:rPr>
      </w:pPr>
      <w:r>
        <w:rPr>
          <w:rFonts w:ascii="Arial" w:cs="Arial" w:eastAsia="Arial" w:hAnsi="Arial"/>
          <w:b/>
          <w:sz w:val="24"/>
          <w:szCs w:val="24"/>
        </w:rPr>
        <w:t>Challenges in Critical Sectors (Technological sector, healthcare sector, hospitality sector)</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In critical sectors including technology, healthcare, and the hospitality sector, the biggest issue is persistent talent shortages and skill gaps. Here, SHRM ("strategic human resource management") plays a major role in bridging the gap between these two by including workforce planning, learning, and talent management into HR strategies. In the technology sector, digital transformation and automation have created a high demand for professional and high-skilled employees in data analytics, AI, software engineering, and cybersecurity (Sharef et al., 2024). However, the technological change is sometimes very fast, which cannot match the pace of the training programs. </w:t>
      </w:r>
    </w:p>
    <w:p>
      <w:pPr>
        <w:pStyle w:val="style0"/>
        <w:spacing w:lineRule="auto" w:line="360"/>
        <w:jc w:val="both"/>
        <w:rPr>
          <w:rFonts w:ascii="Arial" w:cs="Arial" w:eastAsia="Arial" w:hAnsi="Arial"/>
          <w:b/>
          <w:sz w:val="24"/>
          <w:szCs w:val="24"/>
        </w:rPr>
      </w:pPr>
      <w:r>
        <w:rPr>
          <w:rFonts w:ascii="Arial" w:cs="Arial" w:eastAsia="Arial" w:hAnsi="Arial"/>
          <w:b/>
          <w:sz w:val="24"/>
          <w:szCs w:val="24"/>
        </w:rPr>
        <w:t xml:space="preserve">Strategic HRM in the Technological Sector to Address Challenges </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This major challenge can be addressed through proactive talent forecasting and workforce analytics, which help in identifying the emerging skillset. Organisations are also leaning towards collaboration with universities and online learning platforms to match the skillset. As an instance, British Telecom has launched "My Campus Personalised Learning,” an internal digital learning platform to upgrade their workforce skill (Plc, 2024). Recruitment from diverse and international cultures falls under a flexible hybrid-structured work model, which also helps to recruit skilled employees to meet organisational demands. </w:t>
      </w:r>
    </w:p>
    <w:p>
      <w:pPr>
        <w:pStyle w:val="style0"/>
        <w:spacing w:lineRule="auto" w:line="360"/>
        <w:jc w:val="both"/>
        <w:rPr>
          <w:rFonts w:ascii="Arial" w:cs="Arial" w:eastAsia="Arial" w:hAnsi="Arial"/>
          <w:b/>
          <w:sz w:val="24"/>
          <w:szCs w:val="24"/>
        </w:rPr>
      </w:pPr>
      <w:r>
        <w:rPr>
          <w:rFonts w:ascii="Arial" w:cs="Arial" w:eastAsia="Arial" w:hAnsi="Arial"/>
          <w:b/>
          <w:sz w:val="24"/>
          <w:szCs w:val="24"/>
        </w:rPr>
        <w:t xml:space="preserve">Strategic HRM in the Healthcare Sector to Address Challenges </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The healthcare sector, another critical sector, is facing challenges related to ageing populations, employee burnout, and international mobility. After the COVID-19 pandemic, the healthcare sector has recognised a big issue of a shortage of nurses, health professionals, and surgeons. SHRM approaches can also be applied here to talent retention, leadership development, and increasing employee well-being. HR professionals in the healthcare sector need to implement a competency-based recruitment method to enhance engagement and reduce turnover. IHRM strategies also need to facilitate ethical recruitment across borders. The adoption of telemedicine and digital health solutions also increases the need for technical skills in healthcare professionals. </w:t>
      </w:r>
    </w:p>
    <w:p>
      <w:pPr>
        <w:pStyle w:val="style0"/>
        <w:spacing w:lineRule="auto" w:line="360"/>
        <w:jc w:val="both"/>
        <w:rPr>
          <w:rFonts w:ascii="Arial" w:cs="Arial" w:eastAsia="Arial" w:hAnsi="Arial"/>
          <w:b/>
          <w:sz w:val="24"/>
          <w:szCs w:val="24"/>
        </w:rPr>
      </w:pPr>
      <w:r>
        <w:rPr>
          <w:rFonts w:ascii="Arial" w:cs="Arial" w:eastAsia="Arial" w:hAnsi="Arial"/>
          <w:b/>
          <w:sz w:val="24"/>
          <w:szCs w:val="24"/>
        </w:rPr>
        <w:t xml:space="preserve">Strategic HRM in the Hospitality Sector to Address Challenges </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The hospitality sector is another crucial sector that is facing talent shortages due to high turnover rates, limited career opportunities, and high seasonal demands. After the Covid-19 pandemic, this sector's need has increasingly focused on customer-centric employees with a high adaptability skillset (Ahmed and Wasim, 2023). SHRM can be applied to address this challenge through enhancing the employer branding, the inclusive nature of leadership, and providing work-life balance. This sector also needs to invest in skill-development programs, cross-functional training programs, and vocational partnerships, which help in developing a sustainable talent pipeline. Moreover, the adoption of digital tools helps here in workforce scheduling, customer data management, predictive staffing methods, and recruiting younger and tech-savvy employees. </w:t>
      </w:r>
    </w:p>
    <w:p>
      <w:pPr>
        <w:pStyle w:val="style0"/>
        <w:spacing w:lineRule="auto" w:line="360"/>
        <w:jc w:val="both"/>
        <w:rPr>
          <w:rFonts w:ascii="Arial" w:cs="Arial" w:eastAsia="Arial" w:hAnsi="Arial"/>
          <w:b/>
          <w:sz w:val="24"/>
          <w:szCs w:val="24"/>
        </w:rPr>
      </w:pPr>
      <w:r>
        <w:rPr>
          <w:rFonts w:ascii="Arial" w:cs="Arial" w:eastAsia="Arial" w:hAnsi="Arial"/>
          <w:b/>
          <w:sz w:val="24"/>
          <w:szCs w:val="24"/>
        </w:rPr>
        <w:t>Comparative Evaluation and Synthesis</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According to perspectives from the Resource-based view and human-capital theory, the most sustainable strategies include investment on developing human capital internally. This can develop knowledge-based resources which cannot be easily replicated by competitors. These strategies include skill-development, continuous learning and inclusive leadership to develop long-term workforce resilience across all critical sectors. </w:t>
      </w:r>
    </w:p>
    <w:bookmarkStart w:id="4" w:name="_txn7vw4wk7vg" w:colFirst="0" w:colLast="0"/>
    <w:bookmarkEnd w:id="4"/>
    <w:p>
      <w:pPr>
        <w:pStyle w:val="style1"/>
        <w:rPr>
          <w:sz w:val="24"/>
          <w:szCs w:val="24"/>
        </w:rPr>
      </w:pPr>
      <w:r>
        <w:rPr>
          <w:sz w:val="24"/>
          <w:szCs w:val="24"/>
        </w:rPr>
        <w:t xml:space="preserve">4. Reflective Report on Current Capabilities and Preparedness to Enter Labour Market </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Today's technology-driven emerging market compels employees to gain skills in operating in international contexts effectively. The modern workplace of any crucial sector, including the healthcare sector, technology sector, and hospitality sector, needs cultural awareness, digital skills, and the ability to continuously adapt in employees. As organisations are going beyond borders through technology, the communication skills, leadership skills, and teamwork mindset need to be present in the workforce. The present reflective report aims to analyse my current abilities in the above-mentioned aspects. </w:t>
      </w:r>
    </w:p>
    <w:p>
      <w:pPr>
        <w:pStyle w:val="style0"/>
        <w:spacing w:lineRule="auto" w:line="360"/>
        <w:jc w:val="both"/>
        <w:rPr>
          <w:rFonts w:ascii="Arial" w:cs="Arial" w:eastAsia="Arial" w:hAnsi="Arial"/>
          <w:b/>
          <w:sz w:val="24"/>
          <w:szCs w:val="24"/>
        </w:rPr>
      </w:pPr>
      <w:r>
        <w:rPr>
          <w:rFonts w:ascii="Arial" w:cs="Arial" w:eastAsia="Arial" w:hAnsi="Arial"/>
          <w:b/>
          <w:sz w:val="24"/>
          <w:szCs w:val="24"/>
        </w:rPr>
        <w:t xml:space="preserve">Working in a Global Context </w:t>
      </w:r>
    </w:p>
    <w:p>
      <w:pPr>
        <w:pStyle w:val="style0"/>
        <w:spacing w:lineRule="auto" w:line="360"/>
        <w:jc w:val="both"/>
        <w:rPr>
          <w:rFonts w:ascii="Arial" w:cs="Arial" w:eastAsia="Arial" w:hAnsi="Arial"/>
          <w:sz w:val="24"/>
          <w:szCs w:val="24"/>
        </w:rPr>
      </w:pPr>
      <w:r>
        <w:rPr>
          <w:rFonts w:ascii="Arial" w:cs="Arial" w:eastAsia="Arial" w:hAnsi="Arial"/>
          <w:sz w:val="24"/>
          <w:szCs w:val="24"/>
        </w:rPr>
        <w:t>Globalisation has reshaped the entire team function by including diversity and inclusion. During my academic period for this course, I needed to communicate with students from different countries, including the UK, India, and Nigeria. International communication has enhanced my cultural diversity and also made me able to adapt to multicultural, demanding communication styles.</w:t>
      </w:r>
    </w:p>
    <w:p>
      <w:pPr>
        <w:pStyle w:val="style0"/>
        <w:spacing w:lineRule="auto" w:line="360"/>
        <w:jc w:val="center"/>
        <w:rPr>
          <w:rFonts w:ascii="Arial" w:cs="Arial" w:eastAsia="Arial" w:hAnsi="Arial"/>
          <w:sz w:val="24"/>
          <w:szCs w:val="24"/>
        </w:rPr>
      </w:pPr>
    </w:p>
    <w:p>
      <w:pPr>
        <w:pStyle w:val="style0"/>
        <w:spacing w:lineRule="auto" w:line="360"/>
        <w:jc w:val="center"/>
        <w:rPr>
          <w:rFonts w:ascii="Arial" w:cs="Arial" w:eastAsia="Arial" w:hAnsi="Arial"/>
          <w:sz w:val="24"/>
          <w:szCs w:val="24"/>
        </w:rPr>
      </w:pPr>
      <w:r>
        <w:rPr>
          <w:rFonts w:ascii="Arial" w:cs="Arial" w:eastAsia="Arial" w:hAnsi="Arial"/>
          <w:noProof/>
          <w:sz w:val="24"/>
          <w:szCs w:val="24"/>
        </w:rPr>
        <w:drawing>
          <wp:inline distL="0" distT="0" distB="0" distR="0">
            <wp:extent cx="3531361" cy="3702786"/>
            <wp:effectExtent l="28575" t="28575" r="28575" b="28575"/>
            <wp:docPr id="1029" name="image3.pn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3" name="image3.png"/>
                    <pic:cNvPicPr/>
                  </pic:nvPicPr>
                  <pic:blipFill>
                    <a:blip r:embed="rId5" cstate="print"/>
                    <a:srcRect l="0" t="0" r="0" b="0"/>
                    <a:stretch/>
                  </pic:blipFill>
                  <pic:spPr>
                    <a:xfrm rot="0">
                      <a:off x="0" y="0"/>
                      <a:ext cx="3531361" cy="3702786"/>
                    </a:xfrm>
                    <a:prstGeom prst="rect"/>
                    <a:ln cmpd="sng" cap="flat" w="28575">
                      <a:solidFill>
                        <a:srgbClr val="000000"/>
                      </a:solidFill>
                      <a:prstDash val="solid"/>
                      <a:round/>
                      <a:headEnd/>
                      <a:tailEnd/>
                    </a:ln>
                  </pic:spPr>
                </pic:pic>
              </a:graphicData>
            </a:graphic>
          </wp:inline>
        </w:drawing>
      </w:r>
    </w:p>
    <w:p>
      <w:pPr>
        <w:pStyle w:val="style0"/>
        <w:spacing w:lineRule="auto" w:line="360"/>
        <w:jc w:val="center"/>
        <w:rPr>
          <w:rFonts w:ascii="Arial" w:cs="Arial" w:eastAsia="Arial" w:hAnsi="Arial"/>
          <w:b/>
          <w:sz w:val="24"/>
          <w:szCs w:val="24"/>
        </w:rPr>
      </w:pPr>
      <w:r>
        <w:rPr>
          <w:rFonts w:ascii="Arial" w:cs="Arial" w:eastAsia="Arial" w:hAnsi="Arial"/>
          <w:b/>
          <w:sz w:val="24"/>
          <w:szCs w:val="24"/>
        </w:rPr>
        <w:t>Figure 4: Hofstede’s Cultural Dimension Theory</w:t>
      </w:r>
    </w:p>
    <w:p>
      <w:pPr>
        <w:pStyle w:val="style0"/>
        <w:spacing w:lineRule="auto" w:line="360"/>
        <w:jc w:val="center"/>
        <w:rPr>
          <w:rFonts w:ascii="Arial" w:cs="Arial" w:eastAsia="Arial" w:hAnsi="Arial"/>
          <w:sz w:val="24"/>
          <w:szCs w:val="24"/>
        </w:rPr>
      </w:pPr>
      <w:r>
        <w:rPr>
          <w:rFonts w:ascii="Arial" w:cs="Arial" w:eastAsia="Arial" w:hAnsi="Arial"/>
          <w:sz w:val="24"/>
          <w:szCs w:val="24"/>
        </w:rPr>
        <w:t xml:space="preserve">(Source: </w:t>
      </w:r>
      <w:r>
        <w:rPr>
          <w:rFonts w:ascii="Arial" w:cs="Arial" w:eastAsia="Arial" w:hAnsi="Arial"/>
          <w:sz w:val="24"/>
          <w:szCs w:val="24"/>
        </w:rPr>
        <w:t>Vizmonte</w:t>
      </w:r>
      <w:r>
        <w:rPr>
          <w:rFonts w:ascii="Arial" w:cs="Arial" w:eastAsia="Arial" w:hAnsi="Arial"/>
          <w:sz w:val="24"/>
          <w:szCs w:val="24"/>
        </w:rPr>
        <w:t xml:space="preserve"> and </w:t>
      </w:r>
      <w:r>
        <w:rPr>
          <w:rFonts w:ascii="Arial" w:cs="Arial" w:eastAsia="Arial" w:hAnsi="Arial"/>
          <w:sz w:val="24"/>
          <w:szCs w:val="24"/>
        </w:rPr>
        <w:t>Ligot</w:t>
      </w:r>
      <w:r>
        <w:rPr>
          <w:rFonts w:ascii="Arial" w:cs="Arial" w:eastAsia="Arial" w:hAnsi="Arial"/>
          <w:sz w:val="24"/>
          <w:szCs w:val="24"/>
        </w:rPr>
        <w:t>, 2024)</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According to Hofstede's "cultural dimension theory," understanding the difference between collectivism, uncertainty, and power distance helps in developing respectful and productive cross-cultural communication (Ouyang et al., 2025). I have identified my key strength here as "cultural sensitivity." I listen to people actively and try to understand the different perspectives. Therefore, I will focus on improving my intercultural competence through studying the "global communication framework" and participating in cross-cultural workshops. </w:t>
      </w:r>
    </w:p>
    <w:p>
      <w:pPr>
        <w:pStyle w:val="style0"/>
        <w:spacing w:before="280" w:lineRule="auto" w:line="360"/>
        <w:jc w:val="both"/>
        <w:rPr>
          <w:rFonts w:ascii="Arial" w:cs="Arial" w:eastAsia="Arial" w:hAnsi="Arial"/>
          <w:b/>
          <w:sz w:val="24"/>
          <w:szCs w:val="24"/>
        </w:rPr>
      </w:pPr>
      <w:r>
        <w:rPr>
          <w:rFonts w:ascii="Arial" w:cs="Arial" w:eastAsia="Arial" w:hAnsi="Arial"/>
          <w:b/>
          <w:sz w:val="24"/>
          <w:szCs w:val="24"/>
        </w:rPr>
        <w:t>Advanced Technology and Digital Adaptability</w:t>
      </w:r>
    </w:p>
    <w:p>
      <w:pPr>
        <w:pStyle w:val="style0"/>
        <w:spacing w:before="280" w:lineRule="auto" w:line="360"/>
        <w:jc w:val="both"/>
        <w:rPr>
          <w:rFonts w:ascii="Arial" w:cs="Arial" w:eastAsia="Arial" w:hAnsi="Arial"/>
          <w:sz w:val="24"/>
          <w:szCs w:val="24"/>
        </w:rPr>
      </w:pPr>
      <w:r>
        <w:rPr>
          <w:rFonts w:ascii="Arial" w:cs="Arial" w:eastAsia="Arial" w:hAnsi="Arial"/>
          <w:sz w:val="24"/>
          <w:szCs w:val="24"/>
        </w:rPr>
        <w:t xml:space="preserve">For the modern workforce, technological competence with knowledge of digital tools is essential for global collaboration. For completing my group activities, I communicated with my cross-border classmates over Microsoft Teams, Google Workspace, and Trello, digital collaboration tools. I have gained experience in digital literacy as well as time-management skills to perform any task in a remote setting. I have identified my key strength as my willingness to experiment with advanced technologies. I have </w:t>
      </w:r>
      <w:r>
        <w:rPr>
          <w:rFonts w:ascii="Arial" w:cs="Arial" w:eastAsia="Arial" w:hAnsi="Arial"/>
          <w:sz w:val="24"/>
          <w:szCs w:val="24"/>
        </w:rPr>
        <w:t xml:space="preserve">experimented with several AI tools and Grammar-guiding tools to take on tasks and improve my writing skills. For a business project, I have experimented with digital data visualisation tools, which also enhanced my analytical skills. However, my major weakness was to experiment with more complex data analytics tools, including Power BI and Tableau. To overcome this weakness, I have planned to engage myself in self-directed learning through completing online certifications on different emerging platforms, including Coursera, LinkedIn, and others. According to Kolb's "experimental learning theory," knowledge can be best acquired through reflecting and experimenting (Ahmed Mustafa et al., 2022). Therefore, I have aimed to gain knowledge in complex digital tools actively. </w:t>
      </w:r>
    </w:p>
    <w:p>
      <w:pPr>
        <w:pStyle w:val="style0"/>
        <w:spacing w:before="280" w:lineRule="auto" w:line="360"/>
        <w:jc w:val="both"/>
        <w:rPr>
          <w:rFonts w:ascii="Arial" w:cs="Arial" w:eastAsia="Arial" w:hAnsi="Arial"/>
          <w:b/>
          <w:sz w:val="24"/>
          <w:szCs w:val="24"/>
        </w:rPr>
      </w:pPr>
      <w:r>
        <w:rPr>
          <w:rFonts w:ascii="Arial" w:cs="Arial" w:eastAsia="Arial" w:hAnsi="Arial"/>
          <w:b/>
          <w:sz w:val="24"/>
          <w:szCs w:val="24"/>
        </w:rPr>
        <w:t xml:space="preserve">Communication Skills </w:t>
      </w:r>
    </w:p>
    <w:p>
      <w:pPr>
        <w:pStyle w:val="style0"/>
        <w:spacing w:before="280" w:lineRule="auto" w:line="360"/>
        <w:jc w:val="both"/>
        <w:rPr>
          <w:rFonts w:ascii="Arial" w:cs="Arial" w:eastAsia="Arial" w:hAnsi="Arial"/>
          <w:sz w:val="24"/>
          <w:szCs w:val="24"/>
        </w:rPr>
      </w:pPr>
      <w:r>
        <w:rPr>
          <w:rFonts w:ascii="Arial" w:cs="Arial" w:eastAsia="Arial" w:hAnsi="Arial"/>
          <w:sz w:val="24"/>
          <w:szCs w:val="24"/>
        </w:rPr>
        <w:t xml:space="preserve">In global collaboration, effective communication is a key factor. Throughout my academic term for this course, I have been assigned various academic presentations and peer discussions in classroom settings. These tasks require not only effective communication but also include structured feedback. I have identified my key strength in written communication, where I have made structured arguments to support my words with evidence. This strength has benefited me in writing professional reports. However, I have identified that my verbal communication skills are still very weak. I have confronted challenges of communicating over different time zones and uncertainty without interrupting others in an online seminar. Referring to this experience, I identified the importance of developing assertiveness and public-speaking skills for developing effective verbal communication. Therefore, I have planned to join several digital discussion forums and professional skill-development sessions to increase my engagement skills, which promote assertiveness. Moreover, I will use constructive feedback from my peers and professors to reflect on them positively in my future communication strategy in an international context. </w:t>
      </w:r>
    </w:p>
    <w:p>
      <w:pPr>
        <w:pStyle w:val="style0"/>
        <w:spacing w:lineRule="auto" w:line="360"/>
        <w:jc w:val="both"/>
        <w:rPr>
          <w:rFonts w:ascii="Arial" w:cs="Arial" w:eastAsia="Arial" w:hAnsi="Arial"/>
          <w:b/>
          <w:sz w:val="24"/>
          <w:szCs w:val="24"/>
        </w:rPr>
      </w:pPr>
      <w:r>
        <w:rPr>
          <w:rFonts w:ascii="Arial" w:cs="Arial" w:eastAsia="Arial" w:hAnsi="Arial"/>
          <w:b/>
          <w:sz w:val="24"/>
          <w:szCs w:val="24"/>
        </w:rPr>
        <w:t xml:space="preserve">Teamwork and Collaboration </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The process of global teamwork also has the aspect of aligning work among different points of view and working styles. Group projects into which I engaged myself have allowed me to learn the value of collaboration, negotiation, and flexibility. I usually play the role of a mediator and balance the participation and conflict resolution. This is in line with the team role theory presented by Belbin in his team roles, as my capabilities are </w:t>
      </w:r>
      <w:r>
        <w:rPr>
          <w:rFonts w:ascii="Arial" w:cs="Arial" w:eastAsia="Arial" w:hAnsi="Arial"/>
          <w:sz w:val="24"/>
          <w:szCs w:val="24"/>
        </w:rPr>
        <w:t>aligned with several of the team roles, namely, the Team Worker role and the Coordinator role, including the preoccupations with harmony and alignment of goals (Silo, 2021). However, there are occasions when I fail to delegate work efficiently, and instead, more work is always available to meet the deadlines. This may cause stress and inefficiency in the team. To overcome this lapse, I will work on building trust and delegation by having better expectations and sharing accountability in teams. These interpersonal skills will also be refined when I engage in simulated team exercises, as well as leadership workshops.</w:t>
      </w:r>
    </w:p>
    <w:p>
      <w:pPr>
        <w:pStyle w:val="style0"/>
        <w:spacing w:lineRule="auto" w:line="360"/>
        <w:jc w:val="both"/>
        <w:rPr>
          <w:rFonts w:ascii="Arial" w:cs="Arial" w:eastAsia="Arial" w:hAnsi="Arial"/>
          <w:b/>
          <w:sz w:val="24"/>
          <w:szCs w:val="24"/>
        </w:rPr>
      </w:pPr>
      <w:r>
        <w:rPr>
          <w:rFonts w:ascii="Arial" w:cs="Arial" w:eastAsia="Arial" w:hAnsi="Arial"/>
          <w:b/>
          <w:sz w:val="24"/>
          <w:szCs w:val="24"/>
        </w:rPr>
        <w:t xml:space="preserve">Leadership </w:t>
      </w:r>
    </w:p>
    <w:p>
      <w:pPr>
        <w:pStyle w:val="style0"/>
        <w:spacing w:lineRule="auto" w:line="360"/>
        <w:jc w:val="both"/>
        <w:rPr>
          <w:rFonts w:ascii="Arial" w:cs="Arial" w:eastAsia="Arial" w:hAnsi="Arial"/>
          <w:sz w:val="24"/>
          <w:szCs w:val="24"/>
        </w:rPr>
      </w:pPr>
      <w:r>
        <w:rPr>
          <w:rFonts w:ascii="Arial" w:cs="Arial" w:eastAsia="Arial" w:hAnsi="Arial"/>
          <w:sz w:val="24"/>
          <w:szCs w:val="24"/>
        </w:rPr>
        <w:t>Being a leader in an international and digital environment is a process that needs emotional intelligence, inclusivity, and the ability to inspire others. My informal leadership has been mostly through group-assigned duties, attending group therapy where I had to instruct via group discussions. I believe my leadership approach is collaborative and supportive, which can be explained by the emotional intelligence framework proposed by Goleman (2011), according to which empathy and social awareness are the primary principles (Pellitteri, 2021). My most significant strength is that I am capable of motivating and supporting team members to introduce new ideas and make their distinctive contributions to them. Nevertheless, sometimes I cannot make decisions under pressure, especially when I am dealing with group members whose visions seem to be incompatible. To broaden this ability, I will be undertaking to improve my situational leadership expertise through learning how to adjust my plan to the maturity and requirements of the team.</w:t>
      </w:r>
    </w:p>
    <w:p>
      <w:pPr>
        <w:pStyle w:val="style0"/>
        <w:spacing w:lineRule="auto" w:line="360"/>
        <w:jc w:val="both"/>
        <w:rPr>
          <w:rFonts w:ascii="Arial" w:cs="Arial" w:eastAsia="Arial" w:hAnsi="Arial"/>
          <w:b/>
          <w:sz w:val="24"/>
          <w:szCs w:val="24"/>
        </w:rPr>
      </w:pPr>
      <w:r>
        <w:rPr>
          <w:rFonts w:ascii="Arial" w:cs="Arial" w:eastAsia="Arial" w:hAnsi="Arial"/>
          <w:b/>
          <w:sz w:val="24"/>
          <w:szCs w:val="24"/>
        </w:rPr>
        <w:t xml:space="preserve">Leveraging strengths and weaknesses </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In order to capitalise on my definitions, I will assume roles that involve cultural joint efforts, utilise digital solutions, and have the ability to communicate in written form. To give an example, I will use the volunteers of international academic committees or online professional networks, which will provide me with a chance to use my cross-cultural and technological competencies in real life. Among the weaknesses, I would work on building confidence when using verbal communication, building greater technological proficiency, and decision-making in stressful situations. My personal strength is goal-based learning, where I have set clear objectives and I continuously measure myself in a systematic way up to that objective. However, my inconsistency is sometimes a problem because of </w:t>
      </w:r>
      <w:r>
        <w:rPr>
          <w:rFonts w:ascii="Arial" w:cs="Arial" w:eastAsia="Arial" w:hAnsi="Arial"/>
          <w:sz w:val="24"/>
          <w:szCs w:val="24"/>
        </w:rPr>
        <w:t xml:space="preserve">academic and other personal commitments. To prevent this, I will embrace time-blocking and reflection techniques that can result in frequent indulgences of learning processes. </w:t>
      </w:r>
    </w:p>
    <w:bookmarkStart w:id="5" w:name="_j14dar6zzw8" w:colFirst="0" w:colLast="0"/>
    <w:bookmarkEnd w:id="5"/>
    <w:p>
      <w:pPr>
        <w:pStyle w:val="style1"/>
        <w:rPr/>
      </w:pPr>
      <w:r>
        <w:t xml:space="preserve">Conclusion </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The current report has explored the demographic and geopolitical challenges in critical sectors and discussed technological advancements and their challenges. Implications of these challenges on HRM and IHRM are also described. Lastly, the reflective analysis has highlighted my ability and performance in today's globalised workplace, which demands continuous adaptation. </w:t>
      </w:r>
    </w:p>
    <w:bookmarkStart w:id="6" w:name="_5bffc6ptlqfi" w:colFirst="0" w:colLast="0"/>
    <w:bookmarkEnd w:id="6"/>
    <w:p>
      <w:pPr>
        <w:pStyle w:val="style0"/>
        <w:spacing w:after="160" w:lineRule="auto" w:line="259"/>
        <w:rPr>
          <w:rFonts w:ascii="Arial" w:cs="Arial" w:eastAsia="Arial" w:hAnsi="Arial"/>
          <w:sz w:val="24"/>
          <w:szCs w:val="24"/>
        </w:rPr>
      </w:pPr>
      <w:r>
        <w:br w:type="page"/>
      </w:r>
    </w:p>
    <w:p>
      <w:pPr>
        <w:pStyle w:val="style1"/>
        <w:rPr>
          <w:sz w:val="24"/>
          <w:szCs w:val="24"/>
        </w:rPr>
      </w:pPr>
      <w:r>
        <w:rPr>
          <w:lang w:val="en-US"/>
        </w:rPr>
        <w:t xml:space="preserve">                </w:t>
      </w:r>
      <w:r>
        <w:t xml:space="preserve">References </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Ahmad, S. and Wasim, S. (2023) ‘AGILE methodology in healthcare and medical practices: a narrative review’, </w:t>
      </w:r>
      <w:r>
        <w:rPr>
          <w:rFonts w:ascii="Arial" w:cs="Arial" w:eastAsia="Arial" w:hAnsi="Arial"/>
          <w:i/>
          <w:sz w:val="24"/>
          <w:szCs w:val="24"/>
        </w:rPr>
        <w:t>Scholars International Journal of Traditional and Complementary Medicine</w:t>
      </w:r>
      <w:r>
        <w:rPr>
          <w:rFonts w:ascii="Arial" w:cs="Arial" w:eastAsia="Arial" w:hAnsi="Arial"/>
          <w:sz w:val="24"/>
          <w:szCs w:val="24"/>
        </w:rPr>
        <w:t xml:space="preserve">, 6(8), pp.129–133. Available at: </w:t>
      </w:r>
      <w:r>
        <w:rPr/>
        <w:fldChar w:fldCharType="begin"/>
      </w:r>
      <w:r>
        <w:instrText xml:space="preserve"> HYPERLINK "https://saudijournals.com/media/articles/SIJTCM_68_129-133.pdf" </w:instrText>
      </w:r>
      <w:r>
        <w:rPr/>
        <w:fldChar w:fldCharType="separate"/>
      </w:r>
      <w:r>
        <w:rPr>
          <w:rFonts w:ascii="Arial" w:cs="Arial" w:eastAsia="Arial" w:hAnsi="Arial"/>
          <w:color w:val="0563c1"/>
          <w:sz w:val="24"/>
          <w:szCs w:val="24"/>
          <w:u w:val="single"/>
        </w:rPr>
        <w:t>https://saudijournals.com/media/articles/SIJTCM_68_129-133.pdf</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Ahmed Mustafa, S., Mohamed Abd Allah, S. and Hassan Mahfouz, H. (2022) ‘Effect of applying experiential learning styles theory on nursing students’ critical thinking disposition and their attitude toward nursing profession’, </w:t>
      </w:r>
      <w:r>
        <w:rPr>
          <w:rFonts w:ascii="Arial" w:cs="Arial" w:eastAsia="Arial" w:hAnsi="Arial"/>
          <w:i/>
          <w:sz w:val="24"/>
          <w:szCs w:val="24"/>
        </w:rPr>
        <w:t xml:space="preserve">Journal of Nursing Science </w:t>
      </w:r>
      <w:r>
        <w:rPr>
          <w:rFonts w:ascii="Arial" w:cs="Arial" w:eastAsia="Arial" w:hAnsi="Arial"/>
          <w:i/>
          <w:sz w:val="24"/>
          <w:szCs w:val="24"/>
        </w:rPr>
        <w:t>Benha</w:t>
      </w:r>
      <w:r>
        <w:rPr>
          <w:rFonts w:ascii="Arial" w:cs="Arial" w:eastAsia="Arial" w:hAnsi="Arial"/>
          <w:i/>
          <w:sz w:val="24"/>
          <w:szCs w:val="24"/>
        </w:rPr>
        <w:t xml:space="preserve"> University</w:t>
      </w:r>
      <w:r>
        <w:rPr>
          <w:rFonts w:ascii="Arial" w:cs="Arial" w:eastAsia="Arial" w:hAnsi="Arial"/>
          <w:sz w:val="24"/>
          <w:szCs w:val="24"/>
        </w:rPr>
        <w:t xml:space="preserve">, 3(2), pp.256–274. Available at: </w:t>
      </w:r>
      <w:r>
        <w:rPr/>
        <w:fldChar w:fldCharType="begin"/>
      </w:r>
      <w:r>
        <w:instrText xml:space="preserve"> HYPERLINK "https://journals.ekb.eg/article_244339_b9acf7f222e0dba5a1186910613f7b63.pdf" </w:instrText>
      </w:r>
      <w:r>
        <w:rPr/>
        <w:fldChar w:fldCharType="separate"/>
      </w:r>
      <w:r>
        <w:rPr>
          <w:rFonts w:ascii="Arial" w:cs="Arial" w:eastAsia="Arial" w:hAnsi="Arial"/>
          <w:color w:val="0563c1"/>
          <w:sz w:val="24"/>
          <w:szCs w:val="24"/>
          <w:u w:val="single"/>
        </w:rPr>
        <w:t>https://journals.ekb.eg/article_244339_b9acf7f222e0dba5a1186910613f7b63.pdf</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Bain &amp; Company (2024) </w:t>
      </w:r>
      <w:r>
        <w:rPr>
          <w:rFonts w:ascii="Arial" w:cs="Arial" w:eastAsia="Arial" w:hAnsi="Arial"/>
          <w:i/>
          <w:sz w:val="24"/>
          <w:szCs w:val="24"/>
        </w:rPr>
        <w:t>Businesses accelerate reshoring and near-shoring amid heightened geopolitical uncertainties and rising costs, Bain &amp; Company finds</w:t>
      </w:r>
      <w:r>
        <w:rPr>
          <w:rFonts w:ascii="Arial" w:cs="Arial" w:eastAsia="Arial" w:hAnsi="Arial"/>
          <w:sz w:val="24"/>
          <w:szCs w:val="24"/>
        </w:rPr>
        <w:t xml:space="preserve">. Available at: </w:t>
      </w:r>
      <w:r>
        <w:rPr/>
        <w:fldChar w:fldCharType="begin"/>
      </w:r>
      <w:r>
        <w:instrText xml:space="preserve"> HYPERLINK "https://www.bain.com/about/media-center/press-releases/2024/businesses-accelerate-reshoring-and-near-shoring-amid-heightened-geopolitical-uncertainties-and-rising-costs-bain--company-finds?utm_source=chatgpt.com" </w:instrText>
      </w:r>
      <w:r>
        <w:rPr/>
        <w:fldChar w:fldCharType="separate"/>
      </w:r>
      <w:r>
        <w:rPr>
          <w:rFonts w:ascii="Arial" w:cs="Arial" w:eastAsia="Arial" w:hAnsi="Arial"/>
          <w:color w:val="0563c1"/>
          <w:sz w:val="24"/>
          <w:szCs w:val="24"/>
          <w:u w:val="single"/>
        </w:rPr>
        <w:t>https://www.bain.com/about/media-center/press-releases/2024/businesses-accelerate-reshoring-and-near-shoring-amid-heightened-geopolitical-uncertainties-and-rising-costs-bain--company-finds</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Cárdenas, L. and Villanueva, P. (2021) ‘Flexibilization at the core to reduce labour market dualism: Evidence from the Spanish case’, </w:t>
      </w:r>
      <w:r>
        <w:rPr>
          <w:rFonts w:ascii="Arial" w:cs="Arial" w:eastAsia="Arial" w:hAnsi="Arial"/>
          <w:i/>
          <w:sz w:val="24"/>
          <w:szCs w:val="24"/>
        </w:rPr>
        <w:t>British Journal of Industrial Relations</w:t>
      </w:r>
      <w:r>
        <w:rPr>
          <w:rFonts w:ascii="Arial" w:cs="Arial" w:eastAsia="Arial" w:hAnsi="Arial"/>
          <w:sz w:val="24"/>
          <w:szCs w:val="24"/>
        </w:rPr>
        <w:t xml:space="preserve">, 59(1), pp.214–235. Available at: </w:t>
      </w:r>
      <w:r>
        <w:rPr/>
        <w:fldChar w:fldCharType="begin"/>
      </w:r>
      <w:r>
        <w:instrText xml:space="preserve"> HYPERLINK "https://onlinelibrary.wiley.com/doi/full/10.1111/bjir.12541" </w:instrText>
      </w:r>
      <w:r>
        <w:rPr/>
        <w:fldChar w:fldCharType="separate"/>
      </w:r>
      <w:r>
        <w:rPr>
          <w:rFonts w:ascii="Arial" w:cs="Arial" w:eastAsia="Arial" w:hAnsi="Arial"/>
          <w:color w:val="0563c1"/>
          <w:sz w:val="24"/>
          <w:szCs w:val="24"/>
          <w:u w:val="single"/>
        </w:rPr>
        <w:t>https://onlinelibrary.wiley.com/doi/full/10.1111/bjir.12541</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Case, A. and Deaton, A. (2021) ‘Life expectancy in adulthood is falling for those without a BA degree, but as educational gaps have widened, racial gaps have narrowed’, </w:t>
      </w:r>
      <w:r>
        <w:rPr>
          <w:rFonts w:ascii="Arial" w:cs="Arial" w:eastAsia="Arial" w:hAnsi="Arial"/>
          <w:i/>
          <w:sz w:val="24"/>
          <w:szCs w:val="24"/>
        </w:rPr>
        <w:t>Proceedings of the National Academy of Sciences</w:t>
      </w:r>
      <w:r>
        <w:rPr>
          <w:rFonts w:ascii="Arial" w:cs="Arial" w:eastAsia="Arial" w:hAnsi="Arial"/>
          <w:sz w:val="24"/>
          <w:szCs w:val="24"/>
        </w:rPr>
        <w:t xml:space="preserve">, 118(11), p.e2024777118. Available at: </w:t>
      </w:r>
      <w:r>
        <w:rPr/>
        <w:fldChar w:fldCharType="begin"/>
      </w:r>
      <w:r>
        <w:instrText xml:space="preserve"> HYPERLINK "https://www.pnas.org/doi/pdf/10.1073/pnas.2024777118" </w:instrText>
      </w:r>
      <w:r>
        <w:rPr/>
        <w:fldChar w:fldCharType="separate"/>
      </w:r>
      <w:r>
        <w:rPr>
          <w:rFonts w:ascii="Arial" w:cs="Arial" w:eastAsia="Arial" w:hAnsi="Arial"/>
          <w:color w:val="0563c1"/>
          <w:sz w:val="24"/>
          <w:szCs w:val="24"/>
          <w:u w:val="single"/>
        </w:rPr>
        <w:t>https://www.pnas.org/doi/pdf/10.1073/pnas.2024777118</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Celestin, P. (2024) ‘Exploring the growth of freelance and gig workforces: Impacts on employment models and business risks’, </w:t>
      </w:r>
      <w:r>
        <w:rPr>
          <w:rFonts w:ascii="Arial" w:cs="Arial" w:eastAsia="Arial" w:hAnsi="Arial"/>
          <w:i/>
          <w:sz w:val="24"/>
          <w:szCs w:val="24"/>
        </w:rPr>
        <w:t>Journal of Emerging Technologies and Industrial Applications</w:t>
      </w:r>
      <w:r>
        <w:rPr>
          <w:rFonts w:ascii="Arial" w:cs="Arial" w:eastAsia="Arial" w:hAnsi="Arial"/>
          <w:sz w:val="24"/>
          <w:szCs w:val="24"/>
        </w:rPr>
        <w:t xml:space="preserve">, 3(2). Available at: </w:t>
      </w:r>
      <w:r>
        <w:rPr/>
        <w:fldChar w:fldCharType="begin"/>
      </w:r>
      <w:r>
        <w:instrText xml:space="preserve"> HYPERLINK "https://doi.org/10.5281/zenodo.13955408" </w:instrText>
      </w:r>
      <w:r>
        <w:rPr/>
        <w:fldChar w:fldCharType="separate"/>
      </w:r>
      <w:r>
        <w:rPr>
          <w:rFonts w:ascii="Arial" w:cs="Arial" w:eastAsia="Arial" w:hAnsi="Arial"/>
          <w:color w:val="0563c1"/>
          <w:sz w:val="24"/>
          <w:szCs w:val="24"/>
          <w:u w:val="single"/>
        </w:rPr>
        <w:t>https://doi.org/10.5281/zenodo.13955408</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Deloitte Insights (2024) </w:t>
      </w:r>
      <w:r>
        <w:rPr>
          <w:rFonts w:ascii="Arial" w:cs="Arial" w:eastAsia="Arial" w:hAnsi="Arial"/>
          <w:i/>
          <w:sz w:val="24"/>
          <w:szCs w:val="24"/>
        </w:rPr>
        <w:t>Global trade and the new geoeconomic reality</w:t>
      </w:r>
      <w:r>
        <w:rPr>
          <w:rFonts w:ascii="Arial" w:cs="Arial" w:eastAsia="Arial" w:hAnsi="Arial"/>
          <w:sz w:val="24"/>
          <w:szCs w:val="24"/>
        </w:rPr>
        <w:t xml:space="preserve">. Available at: </w:t>
      </w:r>
      <w:r>
        <w:rPr/>
        <w:fldChar w:fldCharType="begin"/>
      </w:r>
      <w:r>
        <w:instrText xml:space="preserve"> HYPERLINK "https://www.deloitte.com/us/en/insights/topics/business-strategy-growth/global-trade-trends-and-geopolitical-issues.html" </w:instrText>
      </w:r>
      <w:r>
        <w:rPr/>
        <w:fldChar w:fldCharType="separate"/>
      </w:r>
      <w:r>
        <w:rPr>
          <w:rFonts w:ascii="Arial" w:cs="Arial" w:eastAsia="Arial" w:hAnsi="Arial"/>
          <w:color w:val="0563c1"/>
          <w:sz w:val="24"/>
          <w:szCs w:val="24"/>
          <w:u w:val="single"/>
        </w:rPr>
        <w:t>https://www.deloitte.com/us/en/insights/topics/business-strategy-growth/global-trade-trends-and-geopolitical-issues.html</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Ererdi</w:t>
      </w:r>
      <w:r>
        <w:rPr>
          <w:rFonts w:ascii="Arial" w:cs="Arial" w:eastAsia="Arial" w:hAnsi="Arial"/>
          <w:sz w:val="24"/>
          <w:szCs w:val="24"/>
        </w:rPr>
        <w:t xml:space="preserve">, C., </w:t>
      </w:r>
      <w:r>
        <w:rPr>
          <w:rFonts w:ascii="Arial" w:cs="Arial" w:eastAsia="Arial" w:hAnsi="Arial"/>
          <w:sz w:val="24"/>
          <w:szCs w:val="24"/>
        </w:rPr>
        <w:t>Nurgabdeshov</w:t>
      </w:r>
      <w:r>
        <w:rPr>
          <w:rFonts w:ascii="Arial" w:cs="Arial" w:eastAsia="Arial" w:hAnsi="Arial"/>
          <w:sz w:val="24"/>
          <w:szCs w:val="24"/>
        </w:rPr>
        <w:t xml:space="preserve">, A., </w:t>
      </w:r>
      <w:r>
        <w:rPr>
          <w:rFonts w:ascii="Arial" w:cs="Arial" w:eastAsia="Arial" w:hAnsi="Arial"/>
          <w:sz w:val="24"/>
          <w:szCs w:val="24"/>
        </w:rPr>
        <w:t>Kozhakhmet</w:t>
      </w:r>
      <w:r>
        <w:rPr>
          <w:rFonts w:ascii="Arial" w:cs="Arial" w:eastAsia="Arial" w:hAnsi="Arial"/>
          <w:sz w:val="24"/>
          <w:szCs w:val="24"/>
        </w:rPr>
        <w:t xml:space="preserve">, S., </w:t>
      </w:r>
      <w:r>
        <w:rPr>
          <w:rFonts w:ascii="Arial" w:cs="Arial" w:eastAsia="Arial" w:hAnsi="Arial"/>
          <w:sz w:val="24"/>
          <w:szCs w:val="24"/>
        </w:rPr>
        <w:t>Rofcanin</w:t>
      </w:r>
      <w:r>
        <w:rPr>
          <w:rFonts w:ascii="Arial" w:cs="Arial" w:eastAsia="Arial" w:hAnsi="Arial"/>
          <w:sz w:val="24"/>
          <w:szCs w:val="24"/>
        </w:rPr>
        <w:t xml:space="preserve">, Y. and </w:t>
      </w:r>
      <w:r>
        <w:rPr>
          <w:rFonts w:ascii="Arial" w:cs="Arial" w:eastAsia="Arial" w:hAnsi="Arial"/>
          <w:sz w:val="24"/>
          <w:szCs w:val="24"/>
        </w:rPr>
        <w:t>Demirbag</w:t>
      </w:r>
      <w:r>
        <w:rPr>
          <w:rFonts w:ascii="Arial" w:cs="Arial" w:eastAsia="Arial" w:hAnsi="Arial"/>
          <w:sz w:val="24"/>
          <w:szCs w:val="24"/>
        </w:rPr>
        <w:t xml:space="preserve">, M. (2022) ‘International HRM in the context of uncertainty and crisis: A systematic review of literature (2000–2018)’, </w:t>
      </w:r>
      <w:r>
        <w:rPr>
          <w:rFonts w:ascii="Arial" w:cs="Arial" w:eastAsia="Arial" w:hAnsi="Arial"/>
          <w:i/>
          <w:sz w:val="24"/>
          <w:szCs w:val="24"/>
        </w:rPr>
        <w:t>The International Journal of Human Resource Management</w:t>
      </w:r>
      <w:r>
        <w:rPr>
          <w:rFonts w:ascii="Arial" w:cs="Arial" w:eastAsia="Arial" w:hAnsi="Arial"/>
          <w:sz w:val="24"/>
          <w:szCs w:val="24"/>
        </w:rPr>
        <w:t xml:space="preserve">, 33(12), pp.2503–2540. Available at: </w:t>
      </w:r>
      <w:r>
        <w:rPr/>
        <w:fldChar w:fldCharType="begin"/>
      </w:r>
      <w:r>
        <w:instrText xml:space="preserve"> HYPERLINK "https://repository.essex.ac.uk/29323/1/IJHRM%20-%204th%20Revision-Final-Repository.pdf" </w:instrText>
      </w:r>
      <w:r>
        <w:rPr/>
        <w:fldChar w:fldCharType="separate"/>
      </w:r>
      <w:r>
        <w:rPr>
          <w:rFonts w:ascii="Arial" w:cs="Arial" w:eastAsia="Arial" w:hAnsi="Arial"/>
          <w:color w:val="0563c1"/>
          <w:sz w:val="24"/>
          <w:szCs w:val="24"/>
          <w:u w:val="single"/>
        </w:rPr>
        <w:t>https://repository.essex.ac.uk/29323/1/IJHRM%20-%204th%20Revision-Final-Repository.pdf</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Foster, P. (2025) ‘Aggressive reshoring of supply chains risks significant GDP loss, warns OECD’, </w:t>
      </w:r>
      <w:r>
        <w:rPr>
          <w:rFonts w:ascii="Arial" w:cs="Arial" w:eastAsia="Arial" w:hAnsi="Arial"/>
          <w:i/>
          <w:sz w:val="24"/>
          <w:szCs w:val="24"/>
        </w:rPr>
        <w:t>@Financial Times</w:t>
      </w:r>
      <w:r>
        <w:rPr>
          <w:rFonts w:ascii="Arial" w:cs="Arial" w:eastAsia="Arial" w:hAnsi="Arial"/>
          <w:sz w:val="24"/>
          <w:szCs w:val="24"/>
        </w:rPr>
        <w:t xml:space="preserve">. Available at: </w:t>
      </w:r>
      <w:r>
        <w:rPr/>
        <w:fldChar w:fldCharType="begin"/>
      </w:r>
      <w:r>
        <w:instrText xml:space="preserve"> HYPERLINK "https://www.ft.com/content/e930fdce-367c-4e23-9967-9181b5cf43bc?utm_source=chatgpt.com" </w:instrText>
      </w:r>
      <w:r>
        <w:rPr/>
        <w:fldChar w:fldCharType="separate"/>
      </w:r>
      <w:r>
        <w:rPr>
          <w:rFonts w:ascii="Arial" w:cs="Arial" w:eastAsia="Arial" w:hAnsi="Arial"/>
          <w:color w:val="0563c1"/>
          <w:sz w:val="24"/>
          <w:szCs w:val="24"/>
          <w:u w:val="single"/>
        </w:rPr>
        <w:t>https://www.ft.com/content/e930fdce-367c-4e23-9967-9181b5cf43bc</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Gray, A. (2024) ‘UK employment levels amongst the over 50s at an all-time high and growing faster than all other age groups’, </w:t>
      </w:r>
      <w:r>
        <w:rPr>
          <w:rFonts w:ascii="Arial" w:cs="Arial" w:eastAsia="Arial" w:hAnsi="Arial"/>
          <w:i/>
          <w:sz w:val="24"/>
          <w:szCs w:val="24"/>
        </w:rPr>
        <w:t>Rest Less</w:t>
      </w:r>
      <w:r>
        <w:rPr>
          <w:rFonts w:ascii="Arial" w:cs="Arial" w:eastAsia="Arial" w:hAnsi="Arial"/>
          <w:sz w:val="24"/>
          <w:szCs w:val="24"/>
        </w:rPr>
        <w:t xml:space="preserve">. Available at: </w:t>
      </w:r>
      <w:r>
        <w:rPr/>
        <w:fldChar w:fldCharType="begin"/>
      </w:r>
      <w:r>
        <w:instrText xml:space="preserve"> HYPERLINK "https://restless.co.uk/press/uk-employment-levels-amongst-the-over-50s-at-an-all-time-highand-growing-faster-than-all-other-age-groups/" </w:instrText>
      </w:r>
      <w:r>
        <w:rPr/>
        <w:fldChar w:fldCharType="separate"/>
      </w:r>
      <w:r>
        <w:rPr>
          <w:rFonts w:ascii="Arial" w:cs="Arial" w:eastAsia="Arial" w:hAnsi="Arial"/>
          <w:color w:val="0563c1"/>
          <w:sz w:val="24"/>
          <w:szCs w:val="24"/>
          <w:u w:val="single"/>
        </w:rPr>
        <w:t>https://restless.co.uk/press/uk-employment-levels-amongst-the-over-50s-at-an-all-time-highand-growing-faster-than-all-other-age-groups/</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Kolhe, D. and Bhat, A. (2024) ‘Recruitment and selection in a global market: Economic costs and psychological competencies’, </w:t>
      </w:r>
      <w:r>
        <w:rPr>
          <w:rFonts w:ascii="Arial" w:cs="Arial" w:eastAsia="Arial" w:hAnsi="Arial"/>
          <w:i/>
          <w:sz w:val="24"/>
          <w:szCs w:val="24"/>
        </w:rPr>
        <w:t>International Journal of Intellectual Human Resource Management (IJIHRM)</w:t>
      </w:r>
      <w:r>
        <w:rPr>
          <w:rFonts w:ascii="Arial" w:cs="Arial" w:eastAsia="Arial" w:hAnsi="Arial"/>
          <w:sz w:val="24"/>
          <w:szCs w:val="24"/>
        </w:rPr>
        <w:t xml:space="preserve">, 5(2), pp.15–29. Available at: </w:t>
      </w:r>
      <w:r>
        <w:rPr/>
        <w:fldChar w:fldCharType="begin"/>
      </w:r>
      <w:r>
        <w:instrText xml:space="preserve"> HYPERLINK "https://journals.gulfuniversity.org/index.php/ijihrm/article/view/261" </w:instrText>
      </w:r>
      <w:r>
        <w:rPr/>
        <w:fldChar w:fldCharType="separate"/>
      </w:r>
      <w:r>
        <w:rPr>
          <w:rFonts w:ascii="Arial" w:cs="Arial" w:eastAsia="Arial" w:hAnsi="Arial"/>
          <w:color w:val="0563c1"/>
          <w:sz w:val="24"/>
          <w:szCs w:val="24"/>
          <w:u w:val="single"/>
        </w:rPr>
        <w:t>https://journals.gulfuniversity.org/index.php/ijihrm/article/view/261</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Miao, L. (2021) ‘Global talent mobility: Trends, challenges and proposed global governance solutions’, in </w:t>
      </w:r>
      <w:r>
        <w:rPr>
          <w:rFonts w:ascii="Arial" w:cs="Arial" w:eastAsia="Arial" w:hAnsi="Arial"/>
          <w:i/>
          <w:sz w:val="24"/>
          <w:szCs w:val="24"/>
        </w:rPr>
        <w:t>Consensus or Conflict</w:t>
      </w:r>
      <w:r>
        <w:rPr>
          <w:rFonts w:ascii="Arial" w:cs="Arial" w:eastAsia="Arial" w:hAnsi="Arial"/>
          <w:sz w:val="24"/>
          <w:szCs w:val="24"/>
        </w:rPr>
        <w:t xml:space="preserve">, p.191. Available at: </w:t>
      </w:r>
      <w:r>
        <w:rPr/>
        <w:fldChar w:fldCharType="begin"/>
      </w:r>
      <w:r>
        <w:instrText xml:space="preserve"> HYPERLINK "http://www.springer.com/series/16735" </w:instrText>
      </w:r>
      <w:r>
        <w:rPr/>
        <w:fldChar w:fldCharType="separate"/>
      </w:r>
      <w:r>
        <w:rPr>
          <w:rFonts w:ascii="Arial" w:cs="Arial" w:eastAsia="Arial" w:hAnsi="Arial"/>
          <w:color w:val="0563c1"/>
          <w:sz w:val="24"/>
          <w:szCs w:val="24"/>
          <w:u w:val="single"/>
        </w:rPr>
        <w:t>http://www.springer.com/series/16735</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Ouyang, S., Zhang, W., Xue, L., Rashid, A.M., Pyng, H.S. and Hassan, A.B. (2025) ‘The cultural compass: A systematic review on cultural dimensions theory in educational settings’, </w:t>
      </w:r>
      <w:r>
        <w:rPr>
          <w:rFonts w:ascii="Arial" w:cs="Arial" w:eastAsia="Arial" w:hAnsi="Arial"/>
          <w:i/>
          <w:sz w:val="24"/>
          <w:szCs w:val="24"/>
        </w:rPr>
        <w:t>SAGE Open</w:t>
      </w:r>
      <w:r>
        <w:rPr>
          <w:rFonts w:ascii="Arial" w:cs="Arial" w:eastAsia="Arial" w:hAnsi="Arial"/>
          <w:sz w:val="24"/>
          <w:szCs w:val="24"/>
        </w:rPr>
        <w:t xml:space="preserve">, 15(2), p.21582440251342160. Available at: </w:t>
      </w:r>
      <w:r>
        <w:rPr/>
        <w:fldChar w:fldCharType="begin"/>
      </w:r>
      <w:r>
        <w:instrText xml:space="preserve"> HYPERLINK "https://journals.sagepub.com/doi/full/10.1177/21582440251342160" </w:instrText>
      </w:r>
      <w:r>
        <w:rPr/>
        <w:fldChar w:fldCharType="separate"/>
      </w:r>
      <w:r>
        <w:rPr>
          <w:rFonts w:ascii="Arial" w:cs="Arial" w:eastAsia="Arial" w:hAnsi="Arial"/>
          <w:color w:val="0563c1"/>
          <w:sz w:val="24"/>
          <w:szCs w:val="24"/>
          <w:u w:val="single"/>
        </w:rPr>
        <w:t>https://journals.sagepub.com/doi/full/10.1177/21582440251342160</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Pellitteri, J. (2021) ‘Emotional intelligence and leadership styles in education’, </w:t>
      </w:r>
      <w:r>
        <w:rPr>
          <w:rFonts w:ascii="Arial" w:cs="Arial" w:eastAsia="Arial" w:hAnsi="Arial"/>
          <w:i/>
          <w:sz w:val="24"/>
          <w:szCs w:val="24"/>
        </w:rPr>
        <w:t>Psychology &amp; Its Contexts/</w:t>
      </w:r>
      <w:r>
        <w:rPr>
          <w:rFonts w:ascii="Arial" w:cs="Arial" w:eastAsia="Arial" w:hAnsi="Arial"/>
          <w:i/>
          <w:sz w:val="24"/>
          <w:szCs w:val="24"/>
        </w:rPr>
        <w:t>Psychologie</w:t>
      </w:r>
      <w:r>
        <w:rPr>
          <w:rFonts w:ascii="Arial" w:cs="Arial" w:eastAsia="Arial" w:hAnsi="Arial"/>
          <w:i/>
          <w:sz w:val="24"/>
          <w:szCs w:val="24"/>
        </w:rPr>
        <w:t xml:space="preserve"> a </w:t>
      </w:r>
      <w:r>
        <w:rPr>
          <w:rFonts w:ascii="Arial" w:cs="Arial" w:eastAsia="Arial" w:hAnsi="Arial"/>
          <w:i/>
          <w:sz w:val="24"/>
          <w:szCs w:val="24"/>
        </w:rPr>
        <w:t>Její</w:t>
      </w:r>
      <w:r>
        <w:rPr>
          <w:rFonts w:ascii="Arial" w:cs="Arial" w:eastAsia="Arial" w:hAnsi="Arial"/>
          <w:i/>
          <w:sz w:val="24"/>
          <w:szCs w:val="24"/>
        </w:rPr>
        <w:t xml:space="preserve"> </w:t>
      </w:r>
      <w:r>
        <w:rPr>
          <w:rFonts w:ascii="Arial" w:cs="Arial" w:eastAsia="Arial" w:hAnsi="Arial"/>
          <w:i/>
          <w:sz w:val="24"/>
          <w:szCs w:val="24"/>
        </w:rPr>
        <w:t>Kontexty</w:t>
      </w:r>
      <w:r>
        <w:rPr>
          <w:rFonts w:ascii="Arial" w:cs="Arial" w:eastAsia="Arial" w:hAnsi="Arial"/>
          <w:sz w:val="24"/>
          <w:szCs w:val="24"/>
        </w:rPr>
        <w:t xml:space="preserve">, 12(2). Available at: </w:t>
      </w:r>
      <w:r>
        <w:rPr/>
        <w:fldChar w:fldCharType="begin"/>
      </w:r>
      <w:r>
        <w:instrText xml:space="preserve"> HYPERLINK "https://www.researchgate.net/publication/360623157_Emotional_Intelligence_and_Leadership_Styles_in_Education" </w:instrText>
      </w:r>
      <w:r>
        <w:rPr/>
        <w:fldChar w:fldCharType="separate"/>
      </w:r>
      <w:r>
        <w:rPr>
          <w:rFonts w:ascii="Arial" w:cs="Arial" w:eastAsia="Arial" w:hAnsi="Arial"/>
          <w:color w:val="0563c1"/>
          <w:sz w:val="24"/>
          <w:szCs w:val="24"/>
          <w:u w:val="single"/>
        </w:rPr>
        <w:t>https://www.researchgate.net/publication/360623157_Emotional_Intelligence_and_Leadership_Styles_in_Education</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Plc, B. (2024) ‘BT Group’s My Campus personalised learning platform harnesses AI with Degreed’, </w:t>
      </w:r>
      <w:r>
        <w:rPr>
          <w:rFonts w:ascii="Arial" w:cs="Arial" w:eastAsia="Arial" w:hAnsi="Arial"/>
          <w:i/>
          <w:sz w:val="24"/>
          <w:szCs w:val="24"/>
        </w:rPr>
        <w:t>BT Group Newsroom</w:t>
      </w:r>
      <w:r>
        <w:rPr>
          <w:rFonts w:ascii="Arial" w:cs="Arial" w:eastAsia="Arial" w:hAnsi="Arial"/>
          <w:sz w:val="24"/>
          <w:szCs w:val="24"/>
        </w:rPr>
        <w:t xml:space="preserve">, 1 July. Available at: </w:t>
      </w:r>
      <w:r>
        <w:rPr/>
        <w:fldChar w:fldCharType="begin"/>
      </w:r>
      <w:r>
        <w:instrText xml:space="preserve"> HYPERLINK "https://newsroom.bt.com/bt-groups-my-campus-personalised-learning-platform-harnesses-ai-with-degreed/" </w:instrText>
      </w:r>
      <w:r>
        <w:rPr/>
        <w:fldChar w:fldCharType="separate"/>
      </w:r>
      <w:r>
        <w:rPr>
          <w:rFonts w:ascii="Arial" w:cs="Arial" w:eastAsia="Arial" w:hAnsi="Arial"/>
          <w:color w:val="0563c1"/>
          <w:sz w:val="24"/>
          <w:szCs w:val="24"/>
          <w:u w:val="single"/>
        </w:rPr>
        <w:t>https://newsroom.bt.com/bt-groups-</w:t>
      </w:r>
      <w:r>
        <w:rPr>
          <w:rFonts w:ascii="Arial" w:cs="Arial" w:eastAsia="Arial" w:hAnsi="Arial"/>
          <w:color w:val="0563c1"/>
          <w:sz w:val="24"/>
          <w:szCs w:val="24"/>
          <w:u w:val="single"/>
        </w:rPr>
        <w:t>my-campus-personalised-learning-platform-harnesses-ai-with-degreed/</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Rodon </w:t>
      </w:r>
      <w:r>
        <w:rPr>
          <w:rFonts w:ascii="Arial" w:cs="Arial" w:eastAsia="Arial" w:hAnsi="Arial"/>
          <w:sz w:val="24"/>
          <w:szCs w:val="24"/>
        </w:rPr>
        <w:t>Modol</w:t>
      </w:r>
      <w:r>
        <w:rPr>
          <w:rFonts w:ascii="Arial" w:cs="Arial" w:eastAsia="Arial" w:hAnsi="Arial"/>
          <w:sz w:val="24"/>
          <w:szCs w:val="24"/>
        </w:rPr>
        <w:t xml:space="preserve">, J. and Eaton, B. (2021) ‘Digital infrastructure evolution as generative entrenchment: The formation of a core–periphery structure’, </w:t>
      </w:r>
      <w:r>
        <w:rPr>
          <w:rFonts w:ascii="Arial" w:cs="Arial" w:eastAsia="Arial" w:hAnsi="Arial"/>
          <w:i/>
          <w:sz w:val="24"/>
          <w:szCs w:val="24"/>
        </w:rPr>
        <w:t>Journal of Information Technology</w:t>
      </w:r>
      <w:r>
        <w:rPr>
          <w:rFonts w:ascii="Arial" w:cs="Arial" w:eastAsia="Arial" w:hAnsi="Arial"/>
          <w:sz w:val="24"/>
          <w:szCs w:val="24"/>
        </w:rPr>
        <w:t xml:space="preserve">, 36(4), pp.342–364. Available at: </w:t>
      </w:r>
      <w:r>
        <w:rPr/>
        <w:fldChar w:fldCharType="begin"/>
      </w:r>
      <w:r>
        <w:instrText xml:space="preserve"> HYPERLINK "https://journals.sagepub.com/doi/abs/10.1177/02683962211013362" </w:instrText>
      </w:r>
      <w:r>
        <w:rPr/>
        <w:fldChar w:fldCharType="separate"/>
      </w:r>
      <w:r>
        <w:rPr>
          <w:rFonts w:ascii="Arial" w:cs="Arial" w:eastAsia="Arial" w:hAnsi="Arial"/>
          <w:color w:val="0563c1"/>
          <w:sz w:val="24"/>
          <w:szCs w:val="24"/>
          <w:u w:val="single"/>
        </w:rPr>
        <w:t>https://journals.sagepub.com/doi/abs/10.1177/02683962211013362</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Schulte, A. (2025) </w:t>
      </w:r>
      <w:r>
        <w:rPr>
          <w:rFonts w:ascii="Arial" w:cs="Arial" w:eastAsia="Arial" w:hAnsi="Arial"/>
          <w:i/>
          <w:sz w:val="24"/>
          <w:szCs w:val="24"/>
        </w:rPr>
        <w:t>HR case studies: Adapting to crisis in a changing world</w:t>
      </w:r>
      <w:r>
        <w:rPr>
          <w:rFonts w:ascii="Arial" w:cs="Arial" w:eastAsia="Arial" w:hAnsi="Arial"/>
          <w:sz w:val="24"/>
          <w:szCs w:val="24"/>
        </w:rPr>
        <w:t xml:space="preserve">. </w:t>
      </w:r>
      <w:r>
        <w:rPr>
          <w:rFonts w:ascii="Arial" w:cs="Arial" w:eastAsia="Arial" w:hAnsi="Arial"/>
          <w:i/>
          <w:sz w:val="24"/>
          <w:szCs w:val="24"/>
        </w:rPr>
        <w:t>Centuro</w:t>
      </w:r>
      <w:r>
        <w:rPr>
          <w:rFonts w:ascii="Arial" w:cs="Arial" w:eastAsia="Arial" w:hAnsi="Arial"/>
          <w:i/>
          <w:sz w:val="24"/>
          <w:szCs w:val="24"/>
        </w:rPr>
        <w:t xml:space="preserve"> Global</w:t>
      </w:r>
      <w:r>
        <w:rPr>
          <w:rFonts w:ascii="Arial" w:cs="Arial" w:eastAsia="Arial" w:hAnsi="Arial"/>
          <w:sz w:val="24"/>
          <w:szCs w:val="24"/>
        </w:rPr>
        <w:t xml:space="preserve">. Available at: </w:t>
      </w:r>
      <w:r>
        <w:rPr/>
        <w:fldChar w:fldCharType="begin"/>
      </w:r>
      <w:r>
        <w:instrText xml:space="preserve"> HYPERLINK "https://www.centuroglobal.com/article/hr-case-studies-2024/?utm_source=chatgpt.com" </w:instrText>
      </w:r>
      <w:r>
        <w:rPr/>
        <w:fldChar w:fldCharType="separate"/>
      </w:r>
      <w:r>
        <w:rPr>
          <w:rFonts w:ascii="Arial" w:cs="Arial" w:eastAsia="Arial" w:hAnsi="Arial"/>
          <w:color w:val="0563c1"/>
          <w:sz w:val="24"/>
          <w:szCs w:val="24"/>
          <w:u w:val="single"/>
        </w:rPr>
        <w:t>https://www.centuroglobal.com/article/hr-case-studies-2024/</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Sharef, N.M., Yahaya, W.A.W. and Alli, H. (2024) ‘Future-proofing workforce: High-skilled talent development strategies’, </w:t>
      </w:r>
      <w:r>
        <w:rPr>
          <w:rFonts w:ascii="Arial" w:cs="Arial" w:eastAsia="Arial" w:hAnsi="Arial"/>
          <w:i/>
          <w:sz w:val="24"/>
          <w:szCs w:val="24"/>
        </w:rPr>
        <w:t>Journal of Emerging Technologies and Industrial Applications</w:t>
      </w:r>
      <w:r>
        <w:rPr>
          <w:rFonts w:ascii="Arial" w:cs="Arial" w:eastAsia="Arial" w:hAnsi="Arial"/>
          <w:sz w:val="24"/>
          <w:szCs w:val="24"/>
        </w:rPr>
        <w:t xml:space="preserve">, 3(2). Available at: </w:t>
      </w:r>
      <w:r>
        <w:rPr/>
        <w:fldChar w:fldCharType="begin"/>
      </w:r>
      <w:r>
        <w:instrText xml:space="preserve"> HYPERLINK "https://jetia.mbot.org.my/index.php/jetia/article/view/35" </w:instrText>
      </w:r>
      <w:r>
        <w:rPr/>
        <w:fldChar w:fldCharType="separate"/>
      </w:r>
      <w:r>
        <w:rPr>
          <w:rFonts w:ascii="Arial" w:cs="Arial" w:eastAsia="Arial" w:hAnsi="Arial"/>
          <w:color w:val="0563c1"/>
          <w:sz w:val="24"/>
          <w:szCs w:val="24"/>
          <w:u w:val="single"/>
        </w:rPr>
        <w:t>https://jetia.mbot.org.my/index.php/jetia/article/view/35</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 xml:space="preserve">Silo, T. (2021) </w:t>
      </w:r>
      <w:r>
        <w:rPr>
          <w:rFonts w:ascii="Arial" w:cs="Arial" w:eastAsia="Arial" w:hAnsi="Arial"/>
          <w:i/>
          <w:sz w:val="24"/>
          <w:szCs w:val="24"/>
        </w:rPr>
        <w:t>An investigation into the human capital perspective of project management – ensuring project success within selected financial organisations in Botswana</w:t>
      </w:r>
      <w:r>
        <w:rPr>
          <w:rFonts w:ascii="Arial" w:cs="Arial" w:eastAsia="Arial" w:hAnsi="Arial"/>
          <w:sz w:val="24"/>
          <w:szCs w:val="24"/>
        </w:rPr>
        <w:t xml:space="preserve">. Available at: </w:t>
      </w:r>
      <w:r>
        <w:rPr/>
        <w:fldChar w:fldCharType="begin"/>
      </w:r>
      <w:r>
        <w:instrText xml:space="preserve"> HYPERLINK "https://open.uct.ac.za/handle/11427/36116" </w:instrText>
      </w:r>
      <w:r>
        <w:rPr/>
        <w:fldChar w:fldCharType="separate"/>
      </w:r>
      <w:r>
        <w:rPr>
          <w:rFonts w:ascii="Arial" w:cs="Arial" w:eastAsia="Arial" w:hAnsi="Arial"/>
          <w:color w:val="0563c1"/>
          <w:sz w:val="24"/>
          <w:szCs w:val="24"/>
          <w:u w:val="single"/>
        </w:rPr>
        <w:t>https://open.uct.ac.za/handle/11427/36116</w:t>
      </w:r>
      <w:r>
        <w:rPr/>
        <w:fldChar w:fldCharType="end"/>
      </w:r>
      <w:r>
        <w:rPr>
          <w:rFonts w:ascii="Arial" w:cs="Arial" w:eastAsia="Arial" w:hAnsi="Arial"/>
          <w:sz w:val="24"/>
          <w:szCs w:val="24"/>
        </w:rPr>
        <w:t xml:space="preserve"> (Accessed: 9 October 2025).</w:t>
      </w:r>
    </w:p>
    <w:p>
      <w:pPr>
        <w:pStyle w:val="style0"/>
        <w:spacing w:lineRule="auto" w:line="360"/>
        <w:jc w:val="both"/>
        <w:rPr>
          <w:rFonts w:ascii="Arial" w:cs="Arial" w:eastAsia="Arial" w:hAnsi="Arial"/>
          <w:sz w:val="24"/>
          <w:szCs w:val="24"/>
        </w:rPr>
      </w:pPr>
      <w:r>
        <w:rPr>
          <w:rFonts w:ascii="Arial" w:cs="Arial" w:eastAsia="Arial" w:hAnsi="Arial"/>
          <w:sz w:val="24"/>
          <w:szCs w:val="24"/>
        </w:rPr>
        <w:t>Vizmonte</w:t>
      </w:r>
      <w:r>
        <w:rPr>
          <w:rFonts w:ascii="Arial" w:cs="Arial" w:eastAsia="Arial" w:hAnsi="Arial"/>
          <w:sz w:val="24"/>
          <w:szCs w:val="24"/>
        </w:rPr>
        <w:t xml:space="preserve">, E.J. and </w:t>
      </w:r>
      <w:r>
        <w:rPr>
          <w:rFonts w:ascii="Arial" w:cs="Arial" w:eastAsia="Arial" w:hAnsi="Arial"/>
          <w:sz w:val="24"/>
          <w:szCs w:val="24"/>
        </w:rPr>
        <w:t>Ligot</w:t>
      </w:r>
      <w:r>
        <w:rPr>
          <w:rFonts w:ascii="Arial" w:cs="Arial" w:eastAsia="Arial" w:hAnsi="Arial"/>
          <w:sz w:val="24"/>
          <w:szCs w:val="24"/>
        </w:rPr>
        <w:t xml:space="preserve">, D.V. (2024) ‘Analysing the relationship between cultural dimensions and educational performance using Hofstede model and PISA data’, </w:t>
      </w:r>
      <w:r>
        <w:rPr>
          <w:rFonts w:ascii="Arial" w:cs="Arial" w:eastAsia="Arial" w:hAnsi="Arial"/>
          <w:i/>
          <w:sz w:val="24"/>
          <w:szCs w:val="24"/>
        </w:rPr>
        <w:t>SSRN Electronic Journal</w:t>
      </w:r>
      <w:r>
        <w:rPr>
          <w:rFonts w:ascii="Arial" w:cs="Arial" w:eastAsia="Arial" w:hAnsi="Arial"/>
          <w:sz w:val="24"/>
          <w:szCs w:val="24"/>
        </w:rPr>
        <w:t xml:space="preserve">. Available at: </w:t>
      </w:r>
      <w:r>
        <w:rPr/>
        <w:fldChar w:fldCharType="begin"/>
      </w:r>
      <w:r>
        <w:instrText xml:space="preserve"> HYPERLINK "https://papers.ssrn.com/sol3/papers.cfm?abstract_id=4686789" </w:instrText>
      </w:r>
      <w:r>
        <w:rPr/>
        <w:fldChar w:fldCharType="separate"/>
      </w:r>
      <w:r>
        <w:rPr>
          <w:rFonts w:ascii="Arial" w:cs="Arial" w:eastAsia="Arial" w:hAnsi="Arial"/>
          <w:color w:val="0563c1"/>
          <w:sz w:val="24"/>
          <w:szCs w:val="24"/>
          <w:u w:val="single"/>
        </w:rPr>
        <w:t>https://papers.ssrn.com/sol3/papers.cfm?abstract_id=4686789</w:t>
      </w:r>
      <w:r>
        <w:rPr/>
        <w:fldChar w:fldCharType="end"/>
      </w:r>
      <w:r>
        <w:rPr>
          <w:rFonts w:ascii="Arial" w:cs="Arial" w:eastAsia="Arial" w:hAnsi="Arial"/>
          <w:sz w:val="24"/>
          <w:szCs w:val="24"/>
        </w:rPr>
        <w:t xml:space="preserve"> (Accessed: 9 October 2025).</w:t>
      </w:r>
    </w:p>
    <w:p>
      <w:pPr>
        <w:pStyle w:val="style0"/>
        <w:rPr/>
      </w:pPr>
    </w:p>
    <w:sectPr>
      <w:headerReference w:type="default" r:id="rId6"/>
      <w:footerReference w:type="default" r:id="rId7"/>
      <w:pgSz w:w="11910" w:h="16840" w:orient="portrait"/>
      <w:pgMar w:top="1680" w:right="1278" w:bottom="1160" w:left="1340" w:header="981" w:footer="970" w:gutter="0"/>
      <w:pgNumType w:start="1"/>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altName w:val="Times New Roman"/>
    <w:panose1 w:val="02020603050004020304"/>
    <w:charset w:val="00"/>
    <w:family w:val="roman"/>
    <w:pitch w:val="variable"/>
    <w:sig w:usb0="E0002EFF" w:usb1="C000785B" w:usb2="00000009" w:usb3="00000000" w:csb0="000001FF" w:csb1="00000000"/>
  </w:font>
  <w:font w:name="Arial">
    <w:altName w:val="Arial"/>
    <w:panose1 w:val="020b0604020002020204"/>
    <w:charset w:val="00"/>
    <w:family w:val="swiss"/>
    <w:pitch w:val="variable"/>
    <w:sig w:usb0="E0002EFF" w:usb1="C000785B" w:usb2="00000009" w:usb3="00000000" w:csb0="000001FF" w:csb1="00000000"/>
  </w:font>
  <w:font w:name="Georgia">
    <w:altName w:val="Georgia"/>
    <w:panose1 w:val="02040502050004020303"/>
    <w:charset w:val="00"/>
    <w:family w:val="roman"/>
    <w:pitch w:val="variable"/>
    <w:sig w:usb0="00000287" w:usb1="00000000" w:usb2="00000000" w:usb3="00000000" w:csb0="0000009F" w:csb1="00000000"/>
  </w:font>
  <w:font w:name="Calibri">
    <w:altName w:val="Calibri"/>
    <w:panose1 w:val="020f0502020002030204"/>
    <w:charset w:val="00"/>
    <w:family w:val="swiss"/>
    <w:pitch w:val="variable"/>
    <w:sig w:usb0="E4002EFF" w:usb1="C200247B" w:usb2="00000009" w:usb3="00000000" w:csb0="000001FF" w:csb1="00000000"/>
  </w:font>
  <w:font w:name="Cambria">
    <w:altName w:val="Cambria"/>
    <w:panose1 w:val="02040503050004030204"/>
    <w:charset w:val="00"/>
    <w:family w:val="roman"/>
    <w:pitch w:val="variable"/>
    <w:sig w:usb0="E00006FF" w:usb1="420024FF" w:usb2="02000000" w:usb3="00000000" w:csb0="0000019F"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513"/>
        <w:tab w:val="right" w:leader="none" w:pos="9026"/>
      </w:tabs>
      <w:jc w:val="right"/>
      <w:rPr>
        <w:color w:val="000000"/>
      </w:rPr>
    </w:pPr>
    <w:r>
      <w:rPr>
        <w:color w:val="000000"/>
      </w:rPr>
      <w:fldChar w:fldCharType="begin"/>
    </w:r>
    <w:r>
      <w:rPr>
        <w:color w:val="000000"/>
      </w:rPr>
      <w:instrText>PAGE</w:instrText>
    </w:r>
    <w:r>
      <w:rPr>
        <w:color w:val="000000"/>
      </w:rPr>
      <w:fldChar w:fldCharType="separate"/>
    </w:r>
    <w:r>
      <w:rPr>
        <w:noProof/>
        <w:color w:val="000000"/>
      </w:rPr>
      <w:t>1</w:t>
    </w:r>
    <w:r>
      <w:rPr>
        <w:color w:val="000000"/>
      </w:rPr>
      <w:fldChar w:fldCharType="end"/>
    </w:r>
  </w:p>
  <w:p>
    <w:pPr>
      <w:pStyle w:val="style0"/>
      <w:pBdr>
        <w:left w:val="nil"/>
        <w:right w:val="nil"/>
        <w:top w:val="nil"/>
        <w:bottom w:val="nil"/>
        <w:between w:val="nil"/>
      </w:pBdr>
      <w:tabs>
        <w:tab w:val="center" w:leader="none" w:pos="4513"/>
        <w:tab w:val="right" w:leader="none" w:pos="9026"/>
      </w:tabs>
      <w:rPr>
        <w:color w:val="000000"/>
      </w:rPr>
    </w:pP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0"/>
      <w:pBdr>
        <w:left w:val="nil"/>
        <w:right w:val="nil"/>
        <w:top w:val="nil"/>
        <w:bottom w:val="nil"/>
        <w:between w:val="nil"/>
      </w:pBdr>
      <w:tabs>
        <w:tab w:val="center" w:leader="none" w:pos="4513"/>
        <w:tab w:val="right" w:leader="none" w:pos="9026"/>
      </w:tabs>
      <w:rPr>
        <w:color w:val="000000"/>
      </w:rPr>
    </w:pPr>
    <w:r>
      <w:rPr>
        <w:noProof/>
      </w:rPr>
      <w:drawing>
        <wp:anchor distT="0" distB="0" distL="114300" distR="114300" simplePos="false" relativeHeight="2" behindDoc="false" locked="false" layoutInCell="true" allowOverlap="true">
          <wp:simplePos x="0" y="0"/>
          <wp:positionH relativeFrom="column">
            <wp:posOffset>-466723</wp:posOffset>
          </wp:positionH>
          <wp:positionV relativeFrom="paragraph">
            <wp:posOffset>-276224</wp:posOffset>
          </wp:positionV>
          <wp:extent cx="1809750" cy="723900"/>
          <wp:effectExtent l="0" t="0" r="0" b="0"/>
          <wp:wrapSquare wrapText="bothSides"/>
          <wp:docPr id="4097" name="image4.png" descr="Discover University of Wales Trinity Saint David"/>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4" name="image4.png"/>
                  <pic:cNvPicPr/>
                </pic:nvPicPr>
                <pic:blipFill>
                  <a:blip r:embed="rId1" cstate="print"/>
                  <a:srcRect l="0" t="0" r="0" b="0"/>
                  <a:stretch/>
                </pic:blipFill>
                <pic:spPr>
                  <a:xfrm rot="0">
                    <a:off x="0" y="0"/>
                    <a:ext cx="1809750" cy="723900"/>
                  </a:xfrm>
                  <a:prstGeom prst="rect"/>
                  <a:ln cmpd="sng" cap="flat" w="9525">
                    <a:solidFill>
                      <a:srgbClr val="000000"/>
                    </a:solidFill>
                    <a:prstDash val="solid"/>
                    <a:round/>
                    <a:headEnd/>
                    <a:tailEnd/>
                  </a:ln>
                </pic:spPr>
              </pic:pic>
            </a:graphicData>
          </a:graphic>
        </wp:anchor>
      </w:drawing>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file>

<file path=word/settings.xml><?xml version="1.0" encoding="utf-8"?>
<w:settings xmlns:w="http://schemas.openxmlformats.org/wordprocessingml/2006/main" xmlns:r="http://schemas.openxmlformats.org/officeDocument/2006/relationships" xmlns:m="http://schemas.openxmlformats.org/officeDocument/2006/math">
  <w:zoom w:percent="100"/>
  <w:proofState w:spelling="clean" w:grammar="clean"/>
  <w:stylePaneFormatFilter w:val="5024" w:allStyles="0" w:customStyles="0" w:latentStyles="1" w:stylesInUse="0" w:headingStyles="1" w:numberingStyles="0" w:tableStyles="0" w:directFormattingOnRuns="0" w:directFormattingOnParagraphs="0" w:directFormattingOnNumbering="0" w:directFormattingOnTables="0" w:clearFormatting="1" w:top3HeadingStyles="0" w:visibleStyles="1" w:alternateStyleNames="0"/>
  <w:stylePaneSortMethod w:val="0001"/>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lang w:val="en-IN" w:bidi="ar-SA" w:eastAsia="en-GB"/>
      </w:rPr>
    </w:rPrDefault>
    <w:pPrDefault>
      <w:pPr/>
    </w:pPrDefault>
  </w:docDefaults>
  <w:style w:type="paragraph" w:default="1" w:styleId="style0">
    <w:name w:val="Normal"/>
    <w:next w:val="style0"/>
    <w:qFormat/>
    <w:pPr/>
  </w:style>
  <w:style w:type="paragraph" w:styleId="style1">
    <w:name w:val="heading 1"/>
    <w:basedOn w:val="style0"/>
    <w:next w:val="style0"/>
    <w:qFormat/>
    <w:uiPriority w:val="9"/>
    <w:pPr>
      <w:keepNext/>
      <w:keepLines/>
      <w:spacing w:before="240" w:lineRule="auto" w:line="360"/>
      <w:outlineLvl w:val="0"/>
    </w:pPr>
    <w:rPr>
      <w:rFonts w:ascii="Arial" w:cs="Arial" w:eastAsia="Arial" w:hAnsi="Arial"/>
      <w:b/>
      <w:color w:val="000000"/>
      <w:sz w:val="28"/>
      <w:szCs w:val="28"/>
    </w:rPr>
  </w:style>
  <w:style w:type="paragraph" w:styleId="style2">
    <w:name w:val="heading 2"/>
    <w:basedOn w:val="style0"/>
    <w:next w:val="style0"/>
    <w:qFormat/>
    <w:uiPriority w:val="9"/>
    <w:pPr>
      <w:keepNext/>
      <w:keepLines/>
      <w:spacing w:before="360" w:after="80"/>
      <w:outlineLvl w:val="1"/>
    </w:pPr>
    <w:rPr>
      <w:b/>
      <w:sz w:val="36"/>
      <w:szCs w:val="36"/>
    </w:rPr>
  </w:style>
  <w:style w:type="paragraph" w:styleId="style3">
    <w:name w:val="heading 3"/>
    <w:basedOn w:val="style0"/>
    <w:next w:val="style0"/>
    <w:qFormat/>
    <w:uiPriority w:val="9"/>
    <w:pPr>
      <w:keepNext/>
      <w:keepLines/>
      <w:spacing w:before="280" w:after="80"/>
      <w:outlineLvl w:val="2"/>
    </w:pPr>
    <w:rPr>
      <w:b/>
      <w:sz w:val="28"/>
      <w:szCs w:val="28"/>
    </w:rPr>
  </w:style>
  <w:style w:type="paragraph" w:styleId="style4">
    <w:name w:val="heading 4"/>
    <w:basedOn w:val="style0"/>
    <w:next w:val="style0"/>
    <w:qFormat/>
    <w:uiPriority w:val="9"/>
    <w:pPr>
      <w:keepNext/>
      <w:keepLines/>
      <w:spacing w:before="240" w:after="40"/>
      <w:outlineLvl w:val="3"/>
    </w:pPr>
    <w:rPr>
      <w:b/>
      <w:sz w:val="24"/>
      <w:szCs w:val="24"/>
    </w:rPr>
  </w:style>
  <w:style w:type="paragraph" w:styleId="style5">
    <w:name w:val="heading 5"/>
    <w:basedOn w:val="style0"/>
    <w:next w:val="style0"/>
    <w:qFormat/>
    <w:uiPriority w:val="9"/>
    <w:pPr>
      <w:keepNext/>
      <w:keepLines/>
      <w:spacing w:before="220" w:after="40"/>
      <w:outlineLvl w:val="4"/>
    </w:pPr>
    <w:rPr>
      <w:b/>
      <w:sz w:val="22"/>
      <w:szCs w:val="22"/>
    </w:rPr>
  </w:style>
  <w:style w:type="paragraph" w:styleId="style6">
    <w:name w:val="heading 6"/>
    <w:basedOn w:val="style0"/>
    <w:next w:val="style0"/>
    <w:qFormat/>
    <w:uiPriority w:val="9"/>
    <w:pPr>
      <w:keepNext/>
      <w:keepLines/>
      <w:spacing w:before="200" w:after="40"/>
      <w:outlineLvl w:val="5"/>
    </w:pPr>
    <w:rPr>
      <w:b/>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table" w:customStyle="1" w:styleId="style4097">
    <w:name w:val="TableNormal"/>
    <w:next w:val="style4097"/>
    <w:pPr/>
    <w:rPr/>
    <w:tblPr>
      <w:tblCellMar>
        <w:top w:w="100" w:type="dxa"/>
        <w:left w:w="100" w:type="dxa"/>
        <w:bottom w:w="100" w:type="dxa"/>
        <w:right w:w="100" w:type="dxa"/>
      </w:tblCellMar>
    </w:tblPr>
    <w:tcPr>
      <w:tcBorders/>
    </w:tcPr>
  </w:style>
  <w:style w:type="paragraph" w:styleId="style62">
    <w:name w:val="Title"/>
    <w:basedOn w:val="style0"/>
    <w:next w:val="style0"/>
    <w:qFormat/>
    <w:uiPriority w:val="10"/>
    <w:pPr>
      <w:keepNext/>
      <w:keepLines/>
      <w:spacing w:before="480" w:after="120"/>
    </w:pPr>
    <w:rPr>
      <w:b/>
      <w:sz w:val="72"/>
      <w:szCs w:val="72"/>
    </w:rPr>
  </w:style>
  <w:style w:type="paragraph" w:styleId="style74">
    <w:name w:val="Subtitle"/>
    <w:basedOn w:val="style0"/>
    <w:next w:val="style0"/>
    <w:qFormat/>
    <w:uiPriority w:val="11"/>
    <w:pPr>
      <w:keepNext/>
      <w:keepLines/>
      <w:spacing w:before="360" w:after="80"/>
    </w:pPr>
    <w:rPr>
      <w:rFonts w:ascii="Georgia" w:cs="Georgia" w:eastAsia="Georgia" w:hAnsi="Georgia"/>
      <w:i/>
      <w:color w:val="666666"/>
      <w:sz w:val="48"/>
      <w:szCs w:val="48"/>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image" Target="media/image1.png"/><Relationship Id="rId3" Type="http://schemas.openxmlformats.org/officeDocument/2006/relationships/image" Target="media/image2.png"/><Relationship Id="rId4" Type="http://schemas.openxmlformats.org/officeDocument/2006/relationships/image" Target="media/image3.png"/><Relationship Id="rId11" Type="http://schemas.openxmlformats.org/officeDocument/2006/relationships/theme" Target="theme/theme1.xml"/><Relationship Id="rId10" Type="http://schemas.openxmlformats.org/officeDocument/2006/relationships/settings" Target="settings.xml"/><Relationship Id="rId9" Type="http://schemas.openxmlformats.org/officeDocument/2006/relationships/fontTable" Target="fontTable.xml"/><Relationship Id="rId5" Type="http://schemas.openxmlformats.org/officeDocument/2006/relationships/image" Target="media/image4.png"/><Relationship Id="rId6" Type="http://schemas.openxmlformats.org/officeDocument/2006/relationships/header" Target="header1.xml"/><Relationship Id="rId7" Type="http://schemas.openxmlformats.org/officeDocument/2006/relationships/footer" Target="footer2.xml"/><Relationship Id="rId8" Type="http://schemas.openxmlformats.org/officeDocument/2006/relationships/styles" Target="styles.xml"/></Relationships>
</file>

<file path=word/_rels/header1.xml.rels><?xml version="1.0" encoding="UTF-8"?>
<Relationships xmlns="http://schemas.openxmlformats.org/package/2006/relationships"><Relationship Id="rId1"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Words>3477</Words>
  <Pages>16</Pages>
  <Characters>22790</Characters>
  <Application>WPS Office</Application>
  <DocSecurity>0</DocSecurity>
  <Paragraphs>133</Paragraphs>
  <ScaleCrop>false</ScaleCrop>
  <LinksUpToDate>false</LinksUpToDate>
  <CharactersWithSpaces>26262</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2025-10-16T16:14:14Z</dcterms:created>
  <dc:creator>WPS Office</dc:creator>
  <lastModifiedBy>CPH2665</lastModifiedBy>
  <dcterms:modified xsi:type="dcterms:W3CDTF">2025-10-16T16:14:14Z</dcterms:modified>
  <revision>2</revision>
</coreProperties>
</file>

<file path=docProps/custom.xml><?xml version="1.0" encoding="utf-8"?>
<Properties xmlns="http://schemas.openxmlformats.org/officeDocument/2006/custom-properties" xmlns:vt="http://schemas.openxmlformats.org/officeDocument/2006/docPropsVTypes">
  <property fmtid="{D5CDD505-2E9C-101B-9397-08002B2CF9AE}" pid="2" name="ICV">
    <vt:lpwstr>99c22723c8744e408c4016f2f98e90bc</vt:lpwstr>
  </property>
</Properties>
</file>