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81E9D" w14:textId="77777777" w:rsidR="009714D3" w:rsidRDefault="009714D3" w:rsidP="009714D3">
      <w:pPr>
        <w:spacing w:line="360" w:lineRule="auto"/>
        <w:jc w:val="center"/>
        <w:rPr>
          <w:rFonts w:ascii="Arial" w:hAnsi="Arial" w:cs="Arial"/>
          <w:b/>
          <w:bCs/>
          <w:sz w:val="28"/>
          <w:szCs w:val="28"/>
        </w:rPr>
      </w:pPr>
    </w:p>
    <w:p w14:paraId="31663593" w14:textId="77777777" w:rsidR="009714D3" w:rsidRDefault="009714D3" w:rsidP="009714D3">
      <w:pPr>
        <w:spacing w:line="360" w:lineRule="auto"/>
        <w:jc w:val="center"/>
        <w:rPr>
          <w:rFonts w:ascii="Arial" w:hAnsi="Arial" w:cs="Arial"/>
          <w:b/>
          <w:bCs/>
          <w:sz w:val="28"/>
          <w:szCs w:val="28"/>
        </w:rPr>
      </w:pPr>
    </w:p>
    <w:p w14:paraId="2607030E" w14:textId="3DF750F0" w:rsidR="009714D3" w:rsidRPr="00280EF3" w:rsidRDefault="009714D3" w:rsidP="00280EF3">
      <w:pPr>
        <w:spacing w:line="360" w:lineRule="auto"/>
        <w:jc w:val="center"/>
        <w:rPr>
          <w:rFonts w:ascii="Arial" w:hAnsi="Arial" w:cs="Arial"/>
          <w:b/>
          <w:bCs/>
          <w:sz w:val="28"/>
          <w:szCs w:val="28"/>
        </w:rPr>
      </w:pPr>
      <w:r w:rsidRPr="00280EF3">
        <w:rPr>
          <w:rFonts w:ascii="Arial" w:hAnsi="Arial" w:cs="Arial"/>
          <w:b/>
          <w:bCs/>
          <w:sz w:val="28"/>
          <w:szCs w:val="28"/>
        </w:rPr>
        <w:t xml:space="preserve">Assessment </w:t>
      </w:r>
      <w:r w:rsidR="00280EF3" w:rsidRPr="00280EF3">
        <w:rPr>
          <w:rFonts w:ascii="Arial" w:hAnsi="Arial" w:cs="Arial"/>
          <w:b/>
          <w:bCs/>
          <w:sz w:val="28"/>
          <w:szCs w:val="28"/>
        </w:rPr>
        <w:t>2</w:t>
      </w:r>
    </w:p>
    <w:p w14:paraId="6F3D43CC" w14:textId="0A18C6F0" w:rsidR="00280EF3" w:rsidRDefault="00280EF3" w:rsidP="00280EF3">
      <w:pPr>
        <w:spacing w:line="360" w:lineRule="auto"/>
        <w:rPr>
          <w:rFonts w:ascii="Arial" w:hAnsi="Arial" w:cs="Arial"/>
          <w:b/>
          <w:bCs/>
          <w:sz w:val="28"/>
          <w:szCs w:val="28"/>
        </w:rPr>
      </w:pPr>
      <w:r>
        <w:rPr>
          <w:rFonts w:ascii="Arial" w:hAnsi="Arial" w:cs="Arial"/>
          <w:b/>
          <w:bCs/>
          <w:sz w:val="28"/>
          <w:szCs w:val="28"/>
        </w:rPr>
        <w:t xml:space="preserve">                                           WRITTEN REPORT</w:t>
      </w:r>
    </w:p>
    <w:p w14:paraId="5BB77979" w14:textId="77777777" w:rsidR="009714D3" w:rsidRDefault="009714D3" w:rsidP="00280EF3">
      <w:pPr>
        <w:spacing w:line="360" w:lineRule="auto"/>
        <w:rPr>
          <w:rFonts w:ascii="Arial" w:hAnsi="Arial" w:cs="Arial"/>
          <w:b/>
          <w:bCs/>
          <w:sz w:val="28"/>
          <w:szCs w:val="28"/>
        </w:rPr>
      </w:pPr>
    </w:p>
    <w:p w14:paraId="4C67FB69" w14:textId="77777777" w:rsidR="009714D3" w:rsidRDefault="009714D3" w:rsidP="00280EF3">
      <w:pPr>
        <w:spacing w:line="360" w:lineRule="auto"/>
        <w:rPr>
          <w:rFonts w:ascii="Arial" w:hAnsi="Arial" w:cs="Arial"/>
          <w:b/>
          <w:bCs/>
          <w:sz w:val="28"/>
          <w:szCs w:val="28"/>
        </w:rPr>
      </w:pPr>
    </w:p>
    <w:p w14:paraId="3B85D39F" w14:textId="77777777" w:rsidR="009714D3" w:rsidRDefault="009714D3" w:rsidP="00280EF3">
      <w:pPr>
        <w:spacing w:line="360" w:lineRule="auto"/>
        <w:rPr>
          <w:rFonts w:ascii="Arial" w:hAnsi="Arial" w:cs="Arial"/>
          <w:sz w:val="24"/>
          <w:szCs w:val="24"/>
        </w:rPr>
      </w:pPr>
    </w:p>
    <w:p w14:paraId="7A7AB3B3" w14:textId="77777777" w:rsidR="009714D3" w:rsidRDefault="009714D3" w:rsidP="00280EF3">
      <w:pPr>
        <w:spacing w:line="360" w:lineRule="auto"/>
        <w:rPr>
          <w:rFonts w:ascii="Arial" w:hAnsi="Arial" w:cs="Arial"/>
          <w:sz w:val="24"/>
          <w:szCs w:val="24"/>
        </w:rPr>
      </w:pPr>
    </w:p>
    <w:p w14:paraId="504CC6AC" w14:textId="77777777" w:rsidR="009714D3" w:rsidRDefault="009714D3" w:rsidP="00280EF3">
      <w:pPr>
        <w:spacing w:line="360" w:lineRule="auto"/>
        <w:rPr>
          <w:rFonts w:ascii="Arial" w:hAnsi="Arial" w:cs="Arial"/>
          <w:sz w:val="24"/>
          <w:szCs w:val="24"/>
        </w:rPr>
      </w:pPr>
    </w:p>
    <w:p w14:paraId="2C6E9D03" w14:textId="77777777" w:rsidR="009714D3" w:rsidRDefault="009714D3" w:rsidP="00280EF3">
      <w:pPr>
        <w:spacing w:line="360" w:lineRule="auto"/>
        <w:rPr>
          <w:rFonts w:ascii="Arial" w:hAnsi="Arial" w:cs="Arial"/>
          <w:sz w:val="24"/>
          <w:szCs w:val="24"/>
        </w:rPr>
      </w:pPr>
    </w:p>
    <w:p w14:paraId="2A8A3E7A" w14:textId="77777777" w:rsidR="009714D3" w:rsidRDefault="009714D3" w:rsidP="00280EF3">
      <w:pPr>
        <w:spacing w:line="360" w:lineRule="auto"/>
        <w:rPr>
          <w:rFonts w:ascii="Arial" w:hAnsi="Arial" w:cs="Arial"/>
          <w:sz w:val="24"/>
          <w:szCs w:val="24"/>
        </w:rPr>
      </w:pPr>
    </w:p>
    <w:p w14:paraId="4C5D42F7" w14:textId="77777777" w:rsidR="009714D3" w:rsidRDefault="009714D3" w:rsidP="00280EF3">
      <w:pPr>
        <w:spacing w:line="360" w:lineRule="auto"/>
        <w:rPr>
          <w:rFonts w:ascii="Arial" w:hAnsi="Arial" w:cs="Arial"/>
          <w:sz w:val="24"/>
          <w:szCs w:val="24"/>
        </w:rPr>
      </w:pPr>
    </w:p>
    <w:p w14:paraId="40864F72" w14:textId="77777777" w:rsidR="009714D3" w:rsidRDefault="009714D3" w:rsidP="00280EF3">
      <w:pPr>
        <w:spacing w:line="360" w:lineRule="auto"/>
        <w:rPr>
          <w:rFonts w:ascii="Arial" w:hAnsi="Arial" w:cs="Arial"/>
          <w:sz w:val="24"/>
          <w:szCs w:val="24"/>
        </w:rPr>
      </w:pPr>
    </w:p>
    <w:p w14:paraId="30DEC9C9" w14:textId="77777777" w:rsidR="009714D3" w:rsidRDefault="009714D3" w:rsidP="00280EF3">
      <w:pPr>
        <w:spacing w:line="360" w:lineRule="auto"/>
        <w:rPr>
          <w:rFonts w:ascii="Arial" w:hAnsi="Arial" w:cs="Arial"/>
          <w:sz w:val="24"/>
          <w:szCs w:val="24"/>
        </w:rPr>
      </w:pPr>
    </w:p>
    <w:p w14:paraId="6DEFE581" w14:textId="77777777" w:rsidR="009714D3" w:rsidRDefault="009714D3" w:rsidP="00280EF3">
      <w:pPr>
        <w:spacing w:line="360" w:lineRule="auto"/>
        <w:rPr>
          <w:rFonts w:ascii="Arial" w:hAnsi="Arial" w:cs="Arial"/>
          <w:sz w:val="24"/>
          <w:szCs w:val="24"/>
        </w:rPr>
      </w:pPr>
    </w:p>
    <w:p w14:paraId="27447CA0" w14:textId="77777777" w:rsidR="009714D3" w:rsidRPr="00FB393D" w:rsidRDefault="009714D3" w:rsidP="00280EF3">
      <w:pPr>
        <w:pStyle w:val="ListParagraph"/>
        <w:numPr>
          <w:ilvl w:val="0"/>
          <w:numId w:val="11"/>
        </w:numPr>
        <w:spacing w:after="0" w:line="259" w:lineRule="auto"/>
        <w:rPr>
          <w:rFonts w:ascii="Arial" w:hAnsi="Arial" w:cs="Arial"/>
          <w:b/>
          <w:sz w:val="24"/>
          <w:szCs w:val="24"/>
        </w:rPr>
      </w:pPr>
      <w:r w:rsidRPr="00FB393D">
        <w:rPr>
          <w:rFonts w:ascii="Arial" w:hAnsi="Arial" w:cs="Arial"/>
          <w:b/>
          <w:sz w:val="24"/>
          <w:szCs w:val="24"/>
        </w:rPr>
        <w:t>Name: MARIANA MURESAN</w:t>
      </w:r>
    </w:p>
    <w:p w14:paraId="096DDC39" w14:textId="77777777" w:rsidR="009714D3" w:rsidRDefault="009714D3" w:rsidP="00280EF3">
      <w:pPr>
        <w:pStyle w:val="ListParagraph"/>
        <w:numPr>
          <w:ilvl w:val="0"/>
          <w:numId w:val="11"/>
        </w:numPr>
        <w:spacing w:after="0" w:line="259" w:lineRule="auto"/>
        <w:rPr>
          <w:rFonts w:ascii="Arial" w:hAnsi="Arial" w:cs="Arial"/>
          <w:b/>
          <w:sz w:val="24"/>
          <w:szCs w:val="24"/>
        </w:rPr>
      </w:pPr>
      <w:r w:rsidRPr="00FB393D">
        <w:rPr>
          <w:rFonts w:ascii="Arial" w:hAnsi="Arial" w:cs="Arial"/>
          <w:b/>
          <w:sz w:val="24"/>
          <w:szCs w:val="24"/>
        </w:rPr>
        <w:t>Student ID:2210334</w:t>
      </w:r>
    </w:p>
    <w:p w14:paraId="56A61EDE" w14:textId="5BF1DD3F" w:rsidR="009714D3" w:rsidRPr="006B1F57" w:rsidRDefault="009714D3" w:rsidP="00280EF3">
      <w:pPr>
        <w:pStyle w:val="ListParagraph"/>
        <w:numPr>
          <w:ilvl w:val="0"/>
          <w:numId w:val="11"/>
        </w:numPr>
        <w:spacing w:after="0" w:line="259" w:lineRule="auto"/>
        <w:rPr>
          <w:rFonts w:ascii="Arial" w:hAnsi="Arial" w:cs="Arial"/>
          <w:b/>
          <w:sz w:val="24"/>
          <w:szCs w:val="24"/>
        </w:rPr>
      </w:pPr>
      <w:r w:rsidRPr="006B1F57">
        <w:rPr>
          <w:rFonts w:ascii="Arial" w:hAnsi="Arial" w:cs="Arial"/>
          <w:b/>
          <w:sz w:val="24"/>
          <w:szCs w:val="24"/>
        </w:rPr>
        <w:t xml:space="preserve">Module Title: </w:t>
      </w:r>
      <w:r>
        <w:rPr>
          <w:rFonts w:ascii="Arial" w:hAnsi="Arial" w:cs="Arial"/>
          <w:b/>
          <w:sz w:val="24"/>
          <w:szCs w:val="24"/>
        </w:rPr>
        <w:t>Management&amp; Organisational Behaviour</w:t>
      </w:r>
    </w:p>
    <w:p w14:paraId="3DFB1246" w14:textId="671063F0" w:rsidR="009714D3" w:rsidRDefault="009714D3" w:rsidP="00280EF3">
      <w:pPr>
        <w:pStyle w:val="ListParagraph"/>
        <w:numPr>
          <w:ilvl w:val="0"/>
          <w:numId w:val="11"/>
        </w:numPr>
        <w:spacing w:after="0" w:line="259" w:lineRule="auto"/>
        <w:rPr>
          <w:rFonts w:ascii="Arial" w:hAnsi="Arial" w:cs="Arial"/>
          <w:b/>
          <w:sz w:val="24"/>
          <w:szCs w:val="24"/>
        </w:rPr>
      </w:pPr>
      <w:r w:rsidRPr="00FB393D">
        <w:rPr>
          <w:rFonts w:ascii="Arial" w:hAnsi="Arial" w:cs="Arial"/>
          <w:b/>
          <w:sz w:val="24"/>
          <w:szCs w:val="24"/>
        </w:rPr>
        <w:t>Module code: BMIH500</w:t>
      </w:r>
      <w:r>
        <w:rPr>
          <w:rFonts w:ascii="Arial" w:hAnsi="Arial" w:cs="Arial"/>
          <w:b/>
          <w:sz w:val="24"/>
          <w:szCs w:val="24"/>
        </w:rPr>
        <w:t>4</w:t>
      </w:r>
    </w:p>
    <w:p w14:paraId="63F8E949" w14:textId="77777777" w:rsidR="009714D3" w:rsidRPr="00FB393D" w:rsidRDefault="009714D3" w:rsidP="00280EF3">
      <w:pPr>
        <w:pStyle w:val="ListParagraph"/>
        <w:numPr>
          <w:ilvl w:val="0"/>
          <w:numId w:val="11"/>
        </w:numPr>
        <w:spacing w:after="0" w:line="259" w:lineRule="auto"/>
        <w:rPr>
          <w:rFonts w:ascii="Arial" w:hAnsi="Arial" w:cs="Arial"/>
          <w:b/>
          <w:sz w:val="24"/>
          <w:szCs w:val="24"/>
        </w:rPr>
      </w:pPr>
      <w:r w:rsidRPr="00FB393D">
        <w:rPr>
          <w:rFonts w:ascii="Arial" w:hAnsi="Arial" w:cs="Arial"/>
          <w:b/>
          <w:sz w:val="24"/>
          <w:szCs w:val="24"/>
        </w:rPr>
        <w:t>Lecturer’s Name:</w:t>
      </w:r>
      <w:r w:rsidRPr="00FB393D">
        <w:rPr>
          <w:rFonts w:ascii="Arial" w:hAnsi="Arial" w:cs="Arial"/>
          <w:sz w:val="24"/>
          <w:szCs w:val="24"/>
        </w:rPr>
        <w:t xml:space="preserve"> </w:t>
      </w:r>
      <w:r>
        <w:rPr>
          <w:rFonts w:ascii="Arial" w:hAnsi="Arial" w:cs="Arial"/>
          <w:b/>
          <w:sz w:val="24"/>
          <w:szCs w:val="24"/>
        </w:rPr>
        <w:t>Julia Ault</w:t>
      </w:r>
    </w:p>
    <w:p w14:paraId="5F1A77E6" w14:textId="63124804" w:rsidR="009714D3" w:rsidRDefault="009714D3" w:rsidP="00280EF3">
      <w:pPr>
        <w:pStyle w:val="ListParagraph"/>
        <w:numPr>
          <w:ilvl w:val="0"/>
          <w:numId w:val="11"/>
        </w:numPr>
        <w:spacing w:after="0" w:line="259" w:lineRule="auto"/>
        <w:rPr>
          <w:rFonts w:ascii="Arial" w:hAnsi="Arial" w:cs="Arial"/>
          <w:b/>
          <w:sz w:val="24"/>
          <w:szCs w:val="24"/>
        </w:rPr>
      </w:pPr>
      <w:r w:rsidRPr="00FB393D">
        <w:rPr>
          <w:rFonts w:ascii="Arial" w:hAnsi="Arial" w:cs="Arial"/>
          <w:b/>
          <w:sz w:val="24"/>
          <w:szCs w:val="24"/>
        </w:rPr>
        <w:t xml:space="preserve">Word Count: </w:t>
      </w:r>
      <w:r w:rsidR="00C92D8C">
        <w:rPr>
          <w:rFonts w:ascii="Arial" w:hAnsi="Arial" w:cs="Arial"/>
          <w:b/>
          <w:sz w:val="24"/>
          <w:szCs w:val="24"/>
        </w:rPr>
        <w:t>2</w:t>
      </w:r>
      <w:r w:rsidR="00046974">
        <w:rPr>
          <w:rFonts w:ascii="Arial" w:hAnsi="Arial" w:cs="Arial"/>
          <w:b/>
          <w:sz w:val="24"/>
          <w:szCs w:val="24"/>
        </w:rPr>
        <w:t>200</w:t>
      </w:r>
    </w:p>
    <w:p w14:paraId="512FF225" w14:textId="77777777" w:rsidR="009714D3" w:rsidRDefault="009714D3" w:rsidP="00280EF3">
      <w:pPr>
        <w:spacing w:after="0" w:line="259" w:lineRule="auto"/>
        <w:rPr>
          <w:rFonts w:ascii="Arial" w:hAnsi="Arial" w:cs="Arial"/>
          <w:b/>
          <w:sz w:val="24"/>
          <w:szCs w:val="24"/>
        </w:rPr>
      </w:pPr>
    </w:p>
    <w:p w14:paraId="533FCF03" w14:textId="77777777" w:rsidR="009714D3" w:rsidRDefault="009714D3" w:rsidP="00280EF3">
      <w:pPr>
        <w:spacing w:after="0" w:line="259" w:lineRule="auto"/>
        <w:rPr>
          <w:rFonts w:ascii="Arial" w:hAnsi="Arial" w:cs="Arial"/>
          <w:b/>
          <w:sz w:val="24"/>
          <w:szCs w:val="24"/>
        </w:rPr>
      </w:pPr>
    </w:p>
    <w:p w14:paraId="5150C99C" w14:textId="77777777" w:rsidR="009714D3" w:rsidRDefault="009714D3" w:rsidP="00280EF3">
      <w:pPr>
        <w:spacing w:after="0" w:line="259" w:lineRule="auto"/>
        <w:rPr>
          <w:rFonts w:ascii="Arial" w:hAnsi="Arial" w:cs="Arial"/>
          <w:b/>
          <w:sz w:val="24"/>
          <w:szCs w:val="24"/>
        </w:rPr>
      </w:pPr>
    </w:p>
    <w:p w14:paraId="49EF4AD3" w14:textId="77777777" w:rsidR="009714D3" w:rsidRDefault="009714D3" w:rsidP="00280EF3">
      <w:pPr>
        <w:spacing w:after="0" w:line="259" w:lineRule="auto"/>
        <w:rPr>
          <w:rFonts w:ascii="Arial" w:hAnsi="Arial" w:cs="Arial"/>
          <w:b/>
          <w:sz w:val="24"/>
          <w:szCs w:val="24"/>
        </w:rPr>
      </w:pPr>
    </w:p>
    <w:p w14:paraId="00FF00EC" w14:textId="77777777" w:rsidR="009714D3" w:rsidRDefault="009714D3" w:rsidP="00280EF3">
      <w:pPr>
        <w:spacing w:after="0" w:line="259" w:lineRule="auto"/>
        <w:rPr>
          <w:rFonts w:ascii="Arial" w:hAnsi="Arial" w:cs="Arial"/>
          <w:b/>
          <w:sz w:val="24"/>
          <w:szCs w:val="24"/>
        </w:rPr>
      </w:pPr>
    </w:p>
    <w:p w14:paraId="2A9B4708" w14:textId="77777777" w:rsidR="009714D3" w:rsidRDefault="009714D3" w:rsidP="00280EF3">
      <w:pPr>
        <w:spacing w:after="0" w:line="259" w:lineRule="auto"/>
        <w:rPr>
          <w:rFonts w:ascii="Arial" w:hAnsi="Arial" w:cs="Arial"/>
          <w:b/>
          <w:sz w:val="24"/>
          <w:szCs w:val="24"/>
        </w:rPr>
      </w:pPr>
    </w:p>
    <w:p w14:paraId="4120931C" w14:textId="77777777" w:rsidR="00280EF3" w:rsidRDefault="00280EF3" w:rsidP="00280EF3">
      <w:pPr>
        <w:spacing w:line="360" w:lineRule="auto"/>
        <w:rPr>
          <w:rFonts w:ascii="Arial" w:hAnsi="Arial" w:cs="Arial"/>
          <w:b/>
          <w:sz w:val="24"/>
          <w:szCs w:val="24"/>
        </w:rPr>
      </w:pPr>
    </w:p>
    <w:p w14:paraId="25DFACDF" w14:textId="77777777" w:rsidR="00280EF3" w:rsidRDefault="00280EF3" w:rsidP="00280EF3">
      <w:pPr>
        <w:spacing w:line="360" w:lineRule="auto"/>
        <w:jc w:val="both"/>
        <w:rPr>
          <w:rFonts w:ascii="Arial" w:hAnsi="Arial" w:cs="Arial"/>
          <w:b/>
          <w:bCs/>
          <w:sz w:val="24"/>
          <w:szCs w:val="24"/>
        </w:rPr>
      </w:pPr>
    </w:p>
    <w:p w14:paraId="39FCD405" w14:textId="73949331" w:rsidR="00B7006B" w:rsidRDefault="00B7006B" w:rsidP="00280EF3">
      <w:pPr>
        <w:spacing w:line="360" w:lineRule="auto"/>
        <w:jc w:val="both"/>
        <w:rPr>
          <w:rFonts w:ascii="Arial" w:hAnsi="Arial" w:cs="Arial"/>
          <w:b/>
          <w:bCs/>
          <w:sz w:val="24"/>
          <w:szCs w:val="24"/>
        </w:rPr>
      </w:pPr>
      <w:r>
        <w:rPr>
          <w:rFonts w:ascii="Arial" w:hAnsi="Arial" w:cs="Arial"/>
          <w:b/>
          <w:bCs/>
          <w:sz w:val="24"/>
          <w:szCs w:val="24"/>
        </w:rPr>
        <w:lastRenderedPageBreak/>
        <w:t>Executive Summary</w:t>
      </w:r>
    </w:p>
    <w:p w14:paraId="335E9617"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This report analyses the InterContinental Hotels Group (IHG), focusing on organisational structure, culture, goals, strategic direction, and recent change initiatives. IHG employs an asset-light business model, facilitating rapid expansion through franchising and management contracts. This model reduces financial risk and capital expenditure </w:t>
      </w:r>
      <w:r w:rsidRPr="00280EF3">
        <w:rPr>
          <w:rFonts w:ascii="Arial" w:hAnsi="Arial" w:cs="Arial"/>
          <w:sz w:val="24"/>
          <w:szCs w:val="24"/>
        </w:rPr>
        <w:t>while</w:t>
      </w:r>
      <w:r>
        <w:rPr>
          <w:rFonts w:ascii="Arial" w:hAnsi="Arial" w:cs="Arial"/>
          <w:sz w:val="24"/>
          <w:szCs w:val="24"/>
        </w:rPr>
        <w:t xml:space="preserve"> enabling scalability and flexibility. IHG’s culture, defined by its “True Hospitality for Good” ethos, emphasises care for guests, colleagues, and communities, supported by diversity, equity, and inclusion (DE&amp;I) initiatives. The company's strategic goals, outlined in the “Journey to Tomorrow” plan, include ambitious targets for sustainability and community impact by 2030. IHG’s strategic management practices integrate market analysis, stakeholder engagement, and sustainability, aligning with long-term growth objectives. Recent initiatives, particularly the “Journey to Tomorrow” plan, focus on reducing carbon emissions and enhancing community impact. These initiatives have led to notable environmental, social, and economic benefits. Effective change management practices, such as stakeholder engagement and continuous communication, have been crucial in implementing these changes. The report concludes with recommendations for enhancing sustainability, digital transformation, DE&amp;I initiatives, and change management practices to ensure continued success and growth.</w:t>
      </w:r>
    </w:p>
    <w:p w14:paraId="4EB0B4C4" w14:textId="77777777" w:rsidR="00B7006B" w:rsidRDefault="00B7006B" w:rsidP="00280EF3">
      <w:pPr>
        <w:spacing w:line="360" w:lineRule="auto"/>
        <w:jc w:val="both"/>
        <w:rPr>
          <w:rFonts w:ascii="Arial" w:hAnsi="Arial" w:cs="Arial"/>
          <w:b/>
          <w:bCs/>
          <w:sz w:val="24"/>
          <w:szCs w:val="24"/>
        </w:rPr>
      </w:pPr>
    </w:p>
    <w:p w14:paraId="6C1396D2" w14:textId="77777777" w:rsidR="00B7006B" w:rsidRDefault="00B7006B" w:rsidP="00280EF3">
      <w:pPr>
        <w:spacing w:line="360" w:lineRule="auto"/>
        <w:jc w:val="both"/>
        <w:rPr>
          <w:rFonts w:ascii="Arial" w:hAnsi="Arial" w:cs="Arial"/>
          <w:b/>
          <w:bCs/>
          <w:sz w:val="24"/>
          <w:szCs w:val="24"/>
        </w:rPr>
      </w:pPr>
    </w:p>
    <w:p w14:paraId="468DEB67" w14:textId="77777777" w:rsidR="00B7006B" w:rsidRDefault="00B7006B" w:rsidP="00280EF3">
      <w:pPr>
        <w:spacing w:line="360" w:lineRule="auto"/>
        <w:jc w:val="both"/>
        <w:rPr>
          <w:rFonts w:ascii="Arial" w:hAnsi="Arial" w:cs="Arial"/>
          <w:b/>
          <w:bCs/>
          <w:sz w:val="24"/>
          <w:szCs w:val="24"/>
        </w:rPr>
      </w:pPr>
    </w:p>
    <w:p w14:paraId="4D8CA4A9" w14:textId="77777777" w:rsidR="00B7006B" w:rsidRDefault="00B7006B" w:rsidP="00280EF3">
      <w:pPr>
        <w:spacing w:line="360" w:lineRule="auto"/>
        <w:jc w:val="both"/>
        <w:rPr>
          <w:rFonts w:ascii="Arial" w:hAnsi="Arial" w:cs="Arial"/>
          <w:b/>
          <w:bCs/>
          <w:sz w:val="24"/>
          <w:szCs w:val="24"/>
        </w:rPr>
      </w:pPr>
    </w:p>
    <w:p w14:paraId="2795C3DC" w14:textId="77777777" w:rsidR="00B7006B" w:rsidRDefault="00B7006B" w:rsidP="00280EF3">
      <w:pPr>
        <w:spacing w:line="360" w:lineRule="auto"/>
        <w:jc w:val="both"/>
        <w:rPr>
          <w:rFonts w:ascii="Arial" w:hAnsi="Arial" w:cs="Arial"/>
          <w:b/>
          <w:bCs/>
          <w:sz w:val="24"/>
          <w:szCs w:val="24"/>
        </w:rPr>
      </w:pPr>
    </w:p>
    <w:p w14:paraId="378787F1" w14:textId="77777777" w:rsidR="00B7006B" w:rsidRDefault="00B7006B" w:rsidP="00280EF3">
      <w:pPr>
        <w:spacing w:line="360" w:lineRule="auto"/>
        <w:jc w:val="both"/>
        <w:rPr>
          <w:rFonts w:ascii="Arial" w:hAnsi="Arial" w:cs="Arial"/>
          <w:b/>
          <w:bCs/>
          <w:sz w:val="24"/>
          <w:szCs w:val="24"/>
        </w:rPr>
      </w:pPr>
    </w:p>
    <w:p w14:paraId="65770B28" w14:textId="77777777" w:rsidR="00B7006B" w:rsidRDefault="00B7006B" w:rsidP="00280EF3">
      <w:pPr>
        <w:spacing w:line="360" w:lineRule="auto"/>
        <w:jc w:val="both"/>
        <w:rPr>
          <w:rFonts w:ascii="Arial" w:hAnsi="Arial" w:cs="Arial"/>
          <w:b/>
          <w:bCs/>
          <w:sz w:val="24"/>
          <w:szCs w:val="24"/>
        </w:rPr>
      </w:pPr>
    </w:p>
    <w:p w14:paraId="22F3D8DF" w14:textId="77777777" w:rsidR="00B7006B" w:rsidRDefault="00B7006B" w:rsidP="00280EF3">
      <w:pPr>
        <w:spacing w:line="360" w:lineRule="auto"/>
        <w:jc w:val="both"/>
        <w:rPr>
          <w:rFonts w:ascii="Arial" w:hAnsi="Arial" w:cs="Arial"/>
          <w:b/>
          <w:bCs/>
          <w:sz w:val="24"/>
          <w:szCs w:val="24"/>
        </w:rPr>
      </w:pPr>
    </w:p>
    <w:p w14:paraId="7FD3A698" w14:textId="77777777" w:rsidR="00B7006B" w:rsidRDefault="00B7006B" w:rsidP="00280EF3">
      <w:pPr>
        <w:spacing w:line="360" w:lineRule="auto"/>
        <w:jc w:val="both"/>
        <w:rPr>
          <w:rFonts w:ascii="Arial" w:hAnsi="Arial" w:cs="Arial"/>
          <w:b/>
          <w:bCs/>
          <w:sz w:val="24"/>
          <w:szCs w:val="24"/>
        </w:rPr>
      </w:pPr>
    </w:p>
    <w:p w14:paraId="2B4CC263" w14:textId="77777777" w:rsidR="00280EF3" w:rsidRDefault="00280EF3" w:rsidP="00280EF3">
      <w:pPr>
        <w:spacing w:line="360" w:lineRule="auto"/>
        <w:jc w:val="both"/>
        <w:rPr>
          <w:rFonts w:ascii="Arial" w:hAnsi="Arial" w:cs="Arial"/>
          <w:b/>
          <w:bCs/>
          <w:sz w:val="24"/>
          <w:szCs w:val="24"/>
        </w:rPr>
      </w:pPr>
    </w:p>
    <w:p w14:paraId="75AB0F46" w14:textId="56B5D4CB" w:rsidR="00B7006B" w:rsidRDefault="00B7006B" w:rsidP="00280EF3">
      <w:pPr>
        <w:spacing w:line="360" w:lineRule="auto"/>
        <w:jc w:val="both"/>
        <w:rPr>
          <w:rFonts w:ascii="Arial" w:hAnsi="Arial" w:cs="Arial"/>
          <w:b/>
          <w:bCs/>
          <w:sz w:val="24"/>
          <w:szCs w:val="24"/>
        </w:rPr>
      </w:pPr>
      <w:r>
        <w:rPr>
          <w:rFonts w:ascii="Arial" w:hAnsi="Arial" w:cs="Arial"/>
          <w:b/>
          <w:bCs/>
          <w:sz w:val="24"/>
          <w:szCs w:val="24"/>
        </w:rPr>
        <w:lastRenderedPageBreak/>
        <w:t>Table of Contents</w:t>
      </w:r>
    </w:p>
    <w:p w14:paraId="3E75EC96" w14:textId="77777777" w:rsidR="00B7006B" w:rsidRDefault="00B7006B" w:rsidP="00280EF3">
      <w:pPr>
        <w:pStyle w:val="ListParagraph"/>
        <w:numPr>
          <w:ilvl w:val="0"/>
          <w:numId w:val="1"/>
        </w:numPr>
        <w:spacing w:line="360" w:lineRule="auto"/>
        <w:jc w:val="both"/>
        <w:rPr>
          <w:rFonts w:ascii="Arial" w:hAnsi="Arial" w:cs="Arial"/>
          <w:sz w:val="24"/>
          <w:szCs w:val="24"/>
        </w:rPr>
      </w:pPr>
      <w:r>
        <w:rPr>
          <w:rFonts w:ascii="Arial" w:hAnsi="Arial" w:cs="Arial"/>
          <w:sz w:val="24"/>
          <w:szCs w:val="24"/>
        </w:rPr>
        <w:t>Executive Summary</w:t>
      </w:r>
    </w:p>
    <w:p w14:paraId="4D020F95" w14:textId="77777777" w:rsidR="00B7006B" w:rsidRDefault="00B7006B" w:rsidP="00280EF3">
      <w:pPr>
        <w:pStyle w:val="ListParagraph"/>
        <w:numPr>
          <w:ilvl w:val="0"/>
          <w:numId w:val="1"/>
        </w:numPr>
        <w:spacing w:line="360" w:lineRule="auto"/>
        <w:jc w:val="both"/>
        <w:rPr>
          <w:rFonts w:ascii="Arial" w:hAnsi="Arial" w:cs="Arial"/>
          <w:sz w:val="24"/>
          <w:szCs w:val="24"/>
        </w:rPr>
      </w:pPr>
      <w:r>
        <w:rPr>
          <w:rFonts w:ascii="Arial" w:hAnsi="Arial" w:cs="Arial"/>
          <w:sz w:val="24"/>
          <w:szCs w:val="24"/>
        </w:rPr>
        <w:t>Introduction</w:t>
      </w:r>
    </w:p>
    <w:p w14:paraId="631C9FD8" w14:textId="77777777" w:rsidR="00B7006B" w:rsidRDefault="00B7006B" w:rsidP="00280EF3">
      <w:pPr>
        <w:pStyle w:val="ListParagraph"/>
        <w:numPr>
          <w:ilvl w:val="0"/>
          <w:numId w:val="1"/>
        </w:numPr>
        <w:spacing w:line="360" w:lineRule="auto"/>
        <w:jc w:val="both"/>
        <w:rPr>
          <w:rFonts w:ascii="Arial" w:hAnsi="Arial" w:cs="Arial"/>
          <w:sz w:val="24"/>
          <w:szCs w:val="24"/>
        </w:rPr>
      </w:pPr>
      <w:r>
        <w:rPr>
          <w:rFonts w:ascii="Arial" w:hAnsi="Arial" w:cs="Arial"/>
          <w:sz w:val="24"/>
          <w:szCs w:val="24"/>
        </w:rPr>
        <w:t>Organisation Structure, Culture, and Goals</w:t>
      </w:r>
    </w:p>
    <w:p w14:paraId="5C2CFDB4" w14:textId="77777777" w:rsidR="00B7006B" w:rsidRDefault="00B7006B" w:rsidP="00280EF3">
      <w:pPr>
        <w:pStyle w:val="ListParagraph"/>
        <w:numPr>
          <w:ilvl w:val="1"/>
          <w:numId w:val="2"/>
        </w:numPr>
        <w:spacing w:line="360" w:lineRule="auto"/>
        <w:jc w:val="both"/>
        <w:rPr>
          <w:rFonts w:ascii="Arial" w:hAnsi="Arial" w:cs="Arial"/>
          <w:sz w:val="24"/>
          <w:szCs w:val="24"/>
        </w:rPr>
      </w:pPr>
      <w:r>
        <w:rPr>
          <w:rFonts w:ascii="Arial" w:hAnsi="Arial" w:cs="Arial"/>
          <w:sz w:val="24"/>
          <w:szCs w:val="24"/>
        </w:rPr>
        <w:t>Organizational Structure</w:t>
      </w:r>
    </w:p>
    <w:p w14:paraId="450DD33C" w14:textId="77777777" w:rsidR="00B7006B" w:rsidRDefault="00B7006B" w:rsidP="00280EF3">
      <w:pPr>
        <w:pStyle w:val="ListParagraph"/>
        <w:numPr>
          <w:ilvl w:val="1"/>
          <w:numId w:val="2"/>
        </w:numPr>
        <w:spacing w:line="360" w:lineRule="auto"/>
        <w:jc w:val="both"/>
        <w:rPr>
          <w:rFonts w:ascii="Arial" w:hAnsi="Arial" w:cs="Arial"/>
          <w:sz w:val="24"/>
          <w:szCs w:val="24"/>
        </w:rPr>
      </w:pPr>
      <w:r>
        <w:rPr>
          <w:rFonts w:ascii="Arial" w:hAnsi="Arial" w:cs="Arial"/>
          <w:sz w:val="24"/>
          <w:szCs w:val="24"/>
        </w:rPr>
        <w:t>Organizational Culture</w:t>
      </w:r>
    </w:p>
    <w:p w14:paraId="3E6D6D67" w14:textId="77777777" w:rsidR="00B7006B" w:rsidRDefault="00B7006B" w:rsidP="00280EF3">
      <w:pPr>
        <w:pStyle w:val="ListParagraph"/>
        <w:numPr>
          <w:ilvl w:val="1"/>
          <w:numId w:val="2"/>
        </w:numPr>
        <w:spacing w:line="360" w:lineRule="auto"/>
        <w:jc w:val="both"/>
        <w:rPr>
          <w:rFonts w:ascii="Arial" w:hAnsi="Arial" w:cs="Arial"/>
          <w:sz w:val="24"/>
          <w:szCs w:val="24"/>
        </w:rPr>
      </w:pPr>
      <w:r>
        <w:rPr>
          <w:rFonts w:ascii="Arial" w:hAnsi="Arial" w:cs="Arial"/>
          <w:sz w:val="24"/>
          <w:szCs w:val="24"/>
        </w:rPr>
        <w:t>Organizational Goals</w:t>
      </w:r>
    </w:p>
    <w:p w14:paraId="070AE2A3" w14:textId="77777777" w:rsidR="00B7006B" w:rsidRDefault="00B7006B" w:rsidP="00280EF3">
      <w:pPr>
        <w:pStyle w:val="ListParagraph"/>
        <w:numPr>
          <w:ilvl w:val="0"/>
          <w:numId w:val="3"/>
        </w:numPr>
        <w:spacing w:line="360" w:lineRule="auto"/>
        <w:jc w:val="both"/>
        <w:rPr>
          <w:rFonts w:ascii="Arial" w:hAnsi="Arial" w:cs="Arial"/>
          <w:sz w:val="24"/>
          <w:szCs w:val="24"/>
        </w:rPr>
      </w:pPr>
      <w:r>
        <w:rPr>
          <w:rFonts w:ascii="Arial" w:hAnsi="Arial" w:cs="Arial"/>
          <w:sz w:val="24"/>
          <w:szCs w:val="24"/>
        </w:rPr>
        <w:t>The Organisation’s Strategic Direction</w:t>
      </w:r>
    </w:p>
    <w:p w14:paraId="47A52F00" w14:textId="77777777" w:rsidR="00B7006B" w:rsidRDefault="00B7006B" w:rsidP="00280EF3">
      <w:pPr>
        <w:pStyle w:val="ListParagraph"/>
        <w:numPr>
          <w:ilvl w:val="0"/>
          <w:numId w:val="4"/>
        </w:numPr>
        <w:spacing w:line="360" w:lineRule="auto"/>
        <w:jc w:val="both"/>
        <w:rPr>
          <w:rFonts w:ascii="Arial" w:hAnsi="Arial" w:cs="Arial"/>
          <w:sz w:val="24"/>
          <w:szCs w:val="24"/>
        </w:rPr>
      </w:pPr>
      <w:r>
        <w:rPr>
          <w:rFonts w:ascii="Arial" w:hAnsi="Arial" w:cs="Arial"/>
          <w:sz w:val="24"/>
          <w:szCs w:val="24"/>
        </w:rPr>
        <w:t>Current Strategic Position</w:t>
      </w:r>
    </w:p>
    <w:p w14:paraId="2708FE26" w14:textId="77777777" w:rsidR="00B7006B" w:rsidRDefault="00B7006B" w:rsidP="00280EF3">
      <w:pPr>
        <w:pStyle w:val="ListParagraph"/>
        <w:numPr>
          <w:ilvl w:val="0"/>
          <w:numId w:val="4"/>
        </w:numPr>
        <w:spacing w:line="360" w:lineRule="auto"/>
        <w:jc w:val="both"/>
        <w:rPr>
          <w:rFonts w:ascii="Arial" w:hAnsi="Arial" w:cs="Arial"/>
          <w:sz w:val="24"/>
          <w:szCs w:val="24"/>
        </w:rPr>
      </w:pPr>
      <w:r>
        <w:rPr>
          <w:rFonts w:ascii="Arial" w:hAnsi="Arial" w:cs="Arial"/>
          <w:sz w:val="24"/>
          <w:szCs w:val="24"/>
        </w:rPr>
        <w:t>Strategic Management Practices</w:t>
      </w:r>
    </w:p>
    <w:p w14:paraId="1F0AC7E8" w14:textId="77777777" w:rsidR="00B7006B" w:rsidRDefault="00B7006B" w:rsidP="00280EF3">
      <w:pPr>
        <w:pStyle w:val="ListParagraph"/>
        <w:numPr>
          <w:ilvl w:val="0"/>
          <w:numId w:val="4"/>
        </w:numPr>
        <w:spacing w:line="360" w:lineRule="auto"/>
        <w:jc w:val="both"/>
        <w:rPr>
          <w:rFonts w:ascii="Arial" w:hAnsi="Arial" w:cs="Arial"/>
          <w:sz w:val="24"/>
          <w:szCs w:val="24"/>
        </w:rPr>
      </w:pPr>
      <w:r>
        <w:rPr>
          <w:rFonts w:ascii="Arial" w:hAnsi="Arial" w:cs="Arial"/>
          <w:sz w:val="24"/>
          <w:szCs w:val="24"/>
        </w:rPr>
        <w:t>Market Expansion and Digital Initiatives</w:t>
      </w:r>
    </w:p>
    <w:p w14:paraId="7BA3C96C" w14:textId="77777777" w:rsidR="00B7006B" w:rsidRDefault="00B7006B" w:rsidP="00280EF3">
      <w:pPr>
        <w:pStyle w:val="ListParagraph"/>
        <w:numPr>
          <w:ilvl w:val="0"/>
          <w:numId w:val="5"/>
        </w:numPr>
        <w:spacing w:line="360" w:lineRule="auto"/>
        <w:jc w:val="both"/>
        <w:rPr>
          <w:rFonts w:ascii="Arial" w:hAnsi="Arial" w:cs="Arial"/>
          <w:sz w:val="24"/>
          <w:szCs w:val="24"/>
        </w:rPr>
      </w:pPr>
      <w:r>
        <w:rPr>
          <w:rFonts w:ascii="Arial" w:hAnsi="Arial" w:cs="Arial"/>
          <w:sz w:val="24"/>
          <w:szCs w:val="24"/>
        </w:rPr>
        <w:t>Recent Change Initiatives, Their Impact, and How Well These Were Managed</w:t>
      </w:r>
    </w:p>
    <w:p w14:paraId="557332A3" w14:textId="77777777" w:rsidR="00B7006B" w:rsidRDefault="00B7006B" w:rsidP="00280EF3">
      <w:pPr>
        <w:pStyle w:val="ListParagraph"/>
        <w:numPr>
          <w:ilvl w:val="0"/>
          <w:numId w:val="6"/>
        </w:numPr>
        <w:spacing w:line="360" w:lineRule="auto"/>
        <w:jc w:val="both"/>
        <w:rPr>
          <w:rFonts w:ascii="Arial" w:hAnsi="Arial" w:cs="Arial"/>
          <w:sz w:val="24"/>
          <w:szCs w:val="24"/>
        </w:rPr>
      </w:pPr>
      <w:r>
        <w:rPr>
          <w:rFonts w:ascii="Arial" w:hAnsi="Arial" w:cs="Arial"/>
          <w:sz w:val="24"/>
          <w:szCs w:val="24"/>
        </w:rPr>
        <w:t>Description of Recent Changes</w:t>
      </w:r>
    </w:p>
    <w:p w14:paraId="3F6A818A" w14:textId="77777777" w:rsidR="00B7006B" w:rsidRDefault="00B7006B" w:rsidP="00280EF3">
      <w:pPr>
        <w:pStyle w:val="ListParagraph"/>
        <w:numPr>
          <w:ilvl w:val="0"/>
          <w:numId w:val="6"/>
        </w:numPr>
        <w:spacing w:line="360" w:lineRule="auto"/>
        <w:jc w:val="both"/>
        <w:rPr>
          <w:rFonts w:ascii="Arial" w:hAnsi="Arial" w:cs="Arial"/>
          <w:sz w:val="24"/>
          <w:szCs w:val="24"/>
        </w:rPr>
      </w:pPr>
      <w:r>
        <w:rPr>
          <w:rFonts w:ascii="Arial" w:hAnsi="Arial" w:cs="Arial"/>
          <w:sz w:val="24"/>
          <w:szCs w:val="24"/>
        </w:rPr>
        <w:t>Impact of Changes</w:t>
      </w:r>
    </w:p>
    <w:p w14:paraId="73F85B4E" w14:textId="77777777" w:rsidR="00B7006B" w:rsidRDefault="00B7006B" w:rsidP="00280EF3">
      <w:pPr>
        <w:pStyle w:val="ListParagraph"/>
        <w:numPr>
          <w:ilvl w:val="0"/>
          <w:numId w:val="6"/>
        </w:numPr>
        <w:spacing w:line="360" w:lineRule="auto"/>
        <w:jc w:val="both"/>
        <w:rPr>
          <w:rFonts w:ascii="Arial" w:hAnsi="Arial" w:cs="Arial"/>
          <w:sz w:val="24"/>
          <w:szCs w:val="24"/>
        </w:rPr>
      </w:pPr>
      <w:r>
        <w:rPr>
          <w:rFonts w:ascii="Arial" w:hAnsi="Arial" w:cs="Arial"/>
          <w:sz w:val="24"/>
          <w:szCs w:val="24"/>
        </w:rPr>
        <w:t>Change Management Practices</w:t>
      </w:r>
    </w:p>
    <w:p w14:paraId="19D3A6D1" w14:textId="77777777" w:rsidR="00B7006B" w:rsidRDefault="00B7006B" w:rsidP="00280EF3">
      <w:pPr>
        <w:pStyle w:val="ListParagraph"/>
        <w:numPr>
          <w:ilvl w:val="0"/>
          <w:numId w:val="7"/>
        </w:numPr>
        <w:spacing w:line="360" w:lineRule="auto"/>
        <w:jc w:val="both"/>
        <w:rPr>
          <w:rFonts w:ascii="Arial" w:hAnsi="Arial" w:cs="Arial"/>
          <w:sz w:val="24"/>
          <w:szCs w:val="24"/>
        </w:rPr>
      </w:pPr>
      <w:r>
        <w:rPr>
          <w:rFonts w:ascii="Arial" w:hAnsi="Arial" w:cs="Arial"/>
          <w:sz w:val="24"/>
          <w:szCs w:val="24"/>
        </w:rPr>
        <w:t>Recommendations</w:t>
      </w:r>
    </w:p>
    <w:p w14:paraId="67B34D8E" w14:textId="77777777" w:rsidR="00B7006B" w:rsidRDefault="00B7006B" w:rsidP="00280EF3">
      <w:pPr>
        <w:pStyle w:val="ListParagraph"/>
        <w:numPr>
          <w:ilvl w:val="0"/>
          <w:numId w:val="8"/>
        </w:numPr>
        <w:spacing w:line="360" w:lineRule="auto"/>
        <w:jc w:val="both"/>
        <w:rPr>
          <w:rFonts w:ascii="Arial" w:hAnsi="Arial" w:cs="Arial"/>
          <w:sz w:val="24"/>
          <w:szCs w:val="24"/>
        </w:rPr>
      </w:pPr>
      <w:r>
        <w:rPr>
          <w:rFonts w:ascii="Arial" w:hAnsi="Arial" w:cs="Arial"/>
          <w:sz w:val="24"/>
          <w:szCs w:val="24"/>
        </w:rPr>
        <w:t>Strategic Recommendations</w:t>
      </w:r>
    </w:p>
    <w:p w14:paraId="64B3322D" w14:textId="77777777" w:rsidR="00B7006B" w:rsidRDefault="00B7006B" w:rsidP="00280EF3">
      <w:pPr>
        <w:pStyle w:val="ListParagraph"/>
        <w:numPr>
          <w:ilvl w:val="0"/>
          <w:numId w:val="8"/>
        </w:numPr>
        <w:spacing w:line="360" w:lineRule="auto"/>
        <w:jc w:val="both"/>
        <w:rPr>
          <w:rFonts w:ascii="Arial" w:hAnsi="Arial" w:cs="Arial"/>
          <w:sz w:val="24"/>
          <w:szCs w:val="24"/>
        </w:rPr>
      </w:pPr>
      <w:r>
        <w:rPr>
          <w:rFonts w:ascii="Arial" w:hAnsi="Arial" w:cs="Arial"/>
          <w:sz w:val="24"/>
          <w:szCs w:val="24"/>
        </w:rPr>
        <w:t>Cultural and Structural Recommendations</w:t>
      </w:r>
    </w:p>
    <w:p w14:paraId="4998D046" w14:textId="77777777" w:rsidR="00B7006B" w:rsidRDefault="00B7006B" w:rsidP="00280EF3">
      <w:pPr>
        <w:pStyle w:val="ListParagraph"/>
        <w:numPr>
          <w:ilvl w:val="0"/>
          <w:numId w:val="8"/>
        </w:numPr>
        <w:spacing w:line="360" w:lineRule="auto"/>
        <w:jc w:val="both"/>
        <w:rPr>
          <w:rFonts w:ascii="Arial" w:hAnsi="Arial" w:cs="Arial"/>
          <w:sz w:val="24"/>
          <w:szCs w:val="24"/>
        </w:rPr>
      </w:pPr>
      <w:r>
        <w:rPr>
          <w:rFonts w:ascii="Arial" w:hAnsi="Arial" w:cs="Arial"/>
          <w:sz w:val="24"/>
          <w:szCs w:val="24"/>
        </w:rPr>
        <w:t>Change Management Recommendations</w:t>
      </w:r>
    </w:p>
    <w:p w14:paraId="067AE4CD" w14:textId="77777777" w:rsidR="00B7006B" w:rsidRDefault="00B7006B" w:rsidP="00280EF3">
      <w:pPr>
        <w:pStyle w:val="ListParagraph"/>
        <w:numPr>
          <w:ilvl w:val="0"/>
          <w:numId w:val="9"/>
        </w:numPr>
        <w:spacing w:line="360" w:lineRule="auto"/>
        <w:jc w:val="both"/>
        <w:rPr>
          <w:rFonts w:ascii="Arial" w:hAnsi="Arial" w:cs="Arial"/>
          <w:sz w:val="24"/>
          <w:szCs w:val="24"/>
        </w:rPr>
      </w:pPr>
      <w:r>
        <w:rPr>
          <w:rFonts w:ascii="Arial" w:hAnsi="Arial" w:cs="Arial"/>
          <w:sz w:val="24"/>
          <w:szCs w:val="24"/>
        </w:rPr>
        <w:t>Conclusion</w:t>
      </w:r>
    </w:p>
    <w:p w14:paraId="33A83802" w14:textId="77777777" w:rsidR="00B7006B" w:rsidRDefault="00B7006B" w:rsidP="00280EF3">
      <w:pPr>
        <w:pStyle w:val="ListParagraph"/>
        <w:numPr>
          <w:ilvl w:val="0"/>
          <w:numId w:val="9"/>
        </w:numPr>
        <w:spacing w:line="360" w:lineRule="auto"/>
        <w:jc w:val="both"/>
        <w:rPr>
          <w:rFonts w:ascii="Arial" w:hAnsi="Arial" w:cs="Arial"/>
          <w:sz w:val="24"/>
          <w:szCs w:val="24"/>
        </w:rPr>
      </w:pPr>
      <w:r>
        <w:rPr>
          <w:rFonts w:ascii="Arial" w:hAnsi="Arial" w:cs="Arial"/>
          <w:sz w:val="24"/>
          <w:szCs w:val="24"/>
        </w:rPr>
        <w:t>References</w:t>
      </w:r>
    </w:p>
    <w:p w14:paraId="57796CA8" w14:textId="77777777" w:rsidR="00B7006B" w:rsidRDefault="00B7006B" w:rsidP="00280EF3">
      <w:pPr>
        <w:spacing w:line="360" w:lineRule="auto"/>
        <w:jc w:val="both"/>
        <w:rPr>
          <w:rFonts w:ascii="Arial" w:hAnsi="Arial" w:cs="Arial"/>
          <w:b/>
          <w:bCs/>
          <w:sz w:val="24"/>
          <w:szCs w:val="24"/>
        </w:rPr>
      </w:pPr>
    </w:p>
    <w:p w14:paraId="684A5141" w14:textId="77777777" w:rsidR="00B7006B" w:rsidRDefault="00B7006B" w:rsidP="00280EF3">
      <w:pPr>
        <w:spacing w:line="360" w:lineRule="auto"/>
        <w:jc w:val="both"/>
        <w:rPr>
          <w:rFonts w:ascii="Arial" w:hAnsi="Arial" w:cs="Arial"/>
          <w:b/>
          <w:bCs/>
          <w:sz w:val="24"/>
          <w:szCs w:val="24"/>
        </w:rPr>
      </w:pPr>
    </w:p>
    <w:p w14:paraId="061C1DDB" w14:textId="77777777" w:rsidR="00B7006B" w:rsidRDefault="00B7006B" w:rsidP="00280EF3">
      <w:pPr>
        <w:spacing w:line="360" w:lineRule="auto"/>
        <w:jc w:val="both"/>
        <w:rPr>
          <w:rFonts w:ascii="Arial" w:hAnsi="Arial" w:cs="Arial"/>
          <w:b/>
          <w:bCs/>
          <w:sz w:val="24"/>
          <w:szCs w:val="24"/>
        </w:rPr>
      </w:pPr>
    </w:p>
    <w:p w14:paraId="7FB21BF8" w14:textId="77777777" w:rsidR="00B7006B" w:rsidRDefault="00B7006B" w:rsidP="00280EF3">
      <w:pPr>
        <w:spacing w:line="360" w:lineRule="auto"/>
        <w:jc w:val="both"/>
        <w:rPr>
          <w:rFonts w:ascii="Arial" w:hAnsi="Arial" w:cs="Arial"/>
          <w:b/>
          <w:bCs/>
          <w:sz w:val="24"/>
          <w:szCs w:val="24"/>
        </w:rPr>
      </w:pPr>
    </w:p>
    <w:p w14:paraId="6EE7E8E2" w14:textId="77777777" w:rsidR="00B7006B" w:rsidRDefault="00B7006B" w:rsidP="00280EF3">
      <w:pPr>
        <w:spacing w:line="360" w:lineRule="auto"/>
        <w:jc w:val="both"/>
        <w:rPr>
          <w:rFonts w:ascii="Arial" w:hAnsi="Arial" w:cs="Arial"/>
          <w:b/>
          <w:bCs/>
          <w:sz w:val="24"/>
          <w:szCs w:val="24"/>
        </w:rPr>
      </w:pPr>
    </w:p>
    <w:p w14:paraId="51DE269A" w14:textId="77777777" w:rsidR="00B7006B" w:rsidRDefault="00B7006B" w:rsidP="00280EF3">
      <w:pPr>
        <w:spacing w:line="360" w:lineRule="auto"/>
        <w:jc w:val="both"/>
        <w:rPr>
          <w:rFonts w:ascii="Arial" w:hAnsi="Arial" w:cs="Arial"/>
          <w:b/>
          <w:bCs/>
          <w:sz w:val="24"/>
          <w:szCs w:val="24"/>
        </w:rPr>
      </w:pPr>
    </w:p>
    <w:p w14:paraId="527BCF91" w14:textId="77777777" w:rsidR="00B7006B" w:rsidRDefault="00B7006B" w:rsidP="00280EF3">
      <w:pPr>
        <w:spacing w:line="360" w:lineRule="auto"/>
        <w:jc w:val="both"/>
        <w:rPr>
          <w:rFonts w:ascii="Arial" w:hAnsi="Arial" w:cs="Arial"/>
          <w:b/>
          <w:bCs/>
          <w:sz w:val="24"/>
          <w:szCs w:val="24"/>
        </w:rPr>
      </w:pPr>
    </w:p>
    <w:p w14:paraId="5ED951FB" w14:textId="77777777" w:rsidR="009714D3" w:rsidRDefault="009714D3" w:rsidP="00280EF3">
      <w:pPr>
        <w:spacing w:line="360" w:lineRule="auto"/>
        <w:jc w:val="both"/>
        <w:rPr>
          <w:rFonts w:ascii="Arial" w:hAnsi="Arial" w:cs="Arial"/>
          <w:b/>
          <w:bCs/>
          <w:sz w:val="24"/>
          <w:szCs w:val="24"/>
        </w:rPr>
      </w:pPr>
    </w:p>
    <w:p w14:paraId="72D6BD8C" w14:textId="218AA499" w:rsidR="00B7006B" w:rsidRDefault="00B7006B" w:rsidP="00280EF3">
      <w:pPr>
        <w:spacing w:line="360" w:lineRule="auto"/>
        <w:jc w:val="both"/>
        <w:rPr>
          <w:rFonts w:ascii="Arial" w:hAnsi="Arial" w:cs="Arial"/>
          <w:b/>
          <w:bCs/>
          <w:sz w:val="24"/>
          <w:szCs w:val="24"/>
        </w:rPr>
      </w:pPr>
      <w:r>
        <w:rPr>
          <w:rFonts w:ascii="Arial" w:hAnsi="Arial" w:cs="Arial"/>
          <w:b/>
          <w:bCs/>
          <w:sz w:val="24"/>
          <w:szCs w:val="24"/>
        </w:rPr>
        <w:lastRenderedPageBreak/>
        <w:t>Introduction</w:t>
      </w:r>
    </w:p>
    <w:p w14:paraId="333295D4"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This report analyses the organisational structure, culture, goals, strategic direction, and recent change initiatives of the InterContinental Hotels Group (IHG). IHG operates a global network of over 6,000 hotels in over 100 countries. They achieve this by using a business model focusing on franchising and management contracts, allowing them to minimise their ownership of physical assets. This strategy enables quick worldwide expansion while requiring minimal investment. The company's culture revolves around the "True Hospitality for Good" philosophy, highlighting the importance of providing care and attention to guests, colleagues, and communities. The strategic goals outlined in the "Journey to Tomorrow" plan prioritise sustainability and the positive effects on the community. This report examines these factors, assesses recent change endeavours, and offers suggestions to improve IHG's operational and strategic efficiency.</w:t>
      </w:r>
      <w:r>
        <w:rPr>
          <w:rFonts w:ascii="Arial" w:hAnsi="Arial" w:cs="Arial"/>
          <w:sz w:val="24"/>
          <w:szCs w:val="24"/>
        </w:rPr>
        <w:br/>
      </w:r>
      <w:r>
        <w:rPr>
          <w:rFonts w:ascii="Arial" w:hAnsi="Arial" w:cs="Arial"/>
          <w:sz w:val="24"/>
          <w:szCs w:val="24"/>
        </w:rPr>
        <w:br/>
      </w:r>
      <w:r>
        <w:rPr>
          <w:rFonts w:ascii="Arial" w:hAnsi="Arial" w:cs="Arial"/>
          <w:b/>
          <w:bCs/>
          <w:sz w:val="24"/>
          <w:szCs w:val="24"/>
        </w:rPr>
        <w:t xml:space="preserve">                                        Organisation Structure, Culture, and Goals</w:t>
      </w:r>
    </w:p>
    <w:p w14:paraId="36AAA422"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1. Organizational Structure</w:t>
      </w:r>
    </w:p>
    <w:p w14:paraId="4B677615"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Detailed Examination of IHG’s Organizational Structure</w:t>
      </w:r>
    </w:p>
    <w:p w14:paraId="5B29D347"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InterContinental Hotels Group (IHG) employs an asset-light business model, focusing mainly on franchising and management contracts rather than property ownership. This strategy enables widespread international coverage while minimising investment costs. IHG's 2022 Annual Report states that the company manages a portfolio of over 6,000 hotels in more than 100 countries. These hotels are categorised into four segments: Suites, Essentials, Premium, and Luxury &amp; Lifestyle, and are operated under 17 different brands. This framework enables quick expansion and flexibility in response to market fluctuations.</w:t>
      </w:r>
    </w:p>
    <w:p w14:paraId="6E9B27DA"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Analysis of the Asset-Light Business Model and Its Advantages</w:t>
      </w:r>
    </w:p>
    <w:p w14:paraId="5154C6F6"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IHG's adoption of the asset-light model provides numerous benefits. It mitigates financial risk and reduces capital needs while facilitating rapid expansion and scalability. This model also offers adaptability in responding to economic fluctuations and market demands. The study conducted by Kim et al. (2013) emphasises that implementing asset-light models in hotel management strategies can result in </w:t>
      </w:r>
      <w:r>
        <w:rPr>
          <w:rFonts w:ascii="Arial" w:hAnsi="Arial" w:cs="Arial"/>
          <w:sz w:val="24"/>
          <w:szCs w:val="24"/>
        </w:rPr>
        <w:lastRenderedPageBreak/>
        <w:t>increased return on investment (ROI) and enhanced financial performance. This is primarily due to the reduction in fixed costs and capital investments. Moreover, this model enables IHG to prioritise brand management and customer experience instead of property management (Chiang &amp; Lin, 2016).</w:t>
      </w:r>
    </w:p>
    <w:p w14:paraId="3C61B371"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2. Organizational Culture</w:t>
      </w:r>
    </w:p>
    <w:p w14:paraId="0B2DDB5B"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Discussion on IHG's Organizational Culture</w:t>
      </w:r>
    </w:p>
    <w:p w14:paraId="7944FBB6"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IHG's culture is characterised by its dedication to "True Hospitality for Good," which prioritises the well-being of guests, colleagues, and communities. This culture is evident in multiple endeavours focused on fostering diversity, equity, and inclusion (DE&amp;I). The 2022 Responsible Business Report by IHG details various DE&amp;I initiatives, such as the Rise mentoring programme for women and the Ascend programme designed to promote leadership diversity among different ethnic groups.</w:t>
      </w:r>
    </w:p>
    <w:p w14:paraId="66796429"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Levels of Culture (Artefacts, Espoused Values, Basic Underlying Assumptions</w:t>
      </w:r>
    </w:p>
    <w:p w14:paraId="5A045A3A"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Schein's model categorises organisational culture into three levels: artefacts, espoused values, and basic underlying assumptions. IHG's artefacts encompass tangible aspects such as branding, hotel design, and customer service protocols. IHG's corporate goals reflect their dedication to sustainability and positively impacting the community, which are the values they advocate for. The fundamental underlying assumptions consist of deeply ingrained convictions regarding hospitality, high-quality service, and the well-being of employees (Schein, 2010). According to Wu &amp; Chen's (2018) study on organisational culture in the hospitality industry, evidence suggests that when there is a strong alignment between different levels of the organisation, it can result in increased employee satisfaction and customer loyalty.</w:t>
      </w:r>
    </w:p>
    <w:p w14:paraId="74063B09"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Diversity, Equity, and Inclusion (DE&amp;I) Initiatives</w:t>
      </w:r>
    </w:p>
    <w:p w14:paraId="2E13AB8D"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IHG has implemented a range of diversity, equity, and inclusion (DE&amp;I) initiatives to establish a welcoming and inclusive workplace for all. The Rise programme is designed to facilitate the advancement of women in their careers, while </w:t>
      </w:r>
      <w:proofErr w:type="gramStart"/>
      <w:r>
        <w:rPr>
          <w:rFonts w:ascii="Arial" w:hAnsi="Arial" w:cs="Arial"/>
          <w:sz w:val="24"/>
          <w:szCs w:val="24"/>
        </w:rPr>
        <w:t>Ascend</w:t>
      </w:r>
      <w:proofErr w:type="gramEnd"/>
      <w:r>
        <w:rPr>
          <w:rFonts w:ascii="Arial" w:hAnsi="Arial" w:cs="Arial"/>
          <w:sz w:val="24"/>
          <w:szCs w:val="24"/>
        </w:rPr>
        <w:t xml:space="preserve"> is aimed explicitly at cultivating leaders from diverse ethnic backgrounds. These initiatives are included in IHG's comprehensive strategy to improve workplace diversity and guarantee equal opportunities for all employees (IHG, 2022). Tang et al. (2019) have demonstrated that implementing effective diversity, equity, and inclusion (DE&amp;I) </w:t>
      </w:r>
      <w:r>
        <w:rPr>
          <w:rFonts w:ascii="Arial" w:hAnsi="Arial" w:cs="Arial"/>
          <w:sz w:val="24"/>
          <w:szCs w:val="24"/>
        </w:rPr>
        <w:lastRenderedPageBreak/>
        <w:t>practices can enhance employees' dedication to the organisation and decrease employee turnover rates.</w:t>
      </w:r>
    </w:p>
    <w:p w14:paraId="43A90DA0"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3. Organizational Goals</w:t>
      </w:r>
    </w:p>
    <w:p w14:paraId="477C7EF4" w14:textId="77777777" w:rsidR="00B7006B" w:rsidRDefault="00B7006B" w:rsidP="00280EF3">
      <w:pPr>
        <w:spacing w:line="360" w:lineRule="auto"/>
        <w:jc w:val="both"/>
        <w:rPr>
          <w:rFonts w:ascii="Arial" w:hAnsi="Arial" w:cs="Arial"/>
          <w:sz w:val="24"/>
          <w:szCs w:val="24"/>
        </w:rPr>
      </w:pPr>
      <w:r>
        <w:rPr>
          <w:rFonts w:ascii="Arial" w:hAnsi="Arial" w:cs="Arial"/>
          <w:b/>
          <w:bCs/>
          <w:sz w:val="24"/>
          <w:szCs w:val="24"/>
        </w:rPr>
        <w:t>Specific Goals Related to Sustainability, Community Impact, and Business Growth</w:t>
      </w:r>
      <w:r>
        <w:rPr>
          <w:rFonts w:ascii="Arial" w:hAnsi="Arial" w:cs="Arial"/>
          <w:sz w:val="24"/>
          <w:szCs w:val="24"/>
        </w:rPr>
        <w:t xml:space="preserve"> </w:t>
      </w:r>
    </w:p>
    <w:p w14:paraId="0E1F2997"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IHG's strategic objectives revolve around sustainability, community influence, and business expansion. The "Journey to Tomorrow" plan sets ambitious goals, including a 46% reduction in carbon emissions across all areas by 2030 and enhancing the well-being of 30 million individuals through diverse social initiatives (IHG, 2022). IHG's overall business strategy incorporates these goals, ensuring that environmental and social responsibilities are prioritised equally to financial performance.</w:t>
      </w:r>
    </w:p>
    <w:p w14:paraId="5C8B3C41"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Analysis of How These Goals Align with Overall Strategy and Performance</w:t>
      </w:r>
    </w:p>
    <w:p w14:paraId="64935E81"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IHG's sustainability and community objectives align with their strategic focus on achieving long-term growth and creating value. By prioritising the reduction of carbon emissions and promoting social well-being, IHG improves its corporate reputation and appeals to environmentally and socially aware customers. Han (2013) Studies suggest that companies prioritising sustainability achieve superior financial performance and enjoy greater customer loyalty. In addition, IHG's focus on community impact, as exemplified by initiatives such as the IHG Academy, offers skills training and employment prospects and showcases a dedication to corporate social responsibility that aligns with broader business goals (Li et al., 2020).</w:t>
      </w:r>
    </w:p>
    <w:p w14:paraId="049D735A" w14:textId="77777777" w:rsidR="00B7006B" w:rsidRDefault="00B7006B" w:rsidP="00280EF3">
      <w:pPr>
        <w:spacing w:line="360" w:lineRule="auto"/>
        <w:jc w:val="both"/>
        <w:rPr>
          <w:rFonts w:ascii="Arial" w:hAnsi="Arial" w:cs="Arial"/>
          <w:sz w:val="24"/>
          <w:szCs w:val="24"/>
        </w:rPr>
      </w:pPr>
    </w:p>
    <w:p w14:paraId="275EFA2C"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The Organisation’s Strategic Direction</w:t>
      </w:r>
    </w:p>
    <w:p w14:paraId="01B01F7D"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1. Current Strategic Position</w:t>
      </w:r>
    </w:p>
    <w:p w14:paraId="5CB4A60C"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Overview of IHG's Current Strategic Direction</w:t>
      </w:r>
    </w:p>
    <w:p w14:paraId="1952F793"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InterContinental Hotels Group (IHG) has a distinct strategic vision centred around utilising its asset-light business model to propel growth and ensure long-term viability. As stated in the 2022 Annual Report, IHG's strategy for expanding its global presence involves focusing on franchising and management contracts instead of owning properties. This approach enables IHG to proliferate while minimising the need for </w:t>
      </w:r>
      <w:r>
        <w:rPr>
          <w:rFonts w:ascii="Arial" w:hAnsi="Arial" w:cs="Arial"/>
          <w:sz w:val="24"/>
          <w:szCs w:val="24"/>
        </w:rPr>
        <w:lastRenderedPageBreak/>
        <w:t>significant capital investment. By implementing this strategy, IHG has successfully managed to run a network of over 6,000 hotels across more than 100 countries, encompassing different brand segments (IHG, 2022).</w:t>
      </w:r>
    </w:p>
    <w:p w14:paraId="1EF08B63"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Key Strategic Goals and Objectives</w:t>
      </w:r>
    </w:p>
    <w:p w14:paraId="0D20054C"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IHG's strategic objectives are defined in its "Journey to Tomorrow" plan, which establishes ambitious benchmarks to be achieved by 2030. These objectives encompass a 46% reduction in carbon emissions, improved water stewardship, and enhanced lives of 30 million individuals through community initiatives. IHG (2022) states that the company prioritises digital transformation to enhance guest experiences and operational efficiencies. Garrido-Moreno et al. (2021) found that integrating sustainability and digitalisation into strategic goals can greatly enhance corporate performance and foster stakeholder trust.</w:t>
      </w:r>
    </w:p>
    <w:p w14:paraId="2077EE28"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2. Strategic Management Practices</w:t>
      </w:r>
    </w:p>
    <w:p w14:paraId="33F83B31"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Discussion of IHG’s Strategic Management Practices</w:t>
      </w:r>
    </w:p>
    <w:p w14:paraId="5503854A"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 utilises a holistic strategic management methodology incorporating market analysis, stakeholder involvement, and sustainability. The company conducts SWOT analyses regularly to identify its strengths, weaknesses, opportunities, and threats, as can be observed by analysing the reports year by year. This helps ensure its strategies align with the current market conditions. IHG's dynamic approach enables it to promptly adjust to shifts in the hospitality industry, including varying market demands and emerging technologies (Pavlatos, 2015).</w:t>
      </w:r>
    </w:p>
    <w:p w14:paraId="031D5475"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How These Strategies Align with Long-Term Goals</w:t>
      </w:r>
    </w:p>
    <w:p w14:paraId="173DC78D"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IHG's strategic management practices are intricately linked to its long-term sustainability objectives, digital transformation, and market dominance. IHG strives to attain sustainable growth that benefits the business and its stakeholders by minimising environmental impact and fostering community engagement. Ensuring alignment is crucial for maintaining a competitive advantage and ensuring long-term viability in the hospitality industry (</w:t>
      </w:r>
      <w:proofErr w:type="spellStart"/>
      <w:r>
        <w:rPr>
          <w:rFonts w:ascii="Arial" w:hAnsi="Arial" w:cs="Arial"/>
          <w:sz w:val="24"/>
          <w:szCs w:val="24"/>
        </w:rPr>
        <w:t>Ketokivi</w:t>
      </w:r>
      <w:proofErr w:type="spellEnd"/>
      <w:r>
        <w:rPr>
          <w:rFonts w:ascii="Arial" w:hAnsi="Arial" w:cs="Arial"/>
          <w:sz w:val="24"/>
          <w:szCs w:val="24"/>
        </w:rPr>
        <w:t xml:space="preserve"> &amp; </w:t>
      </w:r>
      <w:proofErr w:type="spellStart"/>
      <w:r>
        <w:rPr>
          <w:rFonts w:ascii="Arial" w:hAnsi="Arial" w:cs="Arial"/>
          <w:sz w:val="24"/>
          <w:szCs w:val="24"/>
        </w:rPr>
        <w:t>Castañer</w:t>
      </w:r>
      <w:proofErr w:type="spellEnd"/>
      <w:r>
        <w:rPr>
          <w:rFonts w:ascii="Arial" w:hAnsi="Arial" w:cs="Arial"/>
          <w:sz w:val="24"/>
          <w:szCs w:val="24"/>
        </w:rPr>
        <w:t>, 2004).</w:t>
      </w:r>
    </w:p>
    <w:p w14:paraId="2087C723" w14:textId="77777777" w:rsidR="009714D3" w:rsidRDefault="009714D3" w:rsidP="00280EF3">
      <w:pPr>
        <w:spacing w:line="360" w:lineRule="auto"/>
        <w:jc w:val="both"/>
        <w:rPr>
          <w:rFonts w:ascii="Arial" w:hAnsi="Arial" w:cs="Arial"/>
          <w:b/>
          <w:bCs/>
          <w:sz w:val="24"/>
          <w:szCs w:val="24"/>
        </w:rPr>
      </w:pPr>
    </w:p>
    <w:p w14:paraId="5FE825FC" w14:textId="77777777" w:rsidR="009714D3" w:rsidRDefault="009714D3" w:rsidP="00280EF3">
      <w:pPr>
        <w:spacing w:line="360" w:lineRule="auto"/>
        <w:jc w:val="both"/>
        <w:rPr>
          <w:rFonts w:ascii="Arial" w:hAnsi="Arial" w:cs="Arial"/>
          <w:b/>
          <w:bCs/>
          <w:sz w:val="24"/>
          <w:szCs w:val="24"/>
        </w:rPr>
      </w:pPr>
    </w:p>
    <w:p w14:paraId="381D24CC" w14:textId="13EF56F8" w:rsidR="00B7006B" w:rsidRDefault="00B7006B" w:rsidP="00280EF3">
      <w:pPr>
        <w:spacing w:line="360" w:lineRule="auto"/>
        <w:jc w:val="both"/>
        <w:rPr>
          <w:rFonts w:ascii="Arial" w:hAnsi="Arial" w:cs="Arial"/>
          <w:b/>
          <w:bCs/>
          <w:sz w:val="24"/>
          <w:szCs w:val="24"/>
        </w:rPr>
      </w:pPr>
      <w:r>
        <w:rPr>
          <w:rFonts w:ascii="Arial" w:hAnsi="Arial" w:cs="Arial"/>
          <w:b/>
          <w:bCs/>
          <w:sz w:val="24"/>
          <w:szCs w:val="24"/>
        </w:rPr>
        <w:lastRenderedPageBreak/>
        <w:t>3. Market Expansion and Digital Initiatives</w:t>
      </w:r>
    </w:p>
    <w:p w14:paraId="511975E8" w14:textId="522AE033" w:rsidR="00B7006B" w:rsidRDefault="00B7006B" w:rsidP="00280EF3">
      <w:pPr>
        <w:spacing w:line="360" w:lineRule="auto"/>
        <w:jc w:val="both"/>
        <w:rPr>
          <w:rFonts w:ascii="Arial" w:hAnsi="Arial" w:cs="Arial"/>
          <w:b/>
          <w:bCs/>
          <w:sz w:val="24"/>
          <w:szCs w:val="24"/>
        </w:rPr>
      </w:pPr>
      <w:r>
        <w:rPr>
          <w:rFonts w:ascii="Arial" w:hAnsi="Arial" w:cs="Arial"/>
          <w:b/>
          <w:bCs/>
          <w:sz w:val="24"/>
          <w:szCs w:val="24"/>
        </w:rPr>
        <w:t>Analysis of Market Expansion Strategies</w:t>
      </w:r>
    </w:p>
    <w:p w14:paraId="58CD3047"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IHG's market expansion strategies entail penetrating untapped geographic markets and bolstering brand visibility in established ones. The company utilises its asset-light business model to collaborate with local franchisees and management firms, enabling rapid and cost-efficient growth. </w:t>
      </w:r>
      <w:proofErr w:type="spellStart"/>
      <w:r>
        <w:rPr>
          <w:rFonts w:ascii="Arial" w:hAnsi="Arial" w:cs="Arial"/>
          <w:sz w:val="24"/>
          <w:szCs w:val="24"/>
        </w:rPr>
        <w:t>Köseoglu</w:t>
      </w:r>
      <w:proofErr w:type="spellEnd"/>
      <w:r>
        <w:rPr>
          <w:rFonts w:ascii="Arial" w:hAnsi="Arial" w:cs="Arial"/>
          <w:sz w:val="24"/>
          <w:szCs w:val="24"/>
        </w:rPr>
        <w:t xml:space="preserve"> et al. (2020) found that strategic partnerships and market analysis are essential for successfully expanding the hospitality sector.</w:t>
      </w:r>
    </w:p>
    <w:p w14:paraId="52C1FC51"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Focus on Digital Transformation and Technological Advancements</w:t>
      </w:r>
    </w:p>
    <w:p w14:paraId="76F9982C"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 has invested substantially in digital transformation to improve guest experiences and optimise operations. This encompasses creating a solid and reliable digital reservation system, mobile check-in services, and targeted marketing using data analysis. According to Shamim et al. (2017), digital transformation in the hospitality industry can enhance customer satisfaction and operational efficiency by utilising data-driven insights and advanced technologies.</w:t>
      </w:r>
    </w:p>
    <w:p w14:paraId="604FCDA3" w14:textId="77777777" w:rsidR="00B7006B" w:rsidRDefault="00B7006B" w:rsidP="00280EF3">
      <w:pPr>
        <w:spacing w:line="360" w:lineRule="auto"/>
        <w:jc w:val="both"/>
        <w:rPr>
          <w:rFonts w:ascii="Arial" w:hAnsi="Arial" w:cs="Arial"/>
          <w:sz w:val="24"/>
          <w:szCs w:val="24"/>
        </w:rPr>
      </w:pPr>
    </w:p>
    <w:p w14:paraId="7090D794"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Recent Change Initiatives, Their Impact, and How Well These Were Managed</w:t>
      </w:r>
    </w:p>
    <w:p w14:paraId="7FAB4225"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1. Description of Recent Changes</w:t>
      </w:r>
    </w:p>
    <w:p w14:paraId="68158F88"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Overview of Key Change Initiatives Implemented by IHG</w:t>
      </w:r>
    </w:p>
    <w:p w14:paraId="1E304B9F"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IHG has undertaken various substantial change initiatives, emphasising sustainability and digital transformation. The "Journey to Tomorrow" initiative is a fundamental aspect of these endeavours, establishing ambitious objectives for 2030, such as reducing carbon emissions, enhancing water stewardship, and improving community impact (IHG, 2022).</w:t>
      </w:r>
    </w:p>
    <w:p w14:paraId="3DD1C5DD"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 xml:space="preserve">Specific Examples </w:t>
      </w:r>
    </w:p>
    <w:p w14:paraId="33A0847B"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The "Journey to Tomorrow" initiative aims to reduce IHG's carbon footprint by 46% across all scopes by 2030 while ensuring that its hotels operate without waste. This initiative also prioritises water conservation and seeks to enhance the well-being of 30 million individuals through diverse social endeavours (IHG, 2022). Goldstein et al. </w:t>
      </w:r>
      <w:r>
        <w:rPr>
          <w:rFonts w:ascii="Arial" w:hAnsi="Arial" w:cs="Arial"/>
          <w:sz w:val="24"/>
          <w:szCs w:val="24"/>
        </w:rPr>
        <w:lastRenderedPageBreak/>
        <w:t>(2008) found that participating in environmental conservation efforts can greatly improve a company's reputation and customer loyalty.</w:t>
      </w:r>
    </w:p>
    <w:p w14:paraId="30072A51"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2. Impact of Changes</w:t>
      </w:r>
    </w:p>
    <w:p w14:paraId="1DEF31C8"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Analysis of the Impact of These Changes on the Organization</w:t>
      </w:r>
    </w:p>
    <w:p w14:paraId="7C557CA6"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The execution of the "Journey to Tomorrow" initiative has had significant environmental, social, and economic effects on IHG. From an ecological perspective, the initiatives have substantially decreased energy consumption and waste generation. From a social perspective, the emphasis on community involvement has enhanced the well-being of many people, as evidenced by the multitude of initiatives that promote and nurture diversity, equity, and inclusion in local communities (IHG, 2022). From an economic standpoint, these initiatives have bolstered IHG's brand reputation and customer loyalty, resulting in a larger market share and greater profitability.</w:t>
      </w:r>
    </w:p>
    <w:p w14:paraId="769BF8F1"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Environmental, Social, and Economic Impacts</w:t>
      </w:r>
    </w:p>
    <w:p w14:paraId="58AA3381"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Raub and </w:t>
      </w:r>
      <w:proofErr w:type="spellStart"/>
      <w:r>
        <w:rPr>
          <w:rFonts w:ascii="Arial" w:hAnsi="Arial" w:cs="Arial"/>
          <w:sz w:val="24"/>
          <w:szCs w:val="24"/>
        </w:rPr>
        <w:t>Blunschi</w:t>
      </w:r>
      <w:proofErr w:type="spellEnd"/>
      <w:r>
        <w:rPr>
          <w:rFonts w:ascii="Arial" w:hAnsi="Arial" w:cs="Arial"/>
          <w:sz w:val="24"/>
          <w:szCs w:val="24"/>
        </w:rPr>
        <w:t xml:space="preserve"> (2014) found that employees who are aware of corporate social responsibility (CSR) initiatives, such as those in the "Journey to Tomorrow" plan, experience higher levels of job satisfaction, engagement, and organisational commitment. Moreover, research conducted by Ababneh (2020) revealed that a robust organisational culture that promotes sustainability can potentially improve overall quality performance and employee engagement.</w:t>
      </w:r>
    </w:p>
    <w:p w14:paraId="1486C2BE"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3. Change Management Practices</w:t>
      </w:r>
    </w:p>
    <w:p w14:paraId="10E9B590"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Evaluation of How Well These Changes Were Managed</w:t>
      </w:r>
    </w:p>
    <w:p w14:paraId="70E7142D"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IHG has employed effective change management methodologies to ensure the successful implementation of its initiatives. Key strategies include engaging individuals with a vested interest, maintaining a continuous and effective flow of information, and obtaining endorsement from individuals in positions of authority. </w:t>
      </w:r>
      <w:proofErr w:type="spellStart"/>
      <w:r>
        <w:rPr>
          <w:rFonts w:ascii="Arial" w:hAnsi="Arial" w:cs="Arial"/>
          <w:sz w:val="24"/>
          <w:szCs w:val="24"/>
        </w:rPr>
        <w:t>Kasana</w:t>
      </w:r>
      <w:proofErr w:type="spellEnd"/>
      <w:r>
        <w:rPr>
          <w:rFonts w:ascii="Arial" w:hAnsi="Arial" w:cs="Arial"/>
          <w:sz w:val="24"/>
          <w:szCs w:val="24"/>
        </w:rPr>
        <w:t xml:space="preserve"> et al. (2023) argue that successful change management involves choosing a change agent, securing leadership support, and setting realistic deadlines for implementation.</w:t>
      </w:r>
    </w:p>
    <w:p w14:paraId="4B967B4F" w14:textId="77777777" w:rsidR="009714D3" w:rsidRDefault="009714D3" w:rsidP="00280EF3">
      <w:pPr>
        <w:spacing w:line="360" w:lineRule="auto"/>
        <w:jc w:val="both"/>
        <w:rPr>
          <w:rFonts w:ascii="Arial" w:hAnsi="Arial" w:cs="Arial"/>
          <w:b/>
          <w:bCs/>
          <w:sz w:val="24"/>
          <w:szCs w:val="24"/>
        </w:rPr>
      </w:pPr>
    </w:p>
    <w:p w14:paraId="547F7F2F" w14:textId="77777777" w:rsidR="009714D3" w:rsidRDefault="009714D3" w:rsidP="00280EF3">
      <w:pPr>
        <w:spacing w:line="360" w:lineRule="auto"/>
        <w:jc w:val="both"/>
        <w:rPr>
          <w:rFonts w:ascii="Arial" w:hAnsi="Arial" w:cs="Arial"/>
          <w:b/>
          <w:bCs/>
          <w:sz w:val="24"/>
          <w:szCs w:val="24"/>
        </w:rPr>
      </w:pPr>
    </w:p>
    <w:p w14:paraId="6BFDEB65" w14:textId="670561A2" w:rsidR="00B7006B" w:rsidRDefault="00B7006B" w:rsidP="00280EF3">
      <w:pPr>
        <w:spacing w:line="360" w:lineRule="auto"/>
        <w:jc w:val="both"/>
        <w:rPr>
          <w:rFonts w:ascii="Arial" w:hAnsi="Arial" w:cs="Arial"/>
          <w:b/>
          <w:bCs/>
          <w:sz w:val="24"/>
          <w:szCs w:val="24"/>
        </w:rPr>
      </w:pPr>
      <w:r>
        <w:rPr>
          <w:rFonts w:ascii="Arial" w:hAnsi="Arial" w:cs="Arial"/>
          <w:b/>
          <w:bCs/>
          <w:sz w:val="24"/>
          <w:szCs w:val="24"/>
        </w:rPr>
        <w:lastRenderedPageBreak/>
        <w:t>Discussion of Best Practices and Areas for Improvement</w:t>
      </w:r>
    </w:p>
    <w:p w14:paraId="073C7503"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Practical strategies for managing IHG's change initiatives involve implementing comprehensive communication plans to ensure all employees are informed about and comprehending the changes. These findings are consistent with Shulga's (2020) research, which emphasises the significance of meaningful communication and authentic leadership in ensuring employee engagement during organisational changes (Shulga, 2020). Nevertheless, some areas can be improved, such as augmenting employee training and increasing their involvement in change processes. Chiang (2010) highlights the importance of ongoing employee training and engagement to reduce resistance and ensure the successful implementation of change.</w:t>
      </w:r>
    </w:p>
    <w:p w14:paraId="3561962F"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br/>
        <w:t>Conclusion</w:t>
      </w:r>
    </w:p>
    <w:p w14:paraId="7BCB5559"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In conclusion, the InterContinental Hotels Group (IHG) has successfully employed a business model that focuses on minimising financial risk and maximising global expansion by relying on assets owned by others. The company's unwavering dedication to sustainability and community impact, exemplified by the "Journey to Tomorrow" plan, perfectly aligns with its strategic objectives. IHG's emphasis on diversity, equity, and inclusion (DE&amp;I) initiatives has cultivated an inclusive corporate environment, improving employee engagement and retention. The successful implementation of recent initiatives has been ensured through effective change management practices, resulting in substantial environmental, social, and economic advantages. To maintain growth, IHG should prioritize sustainability, digital transformation, and DE&amp;I programmes while implementing the most effective methods in change management to navigate forthcoming challenges successfully.</w:t>
      </w:r>
    </w:p>
    <w:p w14:paraId="6860231F" w14:textId="77777777" w:rsidR="00280EF3" w:rsidRDefault="00280EF3" w:rsidP="00280EF3">
      <w:pPr>
        <w:spacing w:line="360" w:lineRule="auto"/>
        <w:jc w:val="both"/>
        <w:rPr>
          <w:rFonts w:ascii="Arial" w:hAnsi="Arial" w:cs="Arial"/>
          <w:b/>
          <w:bCs/>
          <w:sz w:val="24"/>
          <w:szCs w:val="24"/>
        </w:rPr>
      </w:pPr>
    </w:p>
    <w:p w14:paraId="42963416" w14:textId="18B16443" w:rsidR="00B7006B" w:rsidRDefault="00B7006B" w:rsidP="00280EF3">
      <w:pPr>
        <w:spacing w:line="360" w:lineRule="auto"/>
        <w:jc w:val="both"/>
        <w:rPr>
          <w:rFonts w:ascii="Arial" w:hAnsi="Arial" w:cs="Arial"/>
          <w:b/>
          <w:bCs/>
          <w:sz w:val="24"/>
          <w:szCs w:val="24"/>
        </w:rPr>
      </w:pPr>
      <w:r>
        <w:rPr>
          <w:rFonts w:ascii="Arial" w:hAnsi="Arial" w:cs="Arial"/>
          <w:b/>
          <w:bCs/>
          <w:sz w:val="24"/>
          <w:szCs w:val="24"/>
        </w:rPr>
        <w:t>Recommendations</w:t>
      </w:r>
    </w:p>
    <w:p w14:paraId="17591A78"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Strategic Recommendations</w:t>
      </w:r>
    </w:p>
    <w:p w14:paraId="50592557"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IHG should give top priority to sustainability and digital transformation. Aligning environmental, social, and governance (ESG) objectives with business strategies can bolster corporate standing and appeal to environmentally aware consumers (IHG, </w:t>
      </w:r>
      <w:r>
        <w:rPr>
          <w:rFonts w:ascii="Arial" w:hAnsi="Arial" w:cs="Arial"/>
          <w:sz w:val="24"/>
          <w:szCs w:val="24"/>
        </w:rPr>
        <w:lastRenderedPageBreak/>
        <w:t>2022). Han et al. (2018) propose that sustainable practices enhance financial performance and foster stakeholder trust. Investing in advanced data analytics and artificial intelligence (AI) is essential for personalised guest experiences (</w:t>
      </w:r>
      <w:proofErr w:type="spellStart"/>
      <w:r>
        <w:rPr>
          <w:rFonts w:ascii="Arial" w:hAnsi="Arial" w:cs="Arial"/>
          <w:sz w:val="24"/>
          <w:szCs w:val="24"/>
        </w:rPr>
        <w:t>Buhalis</w:t>
      </w:r>
      <w:proofErr w:type="spellEnd"/>
      <w:r>
        <w:rPr>
          <w:rFonts w:ascii="Arial" w:hAnsi="Arial" w:cs="Arial"/>
          <w:sz w:val="24"/>
          <w:szCs w:val="24"/>
        </w:rPr>
        <w:t xml:space="preserve"> &amp; Leung, 2018). Engaging in renewable energy and waste reduction initiatives can augment sustainability endeavours (Goldstein et al., 2008).</w:t>
      </w:r>
    </w:p>
    <w:p w14:paraId="06FA59D8"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Cultural and Structural Recommendations</w:t>
      </w:r>
    </w:p>
    <w:p w14:paraId="4D5561C6" w14:textId="77777777" w:rsidR="00B7006B" w:rsidRDefault="00B7006B" w:rsidP="00280EF3">
      <w:pPr>
        <w:spacing w:line="360" w:lineRule="auto"/>
        <w:jc w:val="both"/>
        <w:rPr>
          <w:rFonts w:ascii="Arial" w:hAnsi="Arial" w:cs="Arial"/>
          <w:sz w:val="24"/>
          <w:szCs w:val="24"/>
        </w:rPr>
      </w:pPr>
      <w:r>
        <w:rPr>
          <w:rFonts w:ascii="Arial" w:hAnsi="Arial" w:cs="Arial"/>
          <w:sz w:val="24"/>
          <w:szCs w:val="24"/>
        </w:rPr>
        <w:t xml:space="preserve">IHG should strengthen its diversity, equity, and inclusion (DE&amp;I) initiatives, as fostering inclusive organisational cultures enhances employee engagement and reduces turnover (Dawson et al., 2011). Increasing diversity, equity, and inclusion (DE&amp;I) efforts can promote individuals' sense of belonging and contentment (Meira &amp; </w:t>
      </w:r>
      <w:proofErr w:type="spellStart"/>
      <w:r>
        <w:rPr>
          <w:rFonts w:ascii="Arial" w:hAnsi="Arial" w:cs="Arial"/>
          <w:sz w:val="24"/>
          <w:szCs w:val="24"/>
        </w:rPr>
        <w:t>Hancer</w:t>
      </w:r>
      <w:proofErr w:type="spellEnd"/>
      <w:r>
        <w:rPr>
          <w:rFonts w:ascii="Arial" w:hAnsi="Arial" w:cs="Arial"/>
          <w:sz w:val="24"/>
          <w:szCs w:val="24"/>
        </w:rPr>
        <w:t xml:space="preserve">, 2021). </w:t>
      </w:r>
    </w:p>
    <w:p w14:paraId="5F94CC82" w14:textId="77777777" w:rsidR="00B7006B" w:rsidRDefault="00B7006B" w:rsidP="00280EF3">
      <w:pPr>
        <w:spacing w:line="360" w:lineRule="auto"/>
        <w:jc w:val="both"/>
        <w:rPr>
          <w:rFonts w:ascii="Arial" w:hAnsi="Arial" w:cs="Arial"/>
          <w:b/>
          <w:bCs/>
          <w:sz w:val="24"/>
          <w:szCs w:val="24"/>
        </w:rPr>
      </w:pPr>
      <w:r>
        <w:rPr>
          <w:rFonts w:ascii="Arial" w:hAnsi="Arial" w:cs="Arial"/>
          <w:b/>
          <w:bCs/>
          <w:sz w:val="24"/>
          <w:szCs w:val="24"/>
        </w:rPr>
        <w:t>Change Management Recommendations</w:t>
      </w:r>
    </w:p>
    <w:p w14:paraId="43BB0900" w14:textId="5FAACF72" w:rsidR="009714D3" w:rsidRPr="009714D3" w:rsidRDefault="00B7006B" w:rsidP="00280EF3">
      <w:pPr>
        <w:spacing w:line="360" w:lineRule="auto"/>
        <w:jc w:val="both"/>
        <w:rPr>
          <w:rFonts w:ascii="Arial" w:hAnsi="Arial" w:cs="Arial"/>
          <w:sz w:val="24"/>
          <w:szCs w:val="24"/>
        </w:rPr>
      </w:pPr>
      <w:r>
        <w:rPr>
          <w:rFonts w:ascii="Arial" w:hAnsi="Arial" w:cs="Arial"/>
          <w:sz w:val="24"/>
          <w:szCs w:val="24"/>
        </w:rPr>
        <w:t>Efficient change management necessitates transparent communication, active involvement of stakeholders, and ongoing feedback. Kotter (1996) argues that implementing structured change approaches is crucial for success. </w:t>
      </w:r>
    </w:p>
    <w:p w14:paraId="608F7988" w14:textId="77777777" w:rsidR="00C7677F" w:rsidRDefault="00C7677F" w:rsidP="00280EF3">
      <w:pPr>
        <w:spacing w:line="360" w:lineRule="auto"/>
        <w:jc w:val="both"/>
        <w:rPr>
          <w:rFonts w:ascii="Arial" w:hAnsi="Arial" w:cs="Arial"/>
          <w:b/>
          <w:bCs/>
          <w:sz w:val="24"/>
          <w:szCs w:val="24"/>
        </w:rPr>
      </w:pPr>
    </w:p>
    <w:p w14:paraId="6DD679A7" w14:textId="77777777" w:rsidR="00C7677F" w:rsidRDefault="00C7677F" w:rsidP="00280EF3">
      <w:pPr>
        <w:spacing w:line="360" w:lineRule="auto"/>
        <w:jc w:val="both"/>
        <w:rPr>
          <w:rFonts w:ascii="Arial" w:hAnsi="Arial" w:cs="Arial"/>
          <w:b/>
          <w:bCs/>
          <w:sz w:val="24"/>
          <w:szCs w:val="24"/>
        </w:rPr>
      </w:pPr>
    </w:p>
    <w:p w14:paraId="7709FDDC" w14:textId="77777777" w:rsidR="00C7677F" w:rsidRDefault="00C7677F" w:rsidP="00280EF3">
      <w:pPr>
        <w:spacing w:line="360" w:lineRule="auto"/>
        <w:jc w:val="both"/>
        <w:rPr>
          <w:rFonts w:ascii="Arial" w:hAnsi="Arial" w:cs="Arial"/>
          <w:b/>
          <w:bCs/>
          <w:sz w:val="24"/>
          <w:szCs w:val="24"/>
        </w:rPr>
      </w:pPr>
    </w:p>
    <w:p w14:paraId="6868EC9B" w14:textId="77777777" w:rsidR="00C7677F" w:rsidRDefault="00C7677F" w:rsidP="00280EF3">
      <w:pPr>
        <w:spacing w:line="360" w:lineRule="auto"/>
        <w:jc w:val="both"/>
        <w:rPr>
          <w:rFonts w:ascii="Arial" w:hAnsi="Arial" w:cs="Arial"/>
          <w:b/>
          <w:bCs/>
          <w:sz w:val="24"/>
          <w:szCs w:val="24"/>
        </w:rPr>
      </w:pPr>
    </w:p>
    <w:p w14:paraId="5BB0FAB3" w14:textId="77777777" w:rsidR="00C7677F" w:rsidRDefault="00C7677F" w:rsidP="00280EF3">
      <w:pPr>
        <w:spacing w:line="360" w:lineRule="auto"/>
        <w:jc w:val="both"/>
        <w:rPr>
          <w:rFonts w:ascii="Arial" w:hAnsi="Arial" w:cs="Arial"/>
          <w:b/>
          <w:bCs/>
          <w:sz w:val="24"/>
          <w:szCs w:val="24"/>
        </w:rPr>
      </w:pPr>
    </w:p>
    <w:p w14:paraId="0D6B855C" w14:textId="77777777" w:rsidR="00C7677F" w:rsidRDefault="00C7677F" w:rsidP="00280EF3">
      <w:pPr>
        <w:spacing w:line="360" w:lineRule="auto"/>
        <w:jc w:val="both"/>
        <w:rPr>
          <w:rFonts w:ascii="Arial" w:hAnsi="Arial" w:cs="Arial"/>
          <w:b/>
          <w:bCs/>
          <w:sz w:val="24"/>
          <w:szCs w:val="24"/>
        </w:rPr>
      </w:pPr>
    </w:p>
    <w:p w14:paraId="09BE4C1E" w14:textId="77777777" w:rsidR="00C7677F" w:rsidRDefault="00C7677F" w:rsidP="00280EF3">
      <w:pPr>
        <w:spacing w:line="360" w:lineRule="auto"/>
        <w:jc w:val="both"/>
        <w:rPr>
          <w:rFonts w:ascii="Arial" w:hAnsi="Arial" w:cs="Arial"/>
          <w:b/>
          <w:bCs/>
          <w:sz w:val="24"/>
          <w:szCs w:val="24"/>
        </w:rPr>
      </w:pPr>
    </w:p>
    <w:p w14:paraId="541E63A3" w14:textId="77777777" w:rsidR="00C7677F" w:rsidRDefault="00C7677F" w:rsidP="00280EF3">
      <w:pPr>
        <w:spacing w:line="360" w:lineRule="auto"/>
        <w:jc w:val="both"/>
        <w:rPr>
          <w:rFonts w:ascii="Arial" w:hAnsi="Arial" w:cs="Arial"/>
          <w:b/>
          <w:bCs/>
          <w:sz w:val="24"/>
          <w:szCs w:val="24"/>
        </w:rPr>
      </w:pPr>
    </w:p>
    <w:p w14:paraId="57197C23" w14:textId="77777777" w:rsidR="00C7677F" w:rsidRDefault="00C7677F" w:rsidP="00280EF3">
      <w:pPr>
        <w:spacing w:line="360" w:lineRule="auto"/>
        <w:jc w:val="both"/>
        <w:rPr>
          <w:rFonts w:ascii="Arial" w:hAnsi="Arial" w:cs="Arial"/>
          <w:b/>
          <w:bCs/>
          <w:sz w:val="24"/>
          <w:szCs w:val="24"/>
        </w:rPr>
      </w:pPr>
    </w:p>
    <w:p w14:paraId="5A5CD007" w14:textId="77777777" w:rsidR="00C7677F" w:rsidRDefault="00C7677F" w:rsidP="00280EF3">
      <w:pPr>
        <w:spacing w:line="360" w:lineRule="auto"/>
        <w:jc w:val="both"/>
        <w:rPr>
          <w:rFonts w:ascii="Arial" w:hAnsi="Arial" w:cs="Arial"/>
          <w:b/>
          <w:bCs/>
          <w:sz w:val="24"/>
          <w:szCs w:val="24"/>
        </w:rPr>
      </w:pPr>
    </w:p>
    <w:p w14:paraId="2BD1B033" w14:textId="77777777" w:rsidR="00C7677F" w:rsidRDefault="00C7677F" w:rsidP="00280EF3">
      <w:pPr>
        <w:spacing w:line="360" w:lineRule="auto"/>
        <w:jc w:val="both"/>
        <w:rPr>
          <w:rFonts w:ascii="Arial" w:hAnsi="Arial" w:cs="Arial"/>
          <w:b/>
          <w:bCs/>
          <w:sz w:val="24"/>
          <w:szCs w:val="24"/>
        </w:rPr>
      </w:pPr>
    </w:p>
    <w:p w14:paraId="022D2553" w14:textId="77777777" w:rsidR="00C7677F" w:rsidRDefault="00C7677F" w:rsidP="00280EF3">
      <w:pPr>
        <w:spacing w:line="360" w:lineRule="auto"/>
        <w:jc w:val="both"/>
        <w:rPr>
          <w:rFonts w:ascii="Arial" w:hAnsi="Arial" w:cs="Arial"/>
          <w:b/>
          <w:bCs/>
          <w:sz w:val="24"/>
          <w:szCs w:val="24"/>
        </w:rPr>
      </w:pPr>
    </w:p>
    <w:p w14:paraId="323B3CAC" w14:textId="26616A06" w:rsidR="00B7006B" w:rsidRDefault="00B7006B" w:rsidP="00280EF3">
      <w:pPr>
        <w:spacing w:line="360" w:lineRule="auto"/>
        <w:jc w:val="both"/>
        <w:rPr>
          <w:rFonts w:ascii="Arial" w:hAnsi="Arial" w:cs="Arial"/>
          <w:b/>
          <w:bCs/>
          <w:sz w:val="24"/>
          <w:szCs w:val="24"/>
        </w:rPr>
      </w:pPr>
      <w:r>
        <w:rPr>
          <w:rFonts w:ascii="Arial" w:hAnsi="Arial" w:cs="Arial"/>
          <w:b/>
          <w:bCs/>
          <w:sz w:val="24"/>
          <w:szCs w:val="24"/>
        </w:rPr>
        <w:lastRenderedPageBreak/>
        <w:t>References</w:t>
      </w:r>
    </w:p>
    <w:p w14:paraId="25935F70"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Ababneh, O. (2020). The impact of organizational culture archetypes on quality performance and total quality management: The role of employee engagement and individual values. </w:t>
      </w:r>
      <w:r>
        <w:rPr>
          <w:rFonts w:ascii="Arial" w:hAnsi="Arial" w:cs="Arial"/>
          <w:i/>
          <w:iCs/>
          <w:sz w:val="24"/>
          <w:szCs w:val="24"/>
        </w:rPr>
        <w:t>International Journal of Quality &amp; Reliability Management</w:t>
      </w:r>
      <w:r>
        <w:rPr>
          <w:rFonts w:ascii="Arial" w:hAnsi="Arial" w:cs="Arial"/>
          <w:sz w:val="24"/>
          <w:szCs w:val="24"/>
        </w:rPr>
        <w:t xml:space="preserve">. </w:t>
      </w:r>
    </w:p>
    <w:p w14:paraId="21C11412" w14:textId="77777777" w:rsidR="00B7006B" w:rsidRDefault="00B7006B" w:rsidP="00280EF3">
      <w:pPr>
        <w:numPr>
          <w:ilvl w:val="0"/>
          <w:numId w:val="10"/>
        </w:numPr>
        <w:spacing w:line="360" w:lineRule="auto"/>
        <w:jc w:val="both"/>
        <w:rPr>
          <w:rFonts w:ascii="Arial" w:hAnsi="Arial" w:cs="Arial"/>
          <w:sz w:val="24"/>
          <w:szCs w:val="24"/>
        </w:rPr>
      </w:pPr>
      <w:proofErr w:type="spellStart"/>
      <w:r>
        <w:rPr>
          <w:rFonts w:ascii="Arial" w:hAnsi="Arial" w:cs="Arial"/>
          <w:sz w:val="24"/>
          <w:szCs w:val="24"/>
        </w:rPr>
        <w:t>Buhalis</w:t>
      </w:r>
      <w:proofErr w:type="spellEnd"/>
      <w:r>
        <w:rPr>
          <w:rFonts w:ascii="Arial" w:hAnsi="Arial" w:cs="Arial"/>
          <w:sz w:val="24"/>
          <w:szCs w:val="24"/>
        </w:rPr>
        <w:t xml:space="preserve">, D., &amp; Leung, D. (2018). Smart hospitality—Interconnectivity and interoperability towards an ecosystem. </w:t>
      </w:r>
      <w:r>
        <w:rPr>
          <w:rFonts w:ascii="Arial" w:hAnsi="Arial" w:cs="Arial"/>
          <w:i/>
          <w:iCs/>
          <w:sz w:val="24"/>
          <w:szCs w:val="24"/>
        </w:rPr>
        <w:t>International Journal of Hospitality Management</w:t>
      </w:r>
      <w:r>
        <w:rPr>
          <w:rFonts w:ascii="Arial" w:hAnsi="Arial" w:cs="Arial"/>
          <w:sz w:val="24"/>
          <w:szCs w:val="24"/>
        </w:rPr>
        <w:t xml:space="preserve">. </w:t>
      </w:r>
    </w:p>
    <w:p w14:paraId="072BBBDA"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Chiang, C. (2010). Perceived organizational change in the hotel industry: An implication of change schema. </w:t>
      </w:r>
      <w:r>
        <w:rPr>
          <w:rFonts w:ascii="Arial" w:hAnsi="Arial" w:cs="Arial"/>
          <w:i/>
          <w:iCs/>
          <w:sz w:val="24"/>
          <w:szCs w:val="24"/>
        </w:rPr>
        <w:t>International Journal of Hospitality Management, 29</w:t>
      </w:r>
      <w:r>
        <w:rPr>
          <w:rFonts w:ascii="Arial" w:hAnsi="Arial" w:cs="Arial"/>
          <w:sz w:val="24"/>
          <w:szCs w:val="24"/>
        </w:rPr>
        <w:t>(1), 157-167.</w:t>
      </w:r>
    </w:p>
    <w:p w14:paraId="33D24E59"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Chiang, C.-F., &amp; Lin, M.-Y. (2016). Motivating organizational commitment in hotels: The relationship between leaders and employees. </w:t>
      </w:r>
      <w:r>
        <w:rPr>
          <w:rFonts w:ascii="Arial" w:hAnsi="Arial" w:cs="Arial"/>
          <w:i/>
          <w:iCs/>
          <w:sz w:val="24"/>
          <w:szCs w:val="24"/>
        </w:rPr>
        <w:t>Journal of Human Resources in Hospitality &amp; Tourism, 15</w:t>
      </w:r>
      <w:r>
        <w:rPr>
          <w:rFonts w:ascii="Arial" w:hAnsi="Arial" w:cs="Arial"/>
          <w:sz w:val="24"/>
          <w:szCs w:val="24"/>
        </w:rPr>
        <w:t xml:space="preserve">(4), 462-484. </w:t>
      </w:r>
    </w:p>
    <w:p w14:paraId="26146FFF"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Dawson, M., Abbott, J., &amp; Shoemaker, S. (2011). The hospitality culture scale: A measure of organizational culture and personal attributes. </w:t>
      </w:r>
      <w:r>
        <w:rPr>
          <w:rFonts w:ascii="Arial" w:hAnsi="Arial" w:cs="Arial"/>
          <w:i/>
          <w:iCs/>
          <w:sz w:val="24"/>
          <w:szCs w:val="24"/>
        </w:rPr>
        <w:t>International Journal of Hospitality Management</w:t>
      </w:r>
      <w:r>
        <w:rPr>
          <w:rFonts w:ascii="Arial" w:hAnsi="Arial" w:cs="Arial"/>
          <w:sz w:val="24"/>
          <w:szCs w:val="24"/>
        </w:rPr>
        <w:t xml:space="preserve">. </w:t>
      </w:r>
    </w:p>
    <w:p w14:paraId="79193DEF"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Garrido-Moreno, A., García-Morales, V., &amp; Martín-Rojas, R. (2021). Going beyond the curve: Strategic measures to recover hotel activity in times of COVID-19. </w:t>
      </w:r>
      <w:r>
        <w:rPr>
          <w:rFonts w:ascii="Arial" w:hAnsi="Arial" w:cs="Arial"/>
          <w:i/>
          <w:iCs/>
          <w:sz w:val="24"/>
          <w:szCs w:val="24"/>
        </w:rPr>
        <w:t>International Journal of Hospitality Management, 96</w:t>
      </w:r>
      <w:r>
        <w:rPr>
          <w:rFonts w:ascii="Arial" w:hAnsi="Arial" w:cs="Arial"/>
          <w:sz w:val="24"/>
          <w:szCs w:val="24"/>
        </w:rPr>
        <w:t xml:space="preserve">, 102928. </w:t>
      </w:r>
    </w:p>
    <w:p w14:paraId="5869F1C9"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Goldstein, N. J., Cialdini, R. B., &amp; </w:t>
      </w:r>
      <w:proofErr w:type="spellStart"/>
      <w:r>
        <w:rPr>
          <w:rFonts w:ascii="Arial" w:hAnsi="Arial" w:cs="Arial"/>
          <w:sz w:val="24"/>
          <w:szCs w:val="24"/>
        </w:rPr>
        <w:t>Griskevicius</w:t>
      </w:r>
      <w:proofErr w:type="spellEnd"/>
      <w:r>
        <w:rPr>
          <w:rFonts w:ascii="Arial" w:hAnsi="Arial" w:cs="Arial"/>
          <w:sz w:val="24"/>
          <w:szCs w:val="24"/>
        </w:rPr>
        <w:t xml:space="preserve">, V. (2008). A room with a viewpoint: Using social norms to motivate environmental conservation in hotels. </w:t>
      </w:r>
      <w:r>
        <w:rPr>
          <w:rFonts w:ascii="Arial" w:hAnsi="Arial" w:cs="Arial"/>
          <w:i/>
          <w:iCs/>
          <w:sz w:val="24"/>
          <w:szCs w:val="24"/>
        </w:rPr>
        <w:t>Journal of Consumer Research</w:t>
      </w:r>
      <w:r>
        <w:rPr>
          <w:rFonts w:ascii="Arial" w:hAnsi="Arial" w:cs="Arial"/>
          <w:sz w:val="24"/>
          <w:szCs w:val="24"/>
        </w:rPr>
        <w:t xml:space="preserve">. </w:t>
      </w:r>
    </w:p>
    <w:p w14:paraId="736D7E83"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Han, H. (2013). The healthcare hotel: Distinctive attributes for international medical </w:t>
      </w:r>
      <w:proofErr w:type="spellStart"/>
      <w:r>
        <w:rPr>
          <w:rFonts w:ascii="Arial" w:hAnsi="Arial" w:cs="Arial"/>
          <w:sz w:val="24"/>
          <w:szCs w:val="24"/>
        </w:rPr>
        <w:t>travelers</w:t>
      </w:r>
      <w:proofErr w:type="spellEnd"/>
      <w:r>
        <w:rPr>
          <w:rFonts w:ascii="Arial" w:hAnsi="Arial" w:cs="Arial"/>
          <w:sz w:val="24"/>
          <w:szCs w:val="24"/>
        </w:rPr>
        <w:t xml:space="preserve">. </w:t>
      </w:r>
      <w:r>
        <w:rPr>
          <w:rFonts w:ascii="Arial" w:hAnsi="Arial" w:cs="Arial"/>
          <w:i/>
          <w:iCs/>
          <w:sz w:val="24"/>
          <w:szCs w:val="24"/>
        </w:rPr>
        <w:t>Tourism Management, 36</w:t>
      </w:r>
      <w:r>
        <w:rPr>
          <w:rFonts w:ascii="Arial" w:hAnsi="Arial" w:cs="Arial"/>
          <w:sz w:val="24"/>
          <w:szCs w:val="24"/>
        </w:rPr>
        <w:t xml:space="preserve">, 257-268. </w:t>
      </w:r>
    </w:p>
    <w:p w14:paraId="4A9B6744"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Han, H., Hsu, L.-T. (Jane), &amp; Lee, J.-S. (2018). Empirical investigation of the roles of attitudes towards green </w:t>
      </w:r>
      <w:proofErr w:type="spellStart"/>
      <w:r>
        <w:rPr>
          <w:rFonts w:ascii="Arial" w:hAnsi="Arial" w:cs="Arial"/>
          <w:sz w:val="24"/>
          <w:szCs w:val="24"/>
        </w:rPr>
        <w:t>behaviors</w:t>
      </w:r>
      <w:proofErr w:type="spellEnd"/>
      <w:r>
        <w:rPr>
          <w:rFonts w:ascii="Arial" w:hAnsi="Arial" w:cs="Arial"/>
          <w:sz w:val="24"/>
          <w:szCs w:val="24"/>
        </w:rPr>
        <w:t xml:space="preserve">, overall image, gender, and age in hotel customers’ eco-friendly decision-making process. </w:t>
      </w:r>
      <w:r>
        <w:rPr>
          <w:rFonts w:ascii="Arial" w:hAnsi="Arial" w:cs="Arial"/>
          <w:i/>
          <w:iCs/>
          <w:sz w:val="24"/>
          <w:szCs w:val="24"/>
        </w:rPr>
        <w:t>International Journal of Hospitality Management</w:t>
      </w:r>
      <w:r>
        <w:rPr>
          <w:rFonts w:ascii="Arial" w:hAnsi="Arial" w:cs="Arial"/>
          <w:sz w:val="24"/>
          <w:szCs w:val="24"/>
        </w:rPr>
        <w:t xml:space="preserve">. </w:t>
      </w:r>
    </w:p>
    <w:p w14:paraId="46D58953"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IHG. (2022). Annual Report 2022. InterContinental Hotels Group. </w:t>
      </w:r>
    </w:p>
    <w:p w14:paraId="09020508"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lastRenderedPageBreak/>
        <w:t xml:space="preserve">IHG. (2022). Responsible Business Report. InterContinental Hotels Group. </w:t>
      </w:r>
    </w:p>
    <w:p w14:paraId="2D87A926" w14:textId="77777777" w:rsidR="00B7006B" w:rsidRDefault="00B7006B" w:rsidP="00280EF3">
      <w:pPr>
        <w:numPr>
          <w:ilvl w:val="0"/>
          <w:numId w:val="10"/>
        </w:numPr>
        <w:spacing w:line="360" w:lineRule="auto"/>
        <w:jc w:val="both"/>
        <w:rPr>
          <w:rFonts w:ascii="Arial" w:hAnsi="Arial" w:cs="Arial"/>
          <w:sz w:val="24"/>
          <w:szCs w:val="24"/>
        </w:rPr>
      </w:pPr>
      <w:proofErr w:type="spellStart"/>
      <w:r>
        <w:rPr>
          <w:rFonts w:ascii="Arial" w:hAnsi="Arial" w:cs="Arial"/>
          <w:sz w:val="24"/>
          <w:szCs w:val="24"/>
        </w:rPr>
        <w:t>Kasana</w:t>
      </w:r>
      <w:proofErr w:type="spellEnd"/>
      <w:r>
        <w:rPr>
          <w:rFonts w:ascii="Arial" w:hAnsi="Arial" w:cs="Arial"/>
          <w:sz w:val="24"/>
          <w:szCs w:val="24"/>
        </w:rPr>
        <w:t xml:space="preserve">, D., Smithwick, J. B., Dodd, J., </w:t>
      </w:r>
      <w:proofErr w:type="spellStart"/>
      <w:r>
        <w:rPr>
          <w:rFonts w:ascii="Arial" w:hAnsi="Arial" w:cs="Arial"/>
          <w:sz w:val="24"/>
          <w:szCs w:val="24"/>
        </w:rPr>
        <w:t>Cavalline</w:t>
      </w:r>
      <w:proofErr w:type="spellEnd"/>
      <w:r>
        <w:rPr>
          <w:rFonts w:ascii="Arial" w:hAnsi="Arial" w:cs="Arial"/>
          <w:sz w:val="24"/>
          <w:szCs w:val="24"/>
        </w:rPr>
        <w:t xml:space="preserve">, T. L., &amp; Mayo, G. (2023). Successful Change Management Strategies for Unforeseen Events: Impact of COVID-19 on Facility Management. </w:t>
      </w:r>
      <w:r>
        <w:rPr>
          <w:rFonts w:ascii="Arial" w:hAnsi="Arial" w:cs="Arial"/>
          <w:i/>
          <w:iCs/>
          <w:sz w:val="24"/>
          <w:szCs w:val="24"/>
        </w:rPr>
        <w:t>Journal of Management in Engineering</w:t>
      </w:r>
      <w:r>
        <w:rPr>
          <w:rFonts w:ascii="Arial" w:hAnsi="Arial" w:cs="Arial"/>
          <w:sz w:val="24"/>
          <w:szCs w:val="24"/>
        </w:rPr>
        <w:t xml:space="preserve">. </w:t>
      </w:r>
    </w:p>
    <w:p w14:paraId="4870D4D8" w14:textId="77777777" w:rsidR="00B7006B" w:rsidRDefault="00B7006B" w:rsidP="00280EF3">
      <w:pPr>
        <w:numPr>
          <w:ilvl w:val="0"/>
          <w:numId w:val="10"/>
        </w:numPr>
        <w:spacing w:line="360" w:lineRule="auto"/>
        <w:jc w:val="both"/>
        <w:rPr>
          <w:rFonts w:ascii="Arial" w:hAnsi="Arial" w:cs="Arial"/>
          <w:sz w:val="24"/>
          <w:szCs w:val="24"/>
        </w:rPr>
      </w:pPr>
      <w:proofErr w:type="spellStart"/>
      <w:r>
        <w:rPr>
          <w:rFonts w:ascii="Arial" w:hAnsi="Arial" w:cs="Arial"/>
          <w:sz w:val="24"/>
          <w:szCs w:val="24"/>
        </w:rPr>
        <w:t>Ketokivi</w:t>
      </w:r>
      <w:proofErr w:type="spellEnd"/>
      <w:r>
        <w:rPr>
          <w:rFonts w:ascii="Arial" w:hAnsi="Arial" w:cs="Arial"/>
          <w:sz w:val="24"/>
          <w:szCs w:val="24"/>
        </w:rPr>
        <w:t xml:space="preserve">, M., &amp; </w:t>
      </w:r>
      <w:proofErr w:type="spellStart"/>
      <w:r>
        <w:rPr>
          <w:rFonts w:ascii="Arial" w:hAnsi="Arial" w:cs="Arial"/>
          <w:sz w:val="24"/>
          <w:szCs w:val="24"/>
        </w:rPr>
        <w:t>Castañer</w:t>
      </w:r>
      <w:proofErr w:type="spellEnd"/>
      <w:r>
        <w:rPr>
          <w:rFonts w:ascii="Arial" w:hAnsi="Arial" w:cs="Arial"/>
          <w:sz w:val="24"/>
          <w:szCs w:val="24"/>
        </w:rPr>
        <w:t xml:space="preserve">, X. (2004). Strategic Planning as an Integrative Device. </w:t>
      </w:r>
      <w:r>
        <w:rPr>
          <w:rFonts w:ascii="Arial" w:hAnsi="Arial" w:cs="Arial"/>
          <w:i/>
          <w:iCs/>
          <w:sz w:val="24"/>
          <w:szCs w:val="24"/>
        </w:rPr>
        <w:t>Administrative Science Quarterly, 49</w:t>
      </w:r>
      <w:r>
        <w:rPr>
          <w:rFonts w:ascii="Arial" w:hAnsi="Arial" w:cs="Arial"/>
          <w:sz w:val="24"/>
          <w:szCs w:val="24"/>
        </w:rPr>
        <w:t xml:space="preserve">(3), 337-365. </w:t>
      </w:r>
    </w:p>
    <w:p w14:paraId="2BA24B98"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Kim, T., Lee, G., Paek, S., &amp; Lee, S. (2013). Social capital, knowledge sharing and organizational performance: what structural relationship do they have in hotels? </w:t>
      </w:r>
      <w:r>
        <w:rPr>
          <w:rFonts w:ascii="Arial" w:hAnsi="Arial" w:cs="Arial"/>
          <w:i/>
          <w:iCs/>
          <w:sz w:val="24"/>
          <w:szCs w:val="24"/>
        </w:rPr>
        <w:t>International Journal of Contemporary Hospitality Management, 25</w:t>
      </w:r>
      <w:r>
        <w:rPr>
          <w:rFonts w:ascii="Arial" w:hAnsi="Arial" w:cs="Arial"/>
          <w:sz w:val="24"/>
          <w:szCs w:val="24"/>
        </w:rPr>
        <w:t xml:space="preserve">(5), 683-704. </w:t>
      </w:r>
    </w:p>
    <w:p w14:paraId="0C3AD9FE" w14:textId="77777777" w:rsidR="00B7006B" w:rsidRDefault="00B7006B" w:rsidP="00280EF3">
      <w:pPr>
        <w:numPr>
          <w:ilvl w:val="0"/>
          <w:numId w:val="10"/>
        </w:numPr>
        <w:spacing w:line="360" w:lineRule="auto"/>
        <w:jc w:val="both"/>
        <w:rPr>
          <w:rFonts w:ascii="Arial" w:hAnsi="Arial" w:cs="Arial"/>
          <w:sz w:val="24"/>
          <w:szCs w:val="24"/>
        </w:rPr>
      </w:pPr>
      <w:proofErr w:type="spellStart"/>
      <w:r>
        <w:rPr>
          <w:rFonts w:ascii="Arial" w:hAnsi="Arial" w:cs="Arial"/>
          <w:sz w:val="24"/>
          <w:szCs w:val="24"/>
        </w:rPr>
        <w:t>Köseoglu</w:t>
      </w:r>
      <w:proofErr w:type="spellEnd"/>
      <w:r>
        <w:rPr>
          <w:rFonts w:ascii="Arial" w:hAnsi="Arial" w:cs="Arial"/>
          <w:sz w:val="24"/>
          <w:szCs w:val="24"/>
        </w:rPr>
        <w:t xml:space="preserve">, M. A., Altin, M., Chan, E., &amp; </w:t>
      </w:r>
      <w:proofErr w:type="spellStart"/>
      <w:r>
        <w:rPr>
          <w:rFonts w:ascii="Arial" w:hAnsi="Arial" w:cs="Arial"/>
          <w:sz w:val="24"/>
          <w:szCs w:val="24"/>
        </w:rPr>
        <w:t>Aladag</w:t>
      </w:r>
      <w:proofErr w:type="spellEnd"/>
      <w:r>
        <w:rPr>
          <w:rFonts w:ascii="Arial" w:hAnsi="Arial" w:cs="Arial"/>
          <w:sz w:val="24"/>
          <w:szCs w:val="24"/>
        </w:rPr>
        <w:t xml:space="preserve">, O. (2020). What are the key success factors for strategy formulation and implementation? Perspectives of managers in the hotel industry. </w:t>
      </w:r>
      <w:r>
        <w:rPr>
          <w:rFonts w:ascii="Arial" w:hAnsi="Arial" w:cs="Arial"/>
          <w:i/>
          <w:iCs/>
          <w:sz w:val="24"/>
          <w:szCs w:val="24"/>
        </w:rPr>
        <w:t>International Journal of Hospitality Management, 89</w:t>
      </w:r>
      <w:r>
        <w:rPr>
          <w:rFonts w:ascii="Arial" w:hAnsi="Arial" w:cs="Arial"/>
          <w:sz w:val="24"/>
          <w:szCs w:val="24"/>
        </w:rPr>
        <w:t xml:space="preserve">, 102574. </w:t>
      </w:r>
    </w:p>
    <w:p w14:paraId="48C99B99"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Kotter, J. P. (1996). Leading Change. Harvard Business Review Press. </w:t>
      </w:r>
    </w:p>
    <w:p w14:paraId="79630A81"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Li, C., Chang, K.-K., &amp; Ou, S.-M. (2020). The relationship between hotel staff’s organizational justice perception, relationship quality and job performance. </w:t>
      </w:r>
      <w:r>
        <w:rPr>
          <w:rFonts w:ascii="Arial" w:hAnsi="Arial" w:cs="Arial"/>
          <w:i/>
          <w:iCs/>
          <w:sz w:val="24"/>
          <w:szCs w:val="24"/>
        </w:rPr>
        <w:t>Cogent Social Sciences, 6</w:t>
      </w:r>
      <w:r>
        <w:rPr>
          <w:rFonts w:ascii="Arial" w:hAnsi="Arial" w:cs="Arial"/>
          <w:sz w:val="24"/>
          <w:szCs w:val="24"/>
        </w:rPr>
        <w:t xml:space="preserve">(1), 1739953. </w:t>
      </w:r>
    </w:p>
    <w:p w14:paraId="6796F378"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Meira, J., &amp; </w:t>
      </w:r>
      <w:proofErr w:type="spellStart"/>
      <w:r>
        <w:rPr>
          <w:rFonts w:ascii="Arial" w:hAnsi="Arial" w:cs="Arial"/>
          <w:sz w:val="24"/>
          <w:szCs w:val="24"/>
        </w:rPr>
        <w:t>Hancer</w:t>
      </w:r>
      <w:proofErr w:type="spellEnd"/>
      <w:r>
        <w:rPr>
          <w:rFonts w:ascii="Arial" w:hAnsi="Arial" w:cs="Arial"/>
          <w:sz w:val="24"/>
          <w:szCs w:val="24"/>
        </w:rPr>
        <w:t xml:space="preserve">, M. (2021). Using the social exchange theory to explore the employee-organization relationship in the hospitality industry. </w:t>
      </w:r>
      <w:r>
        <w:rPr>
          <w:rFonts w:ascii="Arial" w:hAnsi="Arial" w:cs="Arial"/>
          <w:i/>
          <w:iCs/>
          <w:sz w:val="24"/>
          <w:szCs w:val="24"/>
        </w:rPr>
        <w:t>International Journal of Contemporary Hospitality Management</w:t>
      </w:r>
      <w:r>
        <w:rPr>
          <w:rFonts w:ascii="Arial" w:hAnsi="Arial" w:cs="Arial"/>
          <w:sz w:val="24"/>
          <w:szCs w:val="24"/>
        </w:rPr>
        <w:t xml:space="preserve">. </w:t>
      </w:r>
    </w:p>
    <w:p w14:paraId="25071F22"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Pavlatos, O. (2015). An empirical investigation of strategic management accounting in hotels. </w:t>
      </w:r>
      <w:r>
        <w:rPr>
          <w:rFonts w:ascii="Arial" w:hAnsi="Arial" w:cs="Arial"/>
          <w:i/>
          <w:iCs/>
          <w:sz w:val="24"/>
          <w:szCs w:val="24"/>
        </w:rPr>
        <w:t>International Journal of Contemporary Hospitality Management, 27</w:t>
      </w:r>
      <w:r>
        <w:rPr>
          <w:rFonts w:ascii="Arial" w:hAnsi="Arial" w:cs="Arial"/>
          <w:sz w:val="24"/>
          <w:szCs w:val="24"/>
        </w:rPr>
        <w:t xml:space="preserve">(5), 756-767. </w:t>
      </w:r>
    </w:p>
    <w:p w14:paraId="1D421B58"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Raub, S., &amp; </w:t>
      </w:r>
      <w:proofErr w:type="spellStart"/>
      <w:r>
        <w:rPr>
          <w:rFonts w:ascii="Arial" w:hAnsi="Arial" w:cs="Arial"/>
          <w:sz w:val="24"/>
          <w:szCs w:val="24"/>
        </w:rPr>
        <w:t>Blunschi</w:t>
      </w:r>
      <w:proofErr w:type="spellEnd"/>
      <w:r>
        <w:rPr>
          <w:rFonts w:ascii="Arial" w:hAnsi="Arial" w:cs="Arial"/>
          <w:sz w:val="24"/>
          <w:szCs w:val="24"/>
        </w:rPr>
        <w:t xml:space="preserve">, S. (2014). The Power of Meaningful Work. </w:t>
      </w:r>
      <w:r>
        <w:rPr>
          <w:rFonts w:ascii="Arial" w:hAnsi="Arial" w:cs="Arial"/>
          <w:i/>
          <w:iCs/>
          <w:sz w:val="24"/>
          <w:szCs w:val="24"/>
        </w:rPr>
        <w:t>Cornell Hospitality Quarterly, 55</w:t>
      </w:r>
      <w:r>
        <w:rPr>
          <w:rFonts w:ascii="Arial" w:hAnsi="Arial" w:cs="Arial"/>
          <w:sz w:val="24"/>
          <w:szCs w:val="24"/>
        </w:rPr>
        <w:t xml:space="preserve">(1), 10-18. </w:t>
      </w:r>
    </w:p>
    <w:p w14:paraId="0C1FB718"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Schein, E. H. (2010). Organizational Culture and Leadership. Jossey-Bass.</w:t>
      </w:r>
    </w:p>
    <w:p w14:paraId="37BFC912"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lastRenderedPageBreak/>
        <w:t xml:space="preserve">Shamim, S., Cang, S., &amp; Yu, H. (2017). Supervisory orientation, employee goal orientation, and knowledge management among front line hotel employees. </w:t>
      </w:r>
      <w:r>
        <w:rPr>
          <w:rFonts w:ascii="Arial" w:hAnsi="Arial" w:cs="Arial"/>
          <w:i/>
          <w:iCs/>
          <w:sz w:val="24"/>
          <w:szCs w:val="24"/>
        </w:rPr>
        <w:t>International Journal of Hospitality Management, 62</w:t>
      </w:r>
      <w:r>
        <w:rPr>
          <w:rFonts w:ascii="Arial" w:hAnsi="Arial" w:cs="Arial"/>
          <w:sz w:val="24"/>
          <w:szCs w:val="24"/>
        </w:rPr>
        <w:t xml:space="preserve">, 21-32. </w:t>
      </w:r>
    </w:p>
    <w:p w14:paraId="5391779A"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Shulga, L. (2020). Change Management Communication: The Role of Meaningfulness, Leadership Brand Authenticity, and Gender. </w:t>
      </w:r>
      <w:r>
        <w:rPr>
          <w:rFonts w:ascii="Arial" w:hAnsi="Arial" w:cs="Arial"/>
          <w:i/>
          <w:iCs/>
          <w:sz w:val="24"/>
          <w:szCs w:val="24"/>
        </w:rPr>
        <w:t>Cornell Hospitality Quarterly, 62</w:t>
      </w:r>
      <w:r>
        <w:rPr>
          <w:rFonts w:ascii="Arial" w:hAnsi="Arial" w:cs="Arial"/>
          <w:sz w:val="24"/>
          <w:szCs w:val="24"/>
        </w:rPr>
        <w:t xml:space="preserve">(4), 498-515. </w:t>
      </w:r>
    </w:p>
    <w:p w14:paraId="0EA63467" w14:textId="77777777"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Tang, Y., Qiu, Q., &amp; Wei, Y. (2019). Retaining hotel employees as internal customers: Effect of organizational commitment on attitudinal and </w:t>
      </w:r>
      <w:proofErr w:type="spellStart"/>
      <w:r>
        <w:rPr>
          <w:rFonts w:ascii="Arial" w:hAnsi="Arial" w:cs="Arial"/>
          <w:sz w:val="24"/>
          <w:szCs w:val="24"/>
        </w:rPr>
        <w:t>behavioral</w:t>
      </w:r>
      <w:proofErr w:type="spellEnd"/>
      <w:r>
        <w:rPr>
          <w:rFonts w:ascii="Arial" w:hAnsi="Arial" w:cs="Arial"/>
          <w:sz w:val="24"/>
          <w:szCs w:val="24"/>
        </w:rPr>
        <w:t xml:space="preserve"> loyalty of employees. </w:t>
      </w:r>
      <w:r>
        <w:rPr>
          <w:rFonts w:ascii="Arial" w:hAnsi="Arial" w:cs="Arial"/>
          <w:i/>
          <w:iCs/>
          <w:sz w:val="24"/>
          <w:szCs w:val="24"/>
        </w:rPr>
        <w:t>International Journal of Hospitality Management, 84</w:t>
      </w:r>
      <w:r>
        <w:rPr>
          <w:rFonts w:ascii="Arial" w:hAnsi="Arial" w:cs="Arial"/>
          <w:sz w:val="24"/>
          <w:szCs w:val="24"/>
        </w:rPr>
        <w:t xml:space="preserve">, 102333. </w:t>
      </w:r>
    </w:p>
    <w:p w14:paraId="193504A6" w14:textId="22061E35" w:rsidR="00B7006B" w:rsidRDefault="00B7006B" w:rsidP="00280EF3">
      <w:pPr>
        <w:numPr>
          <w:ilvl w:val="0"/>
          <w:numId w:val="10"/>
        </w:numPr>
        <w:spacing w:line="360" w:lineRule="auto"/>
        <w:jc w:val="both"/>
        <w:rPr>
          <w:rFonts w:ascii="Arial" w:hAnsi="Arial" w:cs="Arial"/>
          <w:sz w:val="24"/>
          <w:szCs w:val="24"/>
        </w:rPr>
      </w:pPr>
      <w:r>
        <w:rPr>
          <w:rFonts w:ascii="Arial" w:hAnsi="Arial" w:cs="Arial"/>
          <w:sz w:val="24"/>
          <w:szCs w:val="24"/>
        </w:rPr>
        <w:t xml:space="preserve">Wu, C.-M., &amp; Chen, T.-J. (2018). Collective psychological capital: Linking shared leadership, organizational commitment, and creativity. </w:t>
      </w:r>
      <w:r>
        <w:rPr>
          <w:rFonts w:ascii="Arial" w:hAnsi="Arial" w:cs="Arial"/>
          <w:i/>
          <w:iCs/>
          <w:sz w:val="24"/>
          <w:szCs w:val="24"/>
        </w:rPr>
        <w:t>International Journal of Hospitality Management, 72</w:t>
      </w:r>
      <w:r>
        <w:rPr>
          <w:rFonts w:ascii="Arial" w:hAnsi="Arial" w:cs="Arial"/>
          <w:sz w:val="24"/>
          <w:szCs w:val="24"/>
        </w:rPr>
        <w:t>, 160-</w:t>
      </w:r>
      <w:proofErr w:type="gramStart"/>
      <w:r>
        <w:rPr>
          <w:rFonts w:ascii="Arial" w:hAnsi="Arial" w:cs="Arial"/>
          <w:sz w:val="24"/>
          <w:szCs w:val="24"/>
        </w:rPr>
        <w:t>170 .</w:t>
      </w:r>
      <w:proofErr w:type="gramEnd"/>
    </w:p>
    <w:p w14:paraId="65856A12" w14:textId="77777777" w:rsidR="007F13A1" w:rsidRDefault="007F13A1" w:rsidP="00280EF3">
      <w:pPr>
        <w:jc w:val="both"/>
      </w:pPr>
    </w:p>
    <w:sectPr w:rsidR="007F1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3A28D6"/>
    <w:multiLevelType w:val="hybridMultilevel"/>
    <w:tmpl w:val="B62ADA42"/>
    <w:lvl w:ilvl="0" w:tplc="15CED476">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 w15:restartNumberingAfterBreak="0">
    <w:nsid w:val="1A5B45FC"/>
    <w:multiLevelType w:val="hybridMultilevel"/>
    <w:tmpl w:val="0AEEA0CA"/>
    <w:lvl w:ilvl="0" w:tplc="FFFFFFFF">
      <w:start w:val="1"/>
      <w:numFmt w:val="bullet"/>
      <w:lvlText w:val=""/>
      <w:lvlJc w:val="left"/>
      <w:pPr>
        <w:ind w:left="1800" w:hanging="360"/>
      </w:pPr>
      <w:rPr>
        <w:rFonts w:ascii="Symbol" w:hAnsi="Symbol" w:hint="default"/>
      </w:rPr>
    </w:lvl>
    <w:lvl w:ilvl="1" w:tplc="15CED476">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1E6D7919"/>
    <w:multiLevelType w:val="hybridMultilevel"/>
    <w:tmpl w:val="1E786854"/>
    <w:lvl w:ilvl="0" w:tplc="BA8861CC">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4336D55"/>
    <w:multiLevelType w:val="hybridMultilevel"/>
    <w:tmpl w:val="3F6C837A"/>
    <w:lvl w:ilvl="0" w:tplc="BA8861CC">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FA50447"/>
    <w:multiLevelType w:val="hybridMultilevel"/>
    <w:tmpl w:val="8384D8EC"/>
    <w:lvl w:ilvl="0" w:tplc="BA8861CC">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EE636E7"/>
    <w:multiLevelType w:val="hybridMultilevel"/>
    <w:tmpl w:val="F62EDC00"/>
    <w:lvl w:ilvl="0" w:tplc="BA8861CC">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1691F9B"/>
    <w:multiLevelType w:val="hybridMultilevel"/>
    <w:tmpl w:val="8B5E31DE"/>
    <w:lvl w:ilvl="0" w:tplc="BA8861CC">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E9549E0"/>
    <w:multiLevelType w:val="hybridMultilevel"/>
    <w:tmpl w:val="D2B893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95112D"/>
    <w:multiLevelType w:val="hybridMultilevel"/>
    <w:tmpl w:val="3D0C48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4B46E14"/>
    <w:multiLevelType w:val="hybridMultilevel"/>
    <w:tmpl w:val="80FE2A64"/>
    <w:lvl w:ilvl="0" w:tplc="15CED476">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0" w15:restartNumberingAfterBreak="0">
    <w:nsid w:val="7D9D36EB"/>
    <w:multiLevelType w:val="hybridMultilevel"/>
    <w:tmpl w:val="0A02493C"/>
    <w:lvl w:ilvl="0" w:tplc="15CED476">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num w:numId="1" w16cid:durableId="2140680358">
    <w:abstractNumId w:val="5"/>
  </w:num>
  <w:num w:numId="2" w16cid:durableId="1402949298">
    <w:abstractNumId w:val="1"/>
  </w:num>
  <w:num w:numId="3" w16cid:durableId="2115977005">
    <w:abstractNumId w:val="6"/>
  </w:num>
  <w:num w:numId="4" w16cid:durableId="1725910329">
    <w:abstractNumId w:val="10"/>
  </w:num>
  <w:num w:numId="5" w16cid:durableId="66807237">
    <w:abstractNumId w:val="4"/>
  </w:num>
  <w:num w:numId="6" w16cid:durableId="1852451690">
    <w:abstractNumId w:val="9"/>
  </w:num>
  <w:num w:numId="7" w16cid:durableId="791365394">
    <w:abstractNumId w:val="2"/>
  </w:num>
  <w:num w:numId="8" w16cid:durableId="2101174497">
    <w:abstractNumId w:val="0"/>
  </w:num>
  <w:num w:numId="9" w16cid:durableId="483665417">
    <w:abstractNumId w:val="3"/>
  </w:num>
  <w:num w:numId="10" w16cid:durableId="62747154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811818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F25"/>
    <w:rsid w:val="00046974"/>
    <w:rsid w:val="00280EF3"/>
    <w:rsid w:val="00420F25"/>
    <w:rsid w:val="007F13A1"/>
    <w:rsid w:val="00815998"/>
    <w:rsid w:val="00822EE7"/>
    <w:rsid w:val="009714D3"/>
    <w:rsid w:val="00B7006B"/>
    <w:rsid w:val="00BE2126"/>
    <w:rsid w:val="00C7677F"/>
    <w:rsid w:val="00C92D8C"/>
    <w:rsid w:val="00DD0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FE005"/>
  <w15:chartTrackingRefBased/>
  <w15:docId w15:val="{63E02EE4-5BC6-4373-8010-A8CDBFBC5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06B"/>
    <w:pPr>
      <w:spacing w:line="254" w:lineRule="auto"/>
    </w:pPr>
    <w:rPr>
      <w:kern w:val="0"/>
    </w:rPr>
  </w:style>
  <w:style w:type="paragraph" w:styleId="Heading1">
    <w:name w:val="heading 1"/>
    <w:basedOn w:val="Normal"/>
    <w:next w:val="Normal"/>
    <w:link w:val="Heading1Char"/>
    <w:uiPriority w:val="9"/>
    <w:qFormat/>
    <w:rsid w:val="00420F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F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F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F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F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F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F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F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F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F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F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F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F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F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F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F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F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F25"/>
    <w:rPr>
      <w:rFonts w:eastAsiaTheme="majorEastAsia" w:cstheme="majorBidi"/>
      <w:color w:val="272727" w:themeColor="text1" w:themeTint="D8"/>
    </w:rPr>
  </w:style>
  <w:style w:type="paragraph" w:styleId="Title">
    <w:name w:val="Title"/>
    <w:basedOn w:val="Normal"/>
    <w:next w:val="Normal"/>
    <w:link w:val="TitleChar"/>
    <w:uiPriority w:val="10"/>
    <w:qFormat/>
    <w:rsid w:val="00420F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F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F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F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F25"/>
    <w:pPr>
      <w:spacing w:before="160"/>
      <w:jc w:val="center"/>
    </w:pPr>
    <w:rPr>
      <w:i/>
      <w:iCs/>
      <w:color w:val="404040" w:themeColor="text1" w:themeTint="BF"/>
    </w:rPr>
  </w:style>
  <w:style w:type="character" w:customStyle="1" w:styleId="QuoteChar">
    <w:name w:val="Quote Char"/>
    <w:basedOn w:val="DefaultParagraphFont"/>
    <w:link w:val="Quote"/>
    <w:uiPriority w:val="29"/>
    <w:rsid w:val="00420F25"/>
    <w:rPr>
      <w:i/>
      <w:iCs/>
      <w:color w:val="404040" w:themeColor="text1" w:themeTint="BF"/>
    </w:rPr>
  </w:style>
  <w:style w:type="paragraph" w:styleId="ListParagraph">
    <w:name w:val="List Paragraph"/>
    <w:basedOn w:val="Normal"/>
    <w:uiPriority w:val="99"/>
    <w:qFormat/>
    <w:rsid w:val="00420F25"/>
    <w:pPr>
      <w:ind w:left="720"/>
      <w:contextualSpacing/>
    </w:pPr>
  </w:style>
  <w:style w:type="character" w:styleId="IntenseEmphasis">
    <w:name w:val="Intense Emphasis"/>
    <w:basedOn w:val="DefaultParagraphFont"/>
    <w:uiPriority w:val="21"/>
    <w:qFormat/>
    <w:rsid w:val="00420F25"/>
    <w:rPr>
      <w:i/>
      <w:iCs/>
      <w:color w:val="0F4761" w:themeColor="accent1" w:themeShade="BF"/>
    </w:rPr>
  </w:style>
  <w:style w:type="paragraph" w:styleId="IntenseQuote">
    <w:name w:val="Intense Quote"/>
    <w:basedOn w:val="Normal"/>
    <w:next w:val="Normal"/>
    <w:link w:val="IntenseQuoteChar"/>
    <w:uiPriority w:val="30"/>
    <w:qFormat/>
    <w:rsid w:val="00420F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F25"/>
    <w:rPr>
      <w:i/>
      <w:iCs/>
      <w:color w:val="0F4761" w:themeColor="accent1" w:themeShade="BF"/>
    </w:rPr>
  </w:style>
  <w:style w:type="character" w:styleId="IntenseReference">
    <w:name w:val="Intense Reference"/>
    <w:basedOn w:val="DefaultParagraphFont"/>
    <w:uiPriority w:val="32"/>
    <w:qFormat/>
    <w:rsid w:val="00420F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7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14</Pages>
  <Words>3318</Words>
  <Characters>18916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5</cp:revision>
  <dcterms:created xsi:type="dcterms:W3CDTF">2024-05-20T16:02:00Z</dcterms:created>
  <dcterms:modified xsi:type="dcterms:W3CDTF">2024-05-31T16:35:00Z</dcterms:modified>
</cp:coreProperties>
</file>