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1D98B7" w14:textId="77777777" w:rsidR="00F8315D" w:rsidRPr="00F8315D" w:rsidRDefault="00085694" w:rsidP="00F8315D">
      <w:pPr>
        <w:jc w:val="center"/>
        <w:rPr>
          <w:rFonts w:cstheme="minorHAnsi"/>
          <w:i/>
          <w:color w:val="1C1917"/>
          <w:sz w:val="40"/>
          <w:szCs w:val="40"/>
          <w:shd w:val="clear" w:color="auto" w:fill="FFFFFF"/>
        </w:rPr>
      </w:pPr>
      <w:r w:rsidRPr="00F8315D">
        <w:rPr>
          <w:rFonts w:cstheme="minorHAnsi"/>
          <w:i/>
          <w:color w:val="1C1917"/>
          <w:sz w:val="40"/>
          <w:szCs w:val="40"/>
          <w:shd w:val="clear" w:color="auto" w:fill="FFFFFF"/>
        </w:rPr>
        <w:t xml:space="preserve">    </w:t>
      </w:r>
      <w:r w:rsidR="00F8315D" w:rsidRPr="00F8315D">
        <w:rPr>
          <w:rFonts w:cstheme="minorHAnsi"/>
          <w:i/>
          <w:color w:val="1C1917"/>
          <w:sz w:val="40"/>
          <w:szCs w:val="40"/>
          <w:shd w:val="clear" w:color="auto" w:fill="FFFFFF"/>
        </w:rPr>
        <w:t>International Financial Management</w:t>
      </w:r>
    </w:p>
    <w:p w14:paraId="46347098" w14:textId="35786BE3" w:rsidR="00085694" w:rsidRDefault="00085694" w:rsidP="006E0957">
      <w:pPr>
        <w:jc w:val="center"/>
        <w:rPr>
          <w:rFonts w:cstheme="minorHAnsi"/>
          <w:i/>
          <w:color w:val="1C1917"/>
          <w:sz w:val="40"/>
          <w:szCs w:val="40"/>
          <w:shd w:val="clear" w:color="auto" w:fill="FFFFFF"/>
        </w:rPr>
      </w:pPr>
      <w:r>
        <w:rPr>
          <w:rFonts w:cstheme="minorHAnsi"/>
          <w:i/>
          <w:color w:val="1C1917"/>
          <w:sz w:val="40"/>
          <w:szCs w:val="40"/>
          <w:shd w:val="clear" w:color="auto" w:fill="FFFFFF"/>
        </w:rPr>
        <w:t xml:space="preserve">                                                                                                                   </w:t>
      </w:r>
    </w:p>
    <w:p w14:paraId="54F7F1D3" w14:textId="77777777" w:rsidR="00784406" w:rsidRDefault="00A73B0D" w:rsidP="00A73B0D">
      <w:pPr>
        <w:rPr>
          <w:rFonts w:cstheme="minorHAnsi"/>
          <w:i/>
          <w:color w:val="1C1917"/>
          <w:sz w:val="40"/>
          <w:szCs w:val="40"/>
          <w:shd w:val="clear" w:color="auto" w:fill="FFFFFF"/>
        </w:rPr>
      </w:pPr>
      <w:r>
        <w:rPr>
          <w:rFonts w:cstheme="minorHAnsi"/>
          <w:i/>
          <w:color w:val="1C1917"/>
          <w:sz w:val="40"/>
          <w:szCs w:val="40"/>
          <w:shd w:val="clear" w:color="auto" w:fill="FFFFFF"/>
        </w:rPr>
        <w:t xml:space="preserve">                                                                                                             </w:t>
      </w:r>
      <w:r w:rsidR="00784406">
        <w:rPr>
          <w:rFonts w:cstheme="minorHAnsi"/>
          <w:i/>
          <w:color w:val="1C1917"/>
          <w:sz w:val="40"/>
          <w:szCs w:val="40"/>
          <w:shd w:val="clear" w:color="auto" w:fill="FFFFFF"/>
        </w:rPr>
        <w:t xml:space="preserve">           </w:t>
      </w:r>
    </w:p>
    <w:p w14:paraId="79D1E8A8" w14:textId="42B399DC" w:rsidR="00CC7727" w:rsidRDefault="00784406" w:rsidP="00A73B0D">
      <w:pPr>
        <w:rPr>
          <w:rFonts w:cstheme="minorHAnsi"/>
          <w:i/>
          <w:color w:val="1C1917"/>
          <w:sz w:val="40"/>
          <w:szCs w:val="40"/>
          <w:shd w:val="clear" w:color="auto" w:fill="FFFFFF"/>
        </w:rPr>
      </w:pPr>
      <w:r>
        <w:rPr>
          <w:rFonts w:cstheme="minorHAnsi"/>
          <w:i/>
          <w:color w:val="1C1917"/>
          <w:sz w:val="40"/>
          <w:szCs w:val="40"/>
          <w:shd w:val="clear" w:color="auto" w:fill="FFFFFF"/>
        </w:rPr>
        <w:t xml:space="preserve">       </w:t>
      </w:r>
      <w:r w:rsidR="00CC7727">
        <w:rPr>
          <w:rFonts w:cstheme="minorHAnsi"/>
          <w:i/>
          <w:color w:val="1C1917"/>
          <w:sz w:val="40"/>
          <w:szCs w:val="40"/>
          <w:shd w:val="clear" w:color="auto" w:fill="FFFFFF"/>
        </w:rPr>
        <w:t xml:space="preserve">      </w:t>
      </w:r>
      <w:r>
        <w:rPr>
          <w:rFonts w:cstheme="minorHAnsi"/>
          <w:i/>
          <w:color w:val="1C1917"/>
          <w:sz w:val="40"/>
          <w:szCs w:val="40"/>
          <w:shd w:val="clear" w:color="auto" w:fill="FFFFFF"/>
        </w:rPr>
        <w:t xml:space="preserve"> </w:t>
      </w:r>
      <w:r w:rsidR="006E0957" w:rsidRPr="006E0957">
        <w:rPr>
          <w:rFonts w:cstheme="minorHAnsi"/>
          <w:i/>
          <w:color w:val="1C1917"/>
          <w:sz w:val="40"/>
          <w:szCs w:val="40"/>
          <w:shd w:val="clear" w:color="auto" w:fill="FFFFFF"/>
        </w:rPr>
        <w:t xml:space="preserve">Currency Risk Management Strategies of </w:t>
      </w:r>
      <w:r w:rsidR="00CC7727">
        <w:rPr>
          <w:rFonts w:cstheme="minorHAnsi"/>
          <w:i/>
          <w:color w:val="1C1917"/>
          <w:sz w:val="40"/>
          <w:szCs w:val="40"/>
          <w:shd w:val="clear" w:color="auto" w:fill="FFFFFF"/>
        </w:rPr>
        <w:t xml:space="preserve">     </w:t>
      </w:r>
    </w:p>
    <w:p w14:paraId="65E0CD8A" w14:textId="21D4329B" w:rsidR="006E0957" w:rsidRDefault="00CC7727" w:rsidP="00A73B0D">
      <w:pPr>
        <w:rPr>
          <w:rFonts w:cstheme="minorHAnsi"/>
          <w:i/>
          <w:color w:val="1C1917"/>
          <w:sz w:val="40"/>
          <w:szCs w:val="40"/>
          <w:shd w:val="clear" w:color="auto" w:fill="FFFFFF"/>
        </w:rPr>
      </w:pPr>
      <w:r>
        <w:rPr>
          <w:rFonts w:cstheme="minorHAnsi"/>
          <w:i/>
          <w:color w:val="1C1917"/>
          <w:sz w:val="40"/>
          <w:szCs w:val="40"/>
          <w:shd w:val="clear" w:color="auto" w:fill="FFFFFF"/>
        </w:rPr>
        <w:t xml:space="preserve">                        </w:t>
      </w:r>
      <w:r w:rsidR="006E0957" w:rsidRPr="006E0957">
        <w:rPr>
          <w:rFonts w:cstheme="minorHAnsi"/>
          <w:i/>
          <w:color w:val="1C1917"/>
          <w:sz w:val="40"/>
          <w:szCs w:val="40"/>
          <w:shd w:val="clear" w:color="auto" w:fill="FFFFFF"/>
        </w:rPr>
        <w:t>Multinational Corporations</w:t>
      </w:r>
    </w:p>
    <w:p w14:paraId="282411A5" w14:textId="77777777" w:rsidR="007D54D2" w:rsidRDefault="007D54D2" w:rsidP="00A73B0D">
      <w:pPr>
        <w:rPr>
          <w:rFonts w:cstheme="minorHAnsi"/>
          <w:i/>
          <w:color w:val="1C1917"/>
          <w:sz w:val="40"/>
          <w:szCs w:val="40"/>
          <w:shd w:val="clear" w:color="auto" w:fill="FFFFFF"/>
        </w:rPr>
      </w:pPr>
    </w:p>
    <w:p w14:paraId="5D87A117" w14:textId="035FA08D" w:rsidR="007D54D2" w:rsidRPr="00065612" w:rsidRDefault="007D54D2" w:rsidP="00A73B0D">
      <w:pPr>
        <w:rPr>
          <w:rFonts w:cstheme="minorHAnsi"/>
          <w:i/>
          <w:color w:val="1C1917"/>
          <w:sz w:val="32"/>
          <w:szCs w:val="32"/>
          <w:shd w:val="clear" w:color="auto" w:fill="FFFFFF"/>
        </w:rPr>
      </w:pPr>
      <w:r w:rsidRPr="00065612">
        <w:rPr>
          <w:rFonts w:cstheme="minorHAnsi"/>
          <w:i/>
          <w:color w:val="1C1917"/>
          <w:sz w:val="32"/>
          <w:szCs w:val="32"/>
          <w:shd w:val="clear" w:color="auto" w:fill="FFFFFF"/>
        </w:rPr>
        <w:t>Lecturer: Zinab</w:t>
      </w:r>
      <w:r w:rsidR="00555EFA" w:rsidRPr="00065612">
        <w:rPr>
          <w:rFonts w:cstheme="minorHAnsi"/>
          <w:i/>
          <w:color w:val="1C1917"/>
          <w:sz w:val="32"/>
          <w:szCs w:val="32"/>
          <w:shd w:val="clear" w:color="auto" w:fill="FFFFFF"/>
        </w:rPr>
        <w:t xml:space="preserve"> Atta</w:t>
      </w:r>
    </w:p>
    <w:p w14:paraId="1B3547AB" w14:textId="7D871473" w:rsidR="00555EFA" w:rsidRPr="00065612" w:rsidRDefault="00555EFA" w:rsidP="00A73B0D">
      <w:pPr>
        <w:rPr>
          <w:rFonts w:cstheme="minorHAnsi"/>
          <w:i/>
          <w:color w:val="1C1917"/>
          <w:sz w:val="32"/>
          <w:szCs w:val="32"/>
          <w:shd w:val="clear" w:color="auto" w:fill="FFFFFF"/>
        </w:rPr>
      </w:pPr>
      <w:r w:rsidRPr="00065612">
        <w:rPr>
          <w:rFonts w:cstheme="minorHAnsi"/>
          <w:i/>
          <w:color w:val="1C1917"/>
          <w:sz w:val="32"/>
          <w:szCs w:val="32"/>
          <w:shd w:val="clear" w:color="auto" w:fill="FFFFFF"/>
        </w:rPr>
        <w:t>Student name: Mihail</w:t>
      </w:r>
      <w:r w:rsidR="00065612" w:rsidRPr="00065612">
        <w:rPr>
          <w:rFonts w:cstheme="minorHAnsi"/>
          <w:i/>
          <w:color w:val="1C1917"/>
          <w:sz w:val="32"/>
          <w:szCs w:val="32"/>
          <w:shd w:val="clear" w:color="auto" w:fill="FFFFFF"/>
        </w:rPr>
        <w:t xml:space="preserve"> Roussev</w:t>
      </w:r>
    </w:p>
    <w:p w14:paraId="28DC19D3" w14:textId="013E29DE" w:rsidR="00065612" w:rsidRPr="00065612" w:rsidRDefault="00065612" w:rsidP="00A73B0D">
      <w:pPr>
        <w:rPr>
          <w:rFonts w:cstheme="minorHAnsi"/>
          <w:i/>
          <w:color w:val="1C1917"/>
          <w:sz w:val="32"/>
          <w:szCs w:val="32"/>
          <w:shd w:val="clear" w:color="auto" w:fill="FFFFFF"/>
        </w:rPr>
      </w:pPr>
      <w:r w:rsidRPr="00065612">
        <w:rPr>
          <w:rFonts w:cstheme="minorHAnsi"/>
          <w:i/>
          <w:color w:val="1C1917"/>
          <w:sz w:val="32"/>
          <w:szCs w:val="32"/>
          <w:shd w:val="clear" w:color="auto" w:fill="FFFFFF"/>
        </w:rPr>
        <w:t>Student number:2115133</w:t>
      </w:r>
    </w:p>
    <w:p w14:paraId="65E0CD8B" w14:textId="77777777" w:rsidR="006E0957" w:rsidRPr="00065612" w:rsidRDefault="006E0957" w:rsidP="006E0957">
      <w:pPr>
        <w:jc w:val="center"/>
        <w:rPr>
          <w:rFonts w:cstheme="minorHAnsi"/>
          <w:i/>
          <w:color w:val="1C1917"/>
          <w:sz w:val="32"/>
          <w:szCs w:val="32"/>
          <w:shd w:val="clear" w:color="auto" w:fill="FFFFFF"/>
        </w:rPr>
      </w:pPr>
    </w:p>
    <w:p w14:paraId="65E0CD8C" w14:textId="77777777" w:rsidR="006E0957" w:rsidRDefault="006E0957" w:rsidP="006E0957">
      <w:pPr>
        <w:rPr>
          <w:rFonts w:ascii="Segoe UI" w:hAnsi="Segoe UI" w:cs="Segoe UI"/>
          <w:color w:val="1C1917"/>
          <w:sz w:val="27"/>
          <w:szCs w:val="27"/>
          <w:shd w:val="clear" w:color="auto" w:fill="FFFFFF"/>
        </w:rPr>
      </w:pPr>
    </w:p>
    <w:p w14:paraId="65E0CD8D" w14:textId="77777777" w:rsidR="006E0957" w:rsidRDefault="006E0957" w:rsidP="006E0957">
      <w:pPr>
        <w:rPr>
          <w:rFonts w:ascii="Segoe UI" w:hAnsi="Segoe UI" w:cs="Segoe UI"/>
          <w:color w:val="1C1917"/>
          <w:sz w:val="27"/>
          <w:szCs w:val="27"/>
          <w:shd w:val="clear" w:color="auto" w:fill="FFFFFF"/>
        </w:rPr>
      </w:pPr>
    </w:p>
    <w:p w14:paraId="65E0CD8E" w14:textId="77777777" w:rsidR="006E0957" w:rsidRDefault="006E0957" w:rsidP="006E0957">
      <w:pPr>
        <w:rPr>
          <w:rFonts w:ascii="Segoe UI" w:hAnsi="Segoe UI" w:cs="Segoe UI"/>
          <w:color w:val="1C1917"/>
          <w:sz w:val="27"/>
          <w:szCs w:val="27"/>
          <w:shd w:val="clear" w:color="auto" w:fill="FFFFFF"/>
        </w:rPr>
      </w:pPr>
    </w:p>
    <w:p w14:paraId="65E0CD8F" w14:textId="77777777" w:rsidR="006E0957" w:rsidRDefault="006E0957" w:rsidP="006E0957">
      <w:pPr>
        <w:rPr>
          <w:rFonts w:ascii="Segoe UI" w:hAnsi="Segoe UI" w:cs="Segoe UI"/>
          <w:color w:val="1C1917"/>
          <w:sz w:val="27"/>
          <w:szCs w:val="27"/>
          <w:shd w:val="clear" w:color="auto" w:fill="FFFFFF"/>
        </w:rPr>
      </w:pPr>
    </w:p>
    <w:p w14:paraId="65E0CD90" w14:textId="77777777" w:rsidR="006E0957" w:rsidRDefault="006E0957" w:rsidP="006E0957">
      <w:pPr>
        <w:rPr>
          <w:rFonts w:ascii="Segoe UI" w:hAnsi="Segoe UI" w:cs="Segoe UI"/>
          <w:color w:val="1C1917"/>
          <w:sz w:val="27"/>
          <w:szCs w:val="27"/>
          <w:shd w:val="clear" w:color="auto" w:fill="FFFFFF"/>
        </w:rPr>
      </w:pPr>
    </w:p>
    <w:p w14:paraId="65E0CD91" w14:textId="77777777" w:rsidR="006E0957" w:rsidRDefault="006E0957" w:rsidP="006E0957">
      <w:pPr>
        <w:rPr>
          <w:rFonts w:ascii="Segoe UI" w:hAnsi="Segoe UI" w:cs="Segoe UI"/>
          <w:color w:val="1C1917"/>
          <w:sz w:val="27"/>
          <w:szCs w:val="27"/>
          <w:shd w:val="clear" w:color="auto" w:fill="FFFFFF"/>
        </w:rPr>
      </w:pPr>
    </w:p>
    <w:p w14:paraId="65E0CD92" w14:textId="77777777" w:rsidR="006E0957" w:rsidRDefault="006E0957" w:rsidP="006E0957">
      <w:pPr>
        <w:rPr>
          <w:rFonts w:ascii="Segoe UI" w:hAnsi="Segoe UI" w:cs="Segoe UI"/>
          <w:color w:val="1C1917"/>
          <w:sz w:val="27"/>
          <w:szCs w:val="27"/>
          <w:shd w:val="clear" w:color="auto" w:fill="FFFFFF"/>
        </w:rPr>
      </w:pPr>
    </w:p>
    <w:p w14:paraId="65E0CD93" w14:textId="77777777" w:rsidR="006E0957" w:rsidRDefault="006E0957" w:rsidP="006E0957">
      <w:pPr>
        <w:rPr>
          <w:rFonts w:ascii="Segoe UI" w:hAnsi="Segoe UI" w:cs="Segoe UI"/>
          <w:color w:val="1C1917"/>
          <w:sz w:val="27"/>
          <w:szCs w:val="27"/>
          <w:shd w:val="clear" w:color="auto" w:fill="FFFFFF"/>
        </w:rPr>
      </w:pPr>
    </w:p>
    <w:p w14:paraId="65E0CD94" w14:textId="77777777" w:rsidR="006E0957" w:rsidRDefault="006E0957" w:rsidP="006E0957">
      <w:pPr>
        <w:rPr>
          <w:rFonts w:ascii="Segoe UI" w:hAnsi="Segoe UI" w:cs="Segoe UI"/>
          <w:color w:val="1C1917"/>
          <w:sz w:val="27"/>
          <w:szCs w:val="27"/>
          <w:shd w:val="clear" w:color="auto" w:fill="FFFFFF"/>
        </w:rPr>
      </w:pPr>
    </w:p>
    <w:p w14:paraId="65E0CD95" w14:textId="77777777" w:rsidR="006E0957" w:rsidRDefault="006E0957" w:rsidP="006E0957">
      <w:pPr>
        <w:rPr>
          <w:rFonts w:ascii="Segoe UI" w:hAnsi="Segoe UI" w:cs="Segoe UI"/>
          <w:color w:val="1C1917"/>
          <w:sz w:val="27"/>
          <w:szCs w:val="27"/>
          <w:shd w:val="clear" w:color="auto" w:fill="FFFFFF"/>
        </w:rPr>
      </w:pPr>
    </w:p>
    <w:p w14:paraId="65E0CD96" w14:textId="77777777" w:rsidR="006E0957" w:rsidRDefault="006E0957" w:rsidP="006E0957">
      <w:pPr>
        <w:rPr>
          <w:rFonts w:ascii="Segoe UI" w:hAnsi="Segoe UI" w:cs="Segoe UI"/>
          <w:color w:val="1C1917"/>
          <w:sz w:val="27"/>
          <w:szCs w:val="27"/>
          <w:shd w:val="clear" w:color="auto" w:fill="FFFFFF"/>
        </w:rPr>
      </w:pPr>
    </w:p>
    <w:p w14:paraId="65E0CD97" w14:textId="77777777" w:rsidR="006E0957" w:rsidRDefault="006E0957" w:rsidP="006E0957">
      <w:pPr>
        <w:rPr>
          <w:rFonts w:ascii="Segoe UI" w:hAnsi="Segoe UI" w:cs="Segoe UI"/>
          <w:color w:val="1C1917"/>
          <w:sz w:val="27"/>
          <w:szCs w:val="27"/>
          <w:shd w:val="clear" w:color="auto" w:fill="FFFFFF"/>
        </w:rPr>
      </w:pPr>
    </w:p>
    <w:p w14:paraId="65E0CD98" w14:textId="77777777" w:rsidR="006E0957" w:rsidRDefault="006E0957" w:rsidP="006E0957">
      <w:pPr>
        <w:rPr>
          <w:rFonts w:ascii="Segoe UI" w:hAnsi="Segoe UI" w:cs="Segoe UI"/>
          <w:color w:val="1C1917"/>
          <w:sz w:val="27"/>
          <w:szCs w:val="27"/>
          <w:shd w:val="clear" w:color="auto" w:fill="FFFFFF"/>
        </w:rPr>
      </w:pPr>
    </w:p>
    <w:p w14:paraId="65E0CD99" w14:textId="77777777" w:rsidR="006E0957" w:rsidRDefault="006E0957" w:rsidP="006E0957">
      <w:pPr>
        <w:rPr>
          <w:rFonts w:ascii="Segoe UI" w:hAnsi="Segoe UI" w:cs="Segoe UI"/>
          <w:color w:val="1C1917"/>
          <w:sz w:val="27"/>
          <w:szCs w:val="27"/>
          <w:shd w:val="clear" w:color="auto" w:fill="FFFFFF"/>
        </w:rPr>
      </w:pPr>
    </w:p>
    <w:p w14:paraId="65E0CD9A" w14:textId="77777777" w:rsidR="006E0957" w:rsidRDefault="006E0957" w:rsidP="006E0957">
      <w:pPr>
        <w:rPr>
          <w:rFonts w:ascii="Segoe UI" w:hAnsi="Segoe UI" w:cs="Segoe UI"/>
          <w:color w:val="1C1917"/>
          <w:sz w:val="27"/>
          <w:szCs w:val="27"/>
          <w:shd w:val="clear" w:color="auto" w:fill="FFFFFF"/>
        </w:rPr>
      </w:pPr>
    </w:p>
    <w:p w14:paraId="65E0CD9B" w14:textId="77777777" w:rsidR="006E0957" w:rsidRDefault="006E0957" w:rsidP="006E0957">
      <w:pPr>
        <w:rPr>
          <w:rFonts w:ascii="Segoe UI" w:hAnsi="Segoe UI" w:cs="Segoe UI"/>
          <w:color w:val="1C1917"/>
          <w:sz w:val="27"/>
          <w:szCs w:val="27"/>
          <w:shd w:val="clear" w:color="auto" w:fill="FFFFFF"/>
        </w:rPr>
      </w:pPr>
    </w:p>
    <w:p w14:paraId="65E0CD9C" w14:textId="77777777" w:rsidR="006E0957" w:rsidRDefault="006E0957" w:rsidP="006E0957">
      <w:pPr>
        <w:rPr>
          <w:rFonts w:ascii="Segoe UI" w:hAnsi="Segoe UI" w:cs="Segoe UI"/>
          <w:color w:val="1C1917"/>
          <w:sz w:val="27"/>
          <w:szCs w:val="27"/>
          <w:shd w:val="clear" w:color="auto" w:fill="FFFFFF"/>
        </w:rPr>
      </w:pPr>
    </w:p>
    <w:p w14:paraId="65E0CD9D" w14:textId="77777777" w:rsidR="006E0957" w:rsidRDefault="006E0957" w:rsidP="006E0957">
      <w:pPr>
        <w:rPr>
          <w:rFonts w:ascii="Segoe UI" w:hAnsi="Segoe UI" w:cs="Segoe UI"/>
          <w:color w:val="1C1917"/>
          <w:sz w:val="27"/>
          <w:szCs w:val="27"/>
          <w:shd w:val="clear" w:color="auto" w:fill="FFFFFF"/>
        </w:rPr>
      </w:pPr>
    </w:p>
    <w:p w14:paraId="65E0CD9E" w14:textId="77777777" w:rsidR="006E0957" w:rsidRDefault="006E0957" w:rsidP="006E0957">
      <w:pPr>
        <w:rPr>
          <w:rFonts w:ascii="Segoe UI" w:hAnsi="Segoe UI" w:cs="Segoe UI"/>
          <w:color w:val="1C1917"/>
          <w:sz w:val="27"/>
          <w:szCs w:val="27"/>
          <w:shd w:val="clear" w:color="auto" w:fill="FFFFFF"/>
        </w:rPr>
      </w:pPr>
    </w:p>
    <w:p w14:paraId="65E0CD9F" w14:textId="77777777" w:rsidR="006E0957" w:rsidRDefault="006E0957" w:rsidP="006E0957">
      <w:pPr>
        <w:rPr>
          <w:rFonts w:ascii="Segoe UI" w:hAnsi="Segoe UI" w:cs="Segoe UI"/>
          <w:color w:val="1C1917"/>
          <w:sz w:val="27"/>
          <w:szCs w:val="27"/>
          <w:shd w:val="clear" w:color="auto" w:fill="FFFFFF"/>
        </w:rPr>
      </w:pPr>
    </w:p>
    <w:p w14:paraId="65E0CDA0" w14:textId="77777777" w:rsidR="006E0957" w:rsidRDefault="006E0957" w:rsidP="006E0957">
      <w:pPr>
        <w:rPr>
          <w:rFonts w:ascii="Segoe UI" w:hAnsi="Segoe UI" w:cs="Segoe UI"/>
          <w:color w:val="1C1917"/>
          <w:sz w:val="27"/>
          <w:szCs w:val="27"/>
          <w:shd w:val="clear" w:color="auto" w:fill="FFFFFF"/>
        </w:rPr>
      </w:pPr>
    </w:p>
    <w:p w14:paraId="65E0CDA1" w14:textId="77777777" w:rsidR="006E0957" w:rsidRDefault="006E0957" w:rsidP="006E0957">
      <w:pPr>
        <w:rPr>
          <w:rFonts w:ascii="Segoe UI" w:hAnsi="Segoe UI" w:cs="Segoe UI"/>
          <w:color w:val="1C1917"/>
          <w:sz w:val="27"/>
          <w:szCs w:val="27"/>
          <w:shd w:val="clear" w:color="auto" w:fill="FFFFFF"/>
        </w:rPr>
      </w:pPr>
    </w:p>
    <w:p w14:paraId="65E0CDA2" w14:textId="77777777" w:rsidR="006E0957" w:rsidRDefault="006E0957" w:rsidP="006E0957">
      <w:pPr>
        <w:rPr>
          <w:rFonts w:ascii="Segoe UI" w:hAnsi="Segoe UI" w:cs="Segoe UI"/>
          <w:color w:val="1C1917"/>
          <w:sz w:val="27"/>
          <w:szCs w:val="27"/>
          <w:shd w:val="clear" w:color="auto" w:fill="FFFFFF"/>
        </w:rPr>
      </w:pPr>
    </w:p>
    <w:p w14:paraId="65E0CDA3" w14:textId="77777777" w:rsidR="006E0957" w:rsidRDefault="006E0957" w:rsidP="006E0957"/>
    <w:sdt>
      <w:sdtPr>
        <w:rPr>
          <w:rFonts w:asciiTheme="minorHAnsi" w:eastAsiaTheme="minorHAnsi" w:hAnsiTheme="minorHAnsi" w:cstheme="minorBidi"/>
          <w:color w:val="auto"/>
          <w:sz w:val="22"/>
          <w:szCs w:val="22"/>
          <w:lang w:val="en-GB"/>
        </w:rPr>
        <w:id w:val="1440799011"/>
        <w:docPartObj>
          <w:docPartGallery w:val="Table of Contents"/>
          <w:docPartUnique/>
        </w:docPartObj>
      </w:sdtPr>
      <w:sdtEndPr>
        <w:rPr>
          <w:b/>
          <w:bCs/>
          <w:noProof/>
        </w:rPr>
      </w:sdtEndPr>
      <w:sdtContent>
        <w:p w14:paraId="65E0CDA4" w14:textId="77777777" w:rsidR="006E0957" w:rsidRDefault="006E0957">
          <w:pPr>
            <w:pStyle w:val="TOCHeading"/>
          </w:pPr>
          <w:r>
            <w:t>Table of Contents</w:t>
          </w:r>
        </w:p>
        <w:p w14:paraId="65E0CDA5" w14:textId="77777777" w:rsidR="006E0957" w:rsidRPr="006E0957" w:rsidRDefault="006E0957" w:rsidP="006E0957">
          <w:pPr>
            <w:rPr>
              <w:lang w:val="en-US"/>
            </w:rPr>
          </w:pPr>
        </w:p>
        <w:p w14:paraId="65E0CDA6" w14:textId="77777777" w:rsidR="006E0957" w:rsidRDefault="006E0957">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153900952" w:history="1">
            <w:r w:rsidRPr="008B2B1C">
              <w:rPr>
                <w:rStyle w:val="Hyperlink"/>
                <w:noProof/>
              </w:rPr>
              <w:t>Introduction</w:t>
            </w:r>
            <w:r>
              <w:rPr>
                <w:noProof/>
                <w:webHidden/>
              </w:rPr>
              <w:tab/>
            </w:r>
            <w:r>
              <w:rPr>
                <w:noProof/>
                <w:webHidden/>
              </w:rPr>
              <w:fldChar w:fldCharType="begin"/>
            </w:r>
            <w:r>
              <w:rPr>
                <w:noProof/>
                <w:webHidden/>
              </w:rPr>
              <w:instrText xml:space="preserve"> PAGEREF _Toc153900952 \h </w:instrText>
            </w:r>
            <w:r>
              <w:rPr>
                <w:noProof/>
                <w:webHidden/>
              </w:rPr>
            </w:r>
            <w:r>
              <w:rPr>
                <w:noProof/>
                <w:webHidden/>
              </w:rPr>
              <w:fldChar w:fldCharType="separate"/>
            </w:r>
            <w:r>
              <w:rPr>
                <w:noProof/>
                <w:webHidden/>
              </w:rPr>
              <w:t>3</w:t>
            </w:r>
            <w:r>
              <w:rPr>
                <w:noProof/>
                <w:webHidden/>
              </w:rPr>
              <w:fldChar w:fldCharType="end"/>
            </w:r>
          </w:hyperlink>
        </w:p>
        <w:p w14:paraId="65E0CDA7" w14:textId="77777777" w:rsidR="006E0957" w:rsidRDefault="00117432">
          <w:pPr>
            <w:pStyle w:val="TOC1"/>
            <w:tabs>
              <w:tab w:val="right" w:leader="dot" w:pos="9016"/>
            </w:tabs>
            <w:rPr>
              <w:noProof/>
            </w:rPr>
          </w:pPr>
          <w:hyperlink w:anchor="_Toc153900953" w:history="1">
            <w:r w:rsidR="006E0957" w:rsidRPr="008B2B1C">
              <w:rPr>
                <w:rStyle w:val="Hyperlink"/>
                <w:noProof/>
              </w:rPr>
              <w:t>External Hedging Methods</w:t>
            </w:r>
            <w:r w:rsidR="006E0957">
              <w:rPr>
                <w:noProof/>
                <w:webHidden/>
              </w:rPr>
              <w:tab/>
            </w:r>
            <w:r w:rsidR="006E0957">
              <w:rPr>
                <w:noProof/>
                <w:webHidden/>
              </w:rPr>
              <w:fldChar w:fldCharType="begin"/>
            </w:r>
            <w:r w:rsidR="006E0957">
              <w:rPr>
                <w:noProof/>
                <w:webHidden/>
              </w:rPr>
              <w:instrText xml:space="preserve"> PAGEREF _Toc153900953 \h </w:instrText>
            </w:r>
            <w:r w:rsidR="006E0957">
              <w:rPr>
                <w:noProof/>
                <w:webHidden/>
              </w:rPr>
            </w:r>
            <w:r w:rsidR="006E0957">
              <w:rPr>
                <w:noProof/>
                <w:webHidden/>
              </w:rPr>
              <w:fldChar w:fldCharType="separate"/>
            </w:r>
            <w:r w:rsidR="006E0957">
              <w:rPr>
                <w:noProof/>
                <w:webHidden/>
              </w:rPr>
              <w:t>4</w:t>
            </w:r>
            <w:r w:rsidR="006E0957">
              <w:rPr>
                <w:noProof/>
                <w:webHidden/>
              </w:rPr>
              <w:fldChar w:fldCharType="end"/>
            </w:r>
          </w:hyperlink>
        </w:p>
        <w:p w14:paraId="65E0CDA8" w14:textId="77777777" w:rsidR="006E0957" w:rsidRDefault="00117432">
          <w:pPr>
            <w:pStyle w:val="TOC1"/>
            <w:tabs>
              <w:tab w:val="right" w:leader="dot" w:pos="9016"/>
            </w:tabs>
            <w:rPr>
              <w:noProof/>
            </w:rPr>
          </w:pPr>
          <w:hyperlink w:anchor="_Toc153900954" w:history="1">
            <w:r w:rsidR="006E0957" w:rsidRPr="008B2B1C">
              <w:rPr>
                <w:rStyle w:val="Hyperlink"/>
                <w:noProof/>
              </w:rPr>
              <w:t>Influences On Currency Risk Strategies</w:t>
            </w:r>
            <w:r w:rsidR="006E0957">
              <w:rPr>
                <w:noProof/>
                <w:webHidden/>
              </w:rPr>
              <w:tab/>
            </w:r>
            <w:r w:rsidR="006E0957">
              <w:rPr>
                <w:noProof/>
                <w:webHidden/>
              </w:rPr>
              <w:fldChar w:fldCharType="begin"/>
            </w:r>
            <w:r w:rsidR="006E0957">
              <w:rPr>
                <w:noProof/>
                <w:webHidden/>
              </w:rPr>
              <w:instrText xml:space="preserve"> PAGEREF _Toc153900954 \h </w:instrText>
            </w:r>
            <w:r w:rsidR="006E0957">
              <w:rPr>
                <w:noProof/>
                <w:webHidden/>
              </w:rPr>
            </w:r>
            <w:r w:rsidR="006E0957">
              <w:rPr>
                <w:noProof/>
                <w:webHidden/>
              </w:rPr>
              <w:fldChar w:fldCharType="separate"/>
            </w:r>
            <w:r w:rsidR="006E0957">
              <w:rPr>
                <w:noProof/>
                <w:webHidden/>
              </w:rPr>
              <w:t>5</w:t>
            </w:r>
            <w:r w:rsidR="006E0957">
              <w:rPr>
                <w:noProof/>
                <w:webHidden/>
              </w:rPr>
              <w:fldChar w:fldCharType="end"/>
            </w:r>
          </w:hyperlink>
        </w:p>
        <w:p w14:paraId="65E0CDA9" w14:textId="77777777" w:rsidR="006E0957" w:rsidRDefault="00117432">
          <w:pPr>
            <w:pStyle w:val="TOC1"/>
            <w:tabs>
              <w:tab w:val="right" w:leader="dot" w:pos="9016"/>
            </w:tabs>
            <w:rPr>
              <w:noProof/>
            </w:rPr>
          </w:pPr>
          <w:hyperlink w:anchor="_Toc153900955" w:history="1">
            <w:r w:rsidR="006E0957" w:rsidRPr="008B2B1C">
              <w:rPr>
                <w:rStyle w:val="Hyperlink"/>
                <w:noProof/>
              </w:rPr>
              <w:t>Evaluation and Conclusion</w:t>
            </w:r>
            <w:r w:rsidR="006E0957">
              <w:rPr>
                <w:noProof/>
                <w:webHidden/>
              </w:rPr>
              <w:tab/>
            </w:r>
            <w:r w:rsidR="006E0957">
              <w:rPr>
                <w:noProof/>
                <w:webHidden/>
              </w:rPr>
              <w:fldChar w:fldCharType="begin"/>
            </w:r>
            <w:r w:rsidR="006E0957">
              <w:rPr>
                <w:noProof/>
                <w:webHidden/>
              </w:rPr>
              <w:instrText xml:space="preserve"> PAGEREF _Toc153900955 \h </w:instrText>
            </w:r>
            <w:r w:rsidR="006E0957">
              <w:rPr>
                <w:noProof/>
                <w:webHidden/>
              </w:rPr>
            </w:r>
            <w:r w:rsidR="006E0957">
              <w:rPr>
                <w:noProof/>
                <w:webHidden/>
              </w:rPr>
              <w:fldChar w:fldCharType="separate"/>
            </w:r>
            <w:r w:rsidR="006E0957">
              <w:rPr>
                <w:noProof/>
                <w:webHidden/>
              </w:rPr>
              <w:t>6</w:t>
            </w:r>
            <w:r w:rsidR="006E0957">
              <w:rPr>
                <w:noProof/>
                <w:webHidden/>
              </w:rPr>
              <w:fldChar w:fldCharType="end"/>
            </w:r>
          </w:hyperlink>
        </w:p>
        <w:p w14:paraId="65E0CDAA" w14:textId="77777777" w:rsidR="006E0957" w:rsidRDefault="00117432">
          <w:pPr>
            <w:pStyle w:val="TOC1"/>
            <w:tabs>
              <w:tab w:val="right" w:leader="dot" w:pos="9016"/>
            </w:tabs>
            <w:rPr>
              <w:noProof/>
            </w:rPr>
          </w:pPr>
          <w:hyperlink w:anchor="_Toc153900956" w:history="1">
            <w:r w:rsidR="006E0957" w:rsidRPr="008B2B1C">
              <w:rPr>
                <w:rStyle w:val="Hyperlink"/>
                <w:noProof/>
              </w:rPr>
              <w:t>References</w:t>
            </w:r>
            <w:r w:rsidR="006E0957">
              <w:rPr>
                <w:noProof/>
                <w:webHidden/>
              </w:rPr>
              <w:tab/>
            </w:r>
            <w:r w:rsidR="006E0957">
              <w:rPr>
                <w:noProof/>
                <w:webHidden/>
              </w:rPr>
              <w:fldChar w:fldCharType="begin"/>
            </w:r>
            <w:r w:rsidR="006E0957">
              <w:rPr>
                <w:noProof/>
                <w:webHidden/>
              </w:rPr>
              <w:instrText xml:space="preserve"> PAGEREF _Toc153900956 \h </w:instrText>
            </w:r>
            <w:r w:rsidR="006E0957">
              <w:rPr>
                <w:noProof/>
                <w:webHidden/>
              </w:rPr>
            </w:r>
            <w:r w:rsidR="006E0957">
              <w:rPr>
                <w:noProof/>
                <w:webHidden/>
              </w:rPr>
              <w:fldChar w:fldCharType="separate"/>
            </w:r>
            <w:r w:rsidR="006E0957">
              <w:rPr>
                <w:noProof/>
                <w:webHidden/>
              </w:rPr>
              <w:t>7</w:t>
            </w:r>
            <w:r w:rsidR="006E0957">
              <w:rPr>
                <w:noProof/>
                <w:webHidden/>
              </w:rPr>
              <w:fldChar w:fldCharType="end"/>
            </w:r>
          </w:hyperlink>
        </w:p>
        <w:p w14:paraId="65E0CDAB" w14:textId="77777777" w:rsidR="006E0957" w:rsidRDefault="006E0957">
          <w:r>
            <w:rPr>
              <w:b/>
              <w:bCs/>
              <w:noProof/>
            </w:rPr>
            <w:fldChar w:fldCharType="end"/>
          </w:r>
        </w:p>
      </w:sdtContent>
    </w:sdt>
    <w:p w14:paraId="65E0CDAC" w14:textId="77777777" w:rsidR="006E0957" w:rsidRDefault="006E0957" w:rsidP="006E0957"/>
    <w:p w14:paraId="65E0CDAD" w14:textId="77777777" w:rsidR="006E0957" w:rsidRDefault="006E0957" w:rsidP="006E0957">
      <w:r>
        <w:br w:type="page"/>
      </w:r>
    </w:p>
    <w:p w14:paraId="65E0CDAE" w14:textId="77777777" w:rsidR="006E0957" w:rsidRDefault="006E0957" w:rsidP="006E0957">
      <w:pPr>
        <w:pStyle w:val="Heading1"/>
      </w:pPr>
      <w:bookmarkStart w:id="0" w:name="_Toc153900952"/>
      <w:r>
        <w:lastRenderedPageBreak/>
        <w:t>Introduction</w:t>
      </w:r>
      <w:bookmarkEnd w:id="0"/>
    </w:p>
    <w:p w14:paraId="65E0CDAF" w14:textId="77777777" w:rsidR="006E0957" w:rsidRPr="006E0957" w:rsidRDefault="006E0957" w:rsidP="006E0957"/>
    <w:p w14:paraId="65E0CDB0" w14:textId="77777777" w:rsidR="006E0957" w:rsidRDefault="006E0957" w:rsidP="006E0957">
      <w:pPr>
        <w:spacing w:line="360" w:lineRule="auto"/>
        <w:jc w:val="both"/>
      </w:pPr>
      <w:r>
        <w:t>Multinational corporations (MNCs) operating across multiple countries can be exposed to foreign exchange risk from currency fluctuations. Foreign exchange risk refers to unexpected shifts in exchange rate movements that affect cash flows and market values of MNCs (Madura, 2022). Effective management of such risk is vital to MNCs to maintain stable profitability and sustainability; various strategies have been employed by multinationals depending on factors like degree of risk exposure, time horizon and cost considerations as well as internal or external hedging techniques which are frequently employed by these MNCs.</w:t>
      </w:r>
    </w:p>
    <w:p w14:paraId="65E0CDB1" w14:textId="77777777" w:rsidR="006E0957" w:rsidRDefault="006E0957" w:rsidP="006E0957">
      <w:pPr>
        <w:spacing w:line="360" w:lineRule="auto"/>
        <w:jc w:val="both"/>
      </w:pPr>
      <w:r>
        <w:t>Internal methods rely on operational changes within the firm and aim to balance cash inflows and outflows per currency in order to form "natural hedges" (Eiteman et al, 2016). This approach is appropriate for risks over long time frames. External methods use financial instruments available on currency markets and are ideal for short-term exposures. When selecting methods based on transaction, translation, or economic risk (Peng &amp; Meyer, 2022), which method would best fit. Transaction risk refers to fluctuations in currency that could impact future contractual transactions, while translation risk encompasses consolidation of foreign subsidiaries' financial statements (Madura, 2022). Economic risk consists of variations in firm value resulting from fluctuations in exchange rate fluctuations that affect competitive positioning (Eiteman et al, 2017). Multinational corporations' currency risk management strategies may also be affected by factors like geopolitics, global financial crises and innovations in financial instruments.</w:t>
      </w:r>
    </w:p>
    <w:p w14:paraId="65E0CDB2" w14:textId="77777777" w:rsidR="006E0957" w:rsidRDefault="006E0957" w:rsidP="006E0957">
      <w:pPr>
        <w:spacing w:line="360" w:lineRule="auto"/>
        <w:jc w:val="both"/>
      </w:pPr>
      <w:r>
        <w:t>Internal Hedging Techniques One popular internal method is currency diversification of debt, where multinational corporations denominate borrowings in multiple currencies related to assets or future cash flows in those currencies (Eiteman et al, 2016). This creates natural protection against currency fluctuations. UK-based HSBC issues tier-2 bonds denominated in Renminbi to fund mainland China operations, providing natural hedge benefits against Sterling depreciation (Reuters, 2022). Furthermore, leading assets in local currencies has natural hedge benefits (Peng &amp; Meyer, 2017). For US firms, lending against local currencies protects interest income against depreciating against the dollar - though to achieve such leads requires changes to policies and operations to align currencies of major revenues and costs.</w:t>
      </w:r>
    </w:p>
    <w:p w14:paraId="65E0CDB3" w14:textId="77777777" w:rsidR="006E0957" w:rsidRDefault="006E0957" w:rsidP="006E0957">
      <w:pPr>
        <w:spacing w:line="360" w:lineRule="auto"/>
        <w:jc w:val="both"/>
      </w:pPr>
      <w:r>
        <w:t xml:space="preserve">Other internal methods for mitigating currency risks may include revising purchase contracts, pricing strategies and production locations. Contract terms can specify payments index to production costs or set prices in stronger currencies like dollar or euro (Shapiro 2022); pricing strategies may transfer risks through currency adjustment factors to customers; moving production locations with currency </w:t>
      </w:r>
      <w:r>
        <w:lastRenderedPageBreak/>
        <w:t>advantages offers long-term solutions but incurs considerable costs; while shifting production across locations often entails significant costs but is effective long-term solutions; according to Peng and Meyer (2017) internal measures alone are ineffective at mitigating short-term cash flow risks from currency swings, so external market instruments must be implemented as short term solutions (Peng &amp; Meyer 2017).</w:t>
      </w:r>
    </w:p>
    <w:p w14:paraId="65E0CDB4" w14:textId="77777777" w:rsidR="006E0957" w:rsidRDefault="006E0957" w:rsidP="006E0957">
      <w:pPr>
        <w:pStyle w:val="Heading1"/>
        <w:spacing w:line="360" w:lineRule="auto"/>
        <w:jc w:val="both"/>
      </w:pPr>
      <w:bookmarkStart w:id="1" w:name="_Toc153900953"/>
      <w:r>
        <w:t>External Hedging Methods</w:t>
      </w:r>
      <w:bookmarkEnd w:id="1"/>
    </w:p>
    <w:p w14:paraId="65E0CDB5" w14:textId="77777777" w:rsidR="006E0957" w:rsidRPr="006E0957" w:rsidRDefault="006E0957" w:rsidP="006E0957">
      <w:pPr>
        <w:spacing w:line="360" w:lineRule="auto"/>
        <w:jc w:val="both"/>
      </w:pPr>
    </w:p>
    <w:p w14:paraId="65E0CDB6" w14:textId="77777777" w:rsidR="006E0957" w:rsidRDefault="006E0957" w:rsidP="006E0957">
      <w:pPr>
        <w:spacing w:line="360" w:lineRule="auto"/>
        <w:jc w:val="both"/>
      </w:pPr>
      <w:r>
        <w:t>External hedging transfers risks to third parties using derivative products like forwards, futures, swaps and options (Eiteman et al, 2016) in order to provide contractual protection from adverse rate movements. Forward contracts, the most fundamental type of hedge, can help manage transaction exposures (Madura, 2022). For instance, Airbus' $18 billion order backlog poses Euro-Dollar transaction risk through potential value erosion upon delivery if Euro weakens. Forward contracts offered by banks provide protection until plane orders have been delivered, while currency swaps offer future rate fixes while exchanging principal amounts, unlike forwards contracts which remain the same throughout. Swaps provide protection from both transaction and translation risk by protecting cash flows and asset values in different currencies (Eiteman et al, 2017). Multinational corporations (such as Apple) with international debt can use currency swaps to exchange dollar principal payments and interest payments with banks for alternative cash flow currencies that align better with cash flow projections (Eiteman et al, 2017).</w:t>
      </w:r>
    </w:p>
    <w:p w14:paraId="65E0CDB7" w14:textId="77777777" w:rsidR="006E0957" w:rsidRDefault="006E0957" w:rsidP="006E0957">
      <w:pPr>
        <w:spacing w:line="360" w:lineRule="auto"/>
        <w:jc w:val="both"/>
      </w:pPr>
      <w:r>
        <w:t>Futures contracts are exchange-traded forwards offering standardised short-term protection, making them suitable for frequent transactions (Shapiro, 2022). Options contracts provide the right, but not obligation, to purchase or sell currencies at predetermined rates, enabling upside gains if rates change positively while capping losses (Madura &amp; Walsh, 2022). Options hedge economic risk by protecting against potential downside currency effects while offering upside gains should foreign earnings increase due to uptick rate changes - usually 25% with forwards, 10% with currency swaps and remaining via options (Peng &amp; Meyer 2017); complex MNCs typically hedge up to 65% of their exposures with forwards; average MNCs use forwards 33% forwards 10% through currency swaps before using options as per Peng &amp; Meyer 2017 while large complex MNCs use all three strategies at once!</w:t>
      </w:r>
    </w:p>
    <w:p w14:paraId="65E0CDB8" w14:textId="77777777" w:rsidR="006E0957" w:rsidRDefault="006E0957" w:rsidP="006E0957">
      <w:pPr>
        <w:spacing w:line="360" w:lineRule="auto"/>
        <w:jc w:val="both"/>
      </w:pPr>
      <w:r>
        <w:t xml:space="preserve">Hedging transactions are executed mainly via banks that earn fees and bid-ask spreads in exchange for providing these services, offsetting client risk via interbank trades or their own multi-currency asset-liability positions (Eichengreen et al, 2022). Because derivatives don't eliminate risk but instead </w:t>
      </w:r>
      <w:r>
        <w:lastRenderedPageBreak/>
        <w:t>transfer it partly back to banks again, counterparty credibility should always be considered when selecting hedgers; overhedging certain exposures while leaving others unprotected can have serious repercussions (Madura 2022); firms should therefore choose hedgers who best align strategies with revenue exposures.</w:t>
      </w:r>
    </w:p>
    <w:p w14:paraId="65E0CDB9" w14:textId="77777777" w:rsidR="006E0957" w:rsidRDefault="006E0957" w:rsidP="006E0957">
      <w:pPr>
        <w:pStyle w:val="Heading1"/>
        <w:spacing w:line="360" w:lineRule="auto"/>
        <w:jc w:val="both"/>
      </w:pPr>
      <w:bookmarkStart w:id="2" w:name="_Toc153900954"/>
      <w:r>
        <w:t>Influences On Currency Risk Strategies</w:t>
      </w:r>
      <w:bookmarkEnd w:id="2"/>
    </w:p>
    <w:p w14:paraId="65E0CDBA" w14:textId="77777777" w:rsidR="006E0957" w:rsidRPr="006E0957" w:rsidRDefault="006E0957" w:rsidP="006E0957">
      <w:pPr>
        <w:spacing w:line="360" w:lineRule="auto"/>
        <w:jc w:val="both"/>
      </w:pPr>
    </w:p>
    <w:p w14:paraId="65E0CDBB" w14:textId="77777777" w:rsidR="006E0957" w:rsidRDefault="006E0957" w:rsidP="006E0957">
      <w:pPr>
        <w:spacing w:line="360" w:lineRule="auto"/>
        <w:jc w:val="both"/>
      </w:pPr>
      <w:r>
        <w:t>Currency risk strategies develop over time as financial and economic events influence exchange rate dynamics. The Plaza Accord of 1985 led to sharp appreciation in Yen values, prompting Japanese MNCs to aggressively hedge dollar incomes to minimize losses (Bekx, 1998). When currency collapsed by 40% during 1997 Asian Crisis in Korea, Korean firms used forward contracts to hedge foreign debt payments (Park et al, 2002). Rising emerging market currencies versus G7 ones is prompting multinational corporations (MNCs) to denominate exports in currencies like Renminbi. Bitcoin usage globally has also encouraged some MNCs to explore cryptocurrency-denominated transactions to mitigate exposure from fluctuating fiat currency (Peng &amp; Meyer, 2022).</w:t>
      </w:r>
    </w:p>
    <w:p w14:paraId="65E0CDBC" w14:textId="77777777" w:rsidR="006E0957" w:rsidRDefault="006E0957" w:rsidP="006E0957">
      <w:pPr>
        <w:spacing w:line="360" w:lineRule="auto"/>
        <w:jc w:val="both"/>
      </w:pPr>
      <w:r>
        <w:t>Financial engineering advances drive constant innovation that aid MNC risk management. Derivative markets now facilitate hedging of translation risk using quanto forwards and dual currency products that offer payouts linked to secondary currencies without actual exposure allowing parent firms to hedge offshore subsidiaries' values without actually incurring exposure (Horcher, 2021). Complex structured products help manage multiple currency exposures simultaneously while increased capital market sophistication has allowed wider adoption of currency risk hedging globally despite smaller firms still facing limited product knowledge or counterparty access issues (Horcher, 2021).</w:t>
      </w:r>
    </w:p>
    <w:p w14:paraId="65E0CDBD" w14:textId="77777777" w:rsidR="006E0957" w:rsidRDefault="006E0957" w:rsidP="006E0957">
      <w:pPr>
        <w:spacing w:line="360" w:lineRule="auto"/>
        <w:jc w:val="both"/>
      </w:pPr>
      <w:r>
        <w:t>Regulations have an influence on MNCs currency risk strategies, as evidenced by European Market Infrastructure Regulation (EMIR), which increased reporting requirements for Irish and European firms using hedges. With more stringent compliance costs for smaller firms using hedges resulting from stricter rules (Drew, 2022), tighter regulations also sometimes limit banks' capacity to offset currency risks - so MNCs should keep regulatory aspects in mind when developing their currency risk strategies.</w:t>
      </w:r>
    </w:p>
    <w:p w14:paraId="65E0CDBE" w14:textId="77777777" w:rsidR="006E0957" w:rsidRDefault="006E0957" w:rsidP="006E0957">
      <w:pPr>
        <w:spacing w:line="360" w:lineRule="auto"/>
        <w:jc w:val="both"/>
      </w:pPr>
      <w:r>
        <w:t>Economic factors, including trade competitiveness, growth rates and inflation differentials significantly impact exchange rate dynamics and currency risk. Interest rate changes can further heighten volatility; hence firms adapt hedging strategies accordingly through regular exposure revaluations; during times of crises currency swings necessitate additional hedging activity (Eiteman et al, 2016). Overall myriad financial, economic and regulatory influences play an essential part in shaping multinationals' currency risk management and hedging strategies.</w:t>
      </w:r>
    </w:p>
    <w:p w14:paraId="65E0CDBF" w14:textId="77777777" w:rsidR="006E0957" w:rsidRDefault="006E0957" w:rsidP="006E0957">
      <w:pPr>
        <w:spacing w:line="360" w:lineRule="auto"/>
        <w:jc w:val="both"/>
      </w:pPr>
      <w:r>
        <w:lastRenderedPageBreak/>
        <w:t>MNCs' currency risk management strategies are heavily influenced by operational hedging opportunities arising from technological innovations. Many firms now employ Enterprise Resource Planning (ERP) systems and Treasury Workstations to centrally track, monitor, and analyze global currency positions (Bodnar et al, 2022). These systems aggregate real-time cash flows, receivables, payables and debt across regions for visibility into emerging risks across an enterprise. ERPs enable rapid responses through scenario planning and strategic decision support services for executing hedges more quickly. Financial technologies are revolutionizing risk analysis and execution across global locations, with 24/7 risk analysis available through straight-through processing (Dohring 2008). Algorithmic systems automatically implement hedges when exposures exceed preset limits (Dohring 2008).</w:t>
      </w:r>
    </w:p>
    <w:p w14:paraId="65E0CDC0" w14:textId="77777777" w:rsidR="006E0957" w:rsidRDefault="006E0957" w:rsidP="006E0957">
      <w:pPr>
        <w:spacing w:line="360" w:lineRule="auto"/>
        <w:jc w:val="both"/>
      </w:pPr>
      <w:r>
        <w:t>Further, global value chains with their increased outsourcing of production and back office functions to overseas locations has provided additional natural hedging avenues (UNCTAD, 2022). MNCs can efficiently hedge risks across currencies by strategically placing activities across borders. Shared service centers that consolidate IT to accounting tasks into specific geographic hubs can reduce currency requirements while at the same time helping balance risks (Heimes &amp; Bauer, 2022). As supply chains expand across currencies, structured solutions like rolling cash flow hedges and average rate options become essential in managing long-term exposures. Customized derivative cocktails tailored specifically for each revenue stream have also become common (Dohring 2008).</w:t>
      </w:r>
    </w:p>
    <w:p w14:paraId="65E0CDC1" w14:textId="77777777" w:rsidR="006E0957" w:rsidRDefault="006E0957" w:rsidP="006E0957">
      <w:pPr>
        <w:spacing w:line="360" w:lineRule="auto"/>
        <w:jc w:val="both"/>
      </w:pPr>
      <w:r>
        <w:t>Geopolitical events like sanctions, wars and new free trade partnerships can have significant ramifications on currency markets and require multinational corporations to adjust their hedging strategies accordingly (IMF, 2022). Notably, China's rise globally necessitates increasing strategic importance of Renminbi in cross-border trade and finance (Liao &amp; McDowell 2022). MNCs therefore invest more in forecasting capabilities using econometric modeling or machine learning for intelligent insights to better predict currency impacts on cash flows (Bodnar et al 2022).</w:t>
      </w:r>
    </w:p>
    <w:p w14:paraId="65E0CDC2" w14:textId="77777777" w:rsidR="006E0957" w:rsidRDefault="006E0957" w:rsidP="006E0957">
      <w:pPr>
        <w:spacing w:line="360" w:lineRule="auto"/>
        <w:jc w:val="both"/>
      </w:pPr>
    </w:p>
    <w:p w14:paraId="65E0CDC3" w14:textId="77777777" w:rsidR="006E0957" w:rsidRDefault="006E0957" w:rsidP="006E0957">
      <w:pPr>
        <w:pStyle w:val="Heading1"/>
        <w:spacing w:line="360" w:lineRule="auto"/>
        <w:jc w:val="both"/>
      </w:pPr>
      <w:bookmarkStart w:id="3" w:name="_Toc153900955"/>
      <w:r>
        <w:t>Evaluation and Conclusion</w:t>
      </w:r>
      <w:bookmarkEnd w:id="3"/>
    </w:p>
    <w:p w14:paraId="65E0CDC4" w14:textId="77777777" w:rsidR="006E0957" w:rsidRPr="006E0957" w:rsidRDefault="006E0957" w:rsidP="006E0957">
      <w:pPr>
        <w:spacing w:line="360" w:lineRule="auto"/>
        <w:jc w:val="both"/>
      </w:pPr>
    </w:p>
    <w:p w14:paraId="65E0CDC5" w14:textId="77777777" w:rsidR="006E0957" w:rsidRDefault="006E0957" w:rsidP="006E0957">
      <w:pPr>
        <w:spacing w:line="360" w:lineRule="auto"/>
        <w:jc w:val="both"/>
      </w:pPr>
      <w:r>
        <w:t xml:space="preserve">Multinational corporations employ various strategies encompassing internal operational adjustments as well as external financial instruments in order to manage their foreign exchange exposures based on current conditions and risk horizons. Internal methods offer natural long-term hedges against currency swings; however, they may not provide sufficient short-term cash flow protection against currency volatility. External derivatives like forwards, futures, swaps and options provide contractual </w:t>
      </w:r>
      <w:r>
        <w:lastRenderedPageBreak/>
        <w:t>safeguards against transaction and translation risks. Banks offer banks facilitate such hedging but also introduce counterparty risks; therefore, sound governance frameworks must be in place when working with them. When engaging banks for MNCs it is wise to combine internal balancing with selective hedging tailored towards revenue streams rather than randomly overhedging. Furthermore, they must systematically review currency risk and hedging strategies as exchange rates change with respect to financial innovations, economic factors and regulatory reforms globally.</w:t>
      </w:r>
    </w:p>
    <w:p w14:paraId="65E0CDC6" w14:textId="77777777" w:rsidR="006E0957" w:rsidRDefault="006E0957" w:rsidP="006E0957"/>
    <w:p w14:paraId="65E0CDC7" w14:textId="77777777" w:rsidR="006E0957" w:rsidRDefault="006E0957" w:rsidP="006E0957">
      <w:pPr>
        <w:pStyle w:val="Heading1"/>
      </w:pPr>
      <w:bookmarkStart w:id="4" w:name="_Toc153900956"/>
      <w:r>
        <w:t>References</w:t>
      </w:r>
      <w:bookmarkEnd w:id="4"/>
    </w:p>
    <w:p w14:paraId="65E0CDC8" w14:textId="77777777" w:rsidR="006E0957" w:rsidRPr="006E0957" w:rsidRDefault="006E0957" w:rsidP="006E0957"/>
    <w:p w14:paraId="65E0CDC9" w14:textId="77777777" w:rsidR="006E0957" w:rsidRPr="006E0957" w:rsidRDefault="006E0957" w:rsidP="006E0957">
      <w:r>
        <w:t xml:space="preserve"> </w:t>
      </w:r>
      <w:r w:rsidRPr="006E0957">
        <w:t>Bekx, P., 1998. The Implications of the Japanese Currency Crisis for Japanese Multinational Corporations. Pacific Economic Review, 3(3), pp.345-358.</w:t>
      </w:r>
    </w:p>
    <w:p w14:paraId="65E0CDCA" w14:textId="77777777" w:rsidR="006E0957" w:rsidRPr="006E0957" w:rsidRDefault="006E0957" w:rsidP="006E0957">
      <w:r w:rsidRPr="006E0957">
        <w:t>Bodnar, G.M., Hayt, G.S. and Marston, R.C., 2022. Wharton on Managing Foreign Exchange Risk. John Wiley &amp; Sons.</w:t>
      </w:r>
    </w:p>
    <w:p w14:paraId="65E0CDCB" w14:textId="77777777" w:rsidR="006E0957" w:rsidRPr="006E0957" w:rsidRDefault="006E0957" w:rsidP="006E0957">
      <w:r w:rsidRPr="006E0957">
        <w:t>Döhring, B., 2008. Hedging and invoicing strategies to reduce exchange rate exposure: a euro-area perspective. Economic papers, 299.</w:t>
      </w:r>
    </w:p>
    <w:p w14:paraId="65E0CDCC" w14:textId="77777777" w:rsidR="006E0957" w:rsidRPr="006E0957" w:rsidRDefault="006E0957" w:rsidP="006E0957">
      <w:r w:rsidRPr="006E0957">
        <w:t>Eichengreen, B., Lafarguette, R. and Mehl, A., 2022. After(shock) the Bell: Currency Markets and International Finance After Covid-19. IMF Economic Review, 70(1), pp.25-65.</w:t>
      </w:r>
    </w:p>
    <w:p w14:paraId="65E0CDCD" w14:textId="77777777" w:rsidR="006E0957" w:rsidRPr="006E0957" w:rsidRDefault="006E0957" w:rsidP="006E0957">
      <w:r w:rsidRPr="006E0957">
        <w:t>Eiteman, D.K., Stonehill, A.I. and Moffett, M.H., 2023. Multinational Business Finance. 16th ed. Pearson.</w:t>
      </w:r>
    </w:p>
    <w:p w14:paraId="65E0CDCE" w14:textId="77777777" w:rsidR="006E0957" w:rsidRPr="006E0957" w:rsidRDefault="006E0957" w:rsidP="006E0957">
      <w:r w:rsidRPr="006E0957">
        <w:t>Heimes, R. and Bauer, M., 2022. Strategic management of global outsourcing in the age of intelligent technologies: toward a research agenda. Review of Managerial Science, pp.1-40.</w:t>
      </w:r>
    </w:p>
    <w:p w14:paraId="65E0CDCF" w14:textId="77777777" w:rsidR="006E0957" w:rsidRPr="006E0957" w:rsidRDefault="006E0957" w:rsidP="006E0957">
      <w:r w:rsidRPr="006E0957">
        <w:t>Horcher, K.A., 2021. Managing global interest rate risk with derivatives. Wiley Finance Series. John Wiley &amp; Sons.</w:t>
      </w:r>
    </w:p>
    <w:p w14:paraId="65E0CDD0" w14:textId="77777777" w:rsidR="006E0957" w:rsidRPr="006E0957" w:rsidRDefault="006E0957" w:rsidP="006E0957">
      <w:r w:rsidRPr="006E0957">
        <w:t>Liao, G. and McDowell, D., 2022. Redback rising: China's bilateral swap agreements and renminbi internationalization. Review of International Political Economy, 29(3), pp.747-772.</w:t>
      </w:r>
    </w:p>
    <w:p w14:paraId="65E0CDD1" w14:textId="77777777" w:rsidR="006E0957" w:rsidRPr="006E0957" w:rsidRDefault="006E0957" w:rsidP="006E0957">
      <w:r w:rsidRPr="006E0957">
        <w:t>Madura, J. and Walsh, C., 2022. Managerial Finance: A Valuation Approach. Business Expert Press.</w:t>
      </w:r>
    </w:p>
    <w:p w14:paraId="65E0CDD2" w14:textId="77777777" w:rsidR="006E0957" w:rsidRPr="006E0957" w:rsidRDefault="006E0957" w:rsidP="006E0957">
      <w:r w:rsidRPr="006E0957">
        <w:t>Park, Y.S., Lee, J.Y. and Rhee, S.G., 2002. The measurement of foreign exchange rate exposure in the presence of foreign currency monetary assets and the fallacy of forward market hedge ratios. Journal of Applied Business Research, 18(2).</w:t>
      </w:r>
    </w:p>
    <w:p w14:paraId="65E0CDD3" w14:textId="77777777" w:rsidR="006E0957" w:rsidRPr="006E0957" w:rsidRDefault="006E0957" w:rsidP="006E0957">
      <w:r w:rsidRPr="006E0957">
        <w:t>Peng, M.W. and Meyer, K.E., 2022. International business. Cengage Learning.</w:t>
      </w:r>
    </w:p>
    <w:p w14:paraId="65E0CDD4" w14:textId="77777777" w:rsidR="006E0957" w:rsidRPr="006E0957" w:rsidRDefault="006E0957" w:rsidP="006E0957">
      <w:r w:rsidRPr="006E0957">
        <w:t>Shapiro, A.C., 2022. Multinational financial management. John Wiley &amp; Sons.</w:t>
      </w:r>
    </w:p>
    <w:p w14:paraId="65E0CDD5" w14:textId="77777777" w:rsidR="006E0957" w:rsidRPr="006E0957" w:rsidRDefault="006E0957" w:rsidP="006E0957">
      <w:r w:rsidRPr="006E0957">
        <w:t>UNCTAD, 2022. World Investment Report 2022: International tax reforms and sustainable investment. UN Publications.</w:t>
      </w:r>
    </w:p>
    <w:p w14:paraId="65E0CDD6" w14:textId="77777777" w:rsidR="006E0957" w:rsidRPr="006E0957" w:rsidRDefault="006E0957" w:rsidP="006E0957"/>
    <w:sectPr w:rsidR="006E0957" w:rsidRPr="006E095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957"/>
    <w:rsid w:val="00065612"/>
    <w:rsid w:val="00085694"/>
    <w:rsid w:val="00117432"/>
    <w:rsid w:val="00293EDE"/>
    <w:rsid w:val="004C2DB3"/>
    <w:rsid w:val="00555EFA"/>
    <w:rsid w:val="006E0957"/>
    <w:rsid w:val="00707676"/>
    <w:rsid w:val="00784406"/>
    <w:rsid w:val="007D54D2"/>
    <w:rsid w:val="00A73B0D"/>
    <w:rsid w:val="00CC7727"/>
    <w:rsid w:val="00F831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E0CD8A"/>
  <w15:chartTrackingRefBased/>
  <w15:docId w15:val="{64975832-38D2-4C97-A167-9DB29FE034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095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0957"/>
    <w:rPr>
      <w:color w:val="0563C1" w:themeColor="hyperlink"/>
      <w:u w:val="single"/>
    </w:rPr>
  </w:style>
  <w:style w:type="character" w:customStyle="1" w:styleId="Heading1Char">
    <w:name w:val="Heading 1 Char"/>
    <w:basedOn w:val="DefaultParagraphFont"/>
    <w:link w:val="Heading1"/>
    <w:uiPriority w:val="9"/>
    <w:rsid w:val="006E095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6E0957"/>
    <w:pPr>
      <w:outlineLvl w:val="9"/>
    </w:pPr>
    <w:rPr>
      <w:lang w:val="en-US"/>
    </w:rPr>
  </w:style>
  <w:style w:type="paragraph" w:styleId="TOC1">
    <w:name w:val="toc 1"/>
    <w:basedOn w:val="Normal"/>
    <w:next w:val="Normal"/>
    <w:autoRedefine/>
    <w:uiPriority w:val="39"/>
    <w:unhideWhenUsed/>
    <w:rsid w:val="006E095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83865">
      <w:bodyDiv w:val="1"/>
      <w:marLeft w:val="0"/>
      <w:marRight w:val="0"/>
      <w:marTop w:val="0"/>
      <w:marBottom w:val="0"/>
      <w:divBdr>
        <w:top w:val="none" w:sz="0" w:space="0" w:color="auto"/>
        <w:left w:val="none" w:sz="0" w:space="0" w:color="auto"/>
        <w:bottom w:val="none" w:sz="0" w:space="0" w:color="auto"/>
        <w:right w:val="none" w:sz="0" w:space="0" w:color="auto"/>
      </w:divBdr>
    </w:div>
    <w:div w:id="543255358">
      <w:bodyDiv w:val="1"/>
      <w:marLeft w:val="0"/>
      <w:marRight w:val="0"/>
      <w:marTop w:val="0"/>
      <w:marBottom w:val="0"/>
      <w:divBdr>
        <w:top w:val="none" w:sz="0" w:space="0" w:color="auto"/>
        <w:left w:val="none" w:sz="0" w:space="0" w:color="auto"/>
        <w:bottom w:val="none" w:sz="0" w:space="0" w:color="auto"/>
        <w:right w:val="none" w:sz="0" w:space="0" w:color="auto"/>
      </w:divBdr>
    </w:div>
    <w:div w:id="617873423">
      <w:bodyDiv w:val="1"/>
      <w:marLeft w:val="0"/>
      <w:marRight w:val="0"/>
      <w:marTop w:val="0"/>
      <w:marBottom w:val="0"/>
      <w:divBdr>
        <w:top w:val="none" w:sz="0" w:space="0" w:color="auto"/>
        <w:left w:val="none" w:sz="0" w:space="0" w:color="auto"/>
        <w:bottom w:val="none" w:sz="0" w:space="0" w:color="auto"/>
        <w:right w:val="none" w:sz="0" w:space="0" w:color="auto"/>
      </w:divBdr>
    </w:div>
    <w:div w:id="677316083">
      <w:bodyDiv w:val="1"/>
      <w:marLeft w:val="0"/>
      <w:marRight w:val="0"/>
      <w:marTop w:val="0"/>
      <w:marBottom w:val="0"/>
      <w:divBdr>
        <w:top w:val="none" w:sz="0" w:space="0" w:color="auto"/>
        <w:left w:val="none" w:sz="0" w:space="0" w:color="auto"/>
        <w:bottom w:val="none" w:sz="0" w:space="0" w:color="auto"/>
        <w:right w:val="none" w:sz="0" w:space="0" w:color="auto"/>
      </w:divBdr>
    </w:div>
    <w:div w:id="1631934389">
      <w:bodyDiv w:val="1"/>
      <w:marLeft w:val="0"/>
      <w:marRight w:val="0"/>
      <w:marTop w:val="0"/>
      <w:marBottom w:val="0"/>
      <w:divBdr>
        <w:top w:val="none" w:sz="0" w:space="0" w:color="auto"/>
        <w:left w:val="none" w:sz="0" w:space="0" w:color="auto"/>
        <w:bottom w:val="none" w:sz="0" w:space="0" w:color="auto"/>
        <w:right w:val="none" w:sz="0" w:space="0" w:color="auto"/>
      </w:divBdr>
    </w:div>
    <w:div w:id="1648317312">
      <w:bodyDiv w:val="1"/>
      <w:marLeft w:val="0"/>
      <w:marRight w:val="0"/>
      <w:marTop w:val="0"/>
      <w:marBottom w:val="0"/>
      <w:divBdr>
        <w:top w:val="none" w:sz="0" w:space="0" w:color="auto"/>
        <w:left w:val="none" w:sz="0" w:space="0" w:color="auto"/>
        <w:bottom w:val="none" w:sz="0" w:space="0" w:color="auto"/>
        <w:right w:val="none" w:sz="0" w:space="0" w:color="auto"/>
      </w:divBdr>
    </w:div>
    <w:div w:id="1701777836">
      <w:bodyDiv w:val="1"/>
      <w:marLeft w:val="0"/>
      <w:marRight w:val="0"/>
      <w:marTop w:val="0"/>
      <w:marBottom w:val="0"/>
      <w:divBdr>
        <w:top w:val="none" w:sz="0" w:space="0" w:color="auto"/>
        <w:left w:val="none" w:sz="0" w:space="0" w:color="auto"/>
        <w:bottom w:val="none" w:sz="0" w:space="0" w:color="auto"/>
        <w:right w:val="none" w:sz="0" w:space="0" w:color="auto"/>
      </w:divBdr>
    </w:div>
    <w:div w:id="1821578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2DC46A-7756-494E-8126-E938250BE9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7</Pages>
  <Words>1884</Words>
  <Characters>12019</Characters>
  <Application>Microsoft Office Word</Application>
  <DocSecurity>0</DocSecurity>
  <Lines>206</Lines>
  <Paragraphs>45</Paragraphs>
  <ScaleCrop>false</ScaleCrop>
  <Company/>
  <LinksUpToDate>false</LinksUpToDate>
  <CharactersWithSpaces>14142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Golden Boy</dc:creator>
  <cp:keywords/>
  <dc:description/>
  <cp:lastModifiedBy>Mihail Roussev</cp:lastModifiedBy>
  <cp:revision>12</cp:revision>
  <dcterms:created xsi:type="dcterms:W3CDTF">2023-12-21T21:04:00Z</dcterms:created>
  <dcterms:modified xsi:type="dcterms:W3CDTF">2023-12-22T18:27:00Z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c252086b5714012ada27870ba65067f2817a5a8d5d813f2aa8777d60240596b5</vt:lpwstr>
  </property>
</Properties>
</file>