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AFFA9" w14:textId="77777777" w:rsidR="00B06860" w:rsidRDefault="00A84676">
      <w:pPr>
        <w:shd w:val="clear" w:color="auto" w:fill="FFFFFF"/>
        <w:spacing w:after="180" w:line="480" w:lineRule="auto"/>
        <w:contextualSpacing w:val="0"/>
        <w:rPr>
          <w:sz w:val="24"/>
          <w:szCs w:val="24"/>
          <w:u w:val="single"/>
        </w:rPr>
      </w:pPr>
      <w:r>
        <w:rPr>
          <w:sz w:val="24"/>
          <w:szCs w:val="24"/>
          <w:u w:val="single"/>
        </w:rPr>
        <w:t>Analysis of the power struggle between the characters of Pentheus and Dionysus within the play of The Bacchae by Euripides</w:t>
      </w:r>
    </w:p>
    <w:p w14:paraId="00CEC659" w14:textId="77777777" w:rsidR="00B06860" w:rsidRDefault="00B06860">
      <w:pPr>
        <w:shd w:val="clear" w:color="auto" w:fill="FFFFFF"/>
        <w:spacing w:after="180" w:line="480" w:lineRule="auto"/>
        <w:contextualSpacing w:val="0"/>
        <w:rPr>
          <w:sz w:val="24"/>
          <w:szCs w:val="24"/>
        </w:rPr>
      </w:pPr>
    </w:p>
    <w:p w14:paraId="179BF08B" w14:textId="77777777" w:rsidR="00B06860" w:rsidRDefault="00A84676">
      <w:pPr>
        <w:shd w:val="clear" w:color="auto" w:fill="FFFFFF"/>
        <w:spacing w:after="180" w:line="480" w:lineRule="auto"/>
        <w:contextualSpacing w:val="0"/>
        <w:rPr>
          <w:sz w:val="24"/>
          <w:szCs w:val="24"/>
        </w:rPr>
      </w:pPr>
      <w:r>
        <w:rPr>
          <w:sz w:val="24"/>
          <w:szCs w:val="24"/>
        </w:rPr>
        <w:t xml:space="preserve">Abstract-  </w:t>
      </w:r>
    </w:p>
    <w:p w14:paraId="5467BE6A" w14:textId="1AE23173" w:rsidR="00B06860" w:rsidRDefault="00A84676">
      <w:pPr>
        <w:shd w:val="clear" w:color="auto" w:fill="FFFFFF"/>
        <w:spacing w:after="180" w:line="480" w:lineRule="auto"/>
        <w:contextualSpacing w:val="0"/>
        <w:rPr>
          <w:sz w:val="24"/>
          <w:szCs w:val="24"/>
        </w:rPr>
      </w:pPr>
      <w:r w:rsidRPr="00A84676">
        <w:rPr>
          <w:sz w:val="24"/>
          <w:szCs w:val="24"/>
        </w:rPr>
        <w:t xml:space="preserve">For this essay I </w:t>
      </w:r>
      <w:proofErr w:type="gramStart"/>
      <w:r w:rsidRPr="00A84676">
        <w:rPr>
          <w:sz w:val="24"/>
          <w:szCs w:val="24"/>
        </w:rPr>
        <w:t>will  examine</w:t>
      </w:r>
      <w:proofErr w:type="gramEnd"/>
      <w:r w:rsidRPr="00A84676">
        <w:rPr>
          <w:sz w:val="24"/>
          <w:szCs w:val="24"/>
        </w:rPr>
        <w:t xml:space="preserve"> and </w:t>
      </w:r>
      <w:proofErr w:type="spellStart"/>
      <w:r w:rsidRPr="00A84676">
        <w:rPr>
          <w:sz w:val="24"/>
          <w:szCs w:val="24"/>
        </w:rPr>
        <w:t>analyse</w:t>
      </w:r>
      <w:proofErr w:type="spellEnd"/>
      <w:r w:rsidRPr="00A84676">
        <w:rPr>
          <w:sz w:val="24"/>
          <w:szCs w:val="24"/>
        </w:rPr>
        <w:t xml:space="preserve"> the power struggle between the characters of</w:t>
      </w:r>
      <w:r>
        <w:rPr>
          <w:sz w:val="24"/>
          <w:szCs w:val="24"/>
        </w:rPr>
        <w:t xml:space="preserve"> Pentheus and Dionysus within Euripides’ play the Bacchae. I am planning to </w:t>
      </w:r>
      <w:proofErr w:type="gramStart"/>
      <w:r>
        <w:rPr>
          <w:sz w:val="24"/>
          <w:szCs w:val="24"/>
        </w:rPr>
        <w:t>look into</w:t>
      </w:r>
      <w:proofErr w:type="gramEnd"/>
      <w:r>
        <w:rPr>
          <w:sz w:val="24"/>
          <w:szCs w:val="24"/>
        </w:rPr>
        <w:t xml:space="preserve"> how Pentheus gradually loses his power throughout the course of the play whereas Di</w:t>
      </w:r>
      <w:r>
        <w:rPr>
          <w:sz w:val="24"/>
          <w:szCs w:val="24"/>
        </w:rPr>
        <w:t>onysus seems to become more powerful to the audience during the course of the pla</w:t>
      </w:r>
      <w:r w:rsidR="00F46C3C">
        <w:rPr>
          <w:sz w:val="24"/>
          <w:szCs w:val="24"/>
        </w:rPr>
        <w:t>y</w:t>
      </w:r>
      <w:r>
        <w:rPr>
          <w:sz w:val="24"/>
          <w:szCs w:val="24"/>
        </w:rPr>
        <w:t>.</w:t>
      </w:r>
      <w:r w:rsidRPr="00A84676">
        <w:rPr>
          <w:sz w:val="24"/>
          <w:szCs w:val="24"/>
        </w:rPr>
        <w:t xml:space="preserve"> L</w:t>
      </w:r>
      <w:r w:rsidRPr="00A84676">
        <w:rPr>
          <w:sz w:val="24"/>
          <w:szCs w:val="24"/>
        </w:rPr>
        <w:t>ooking</w:t>
      </w:r>
      <w:r>
        <w:rPr>
          <w:sz w:val="24"/>
          <w:szCs w:val="24"/>
        </w:rPr>
        <w:t xml:space="preserve"> into a variety of commentaries such as such as Seaford (2001), Esposito (1998) and </w:t>
      </w:r>
      <w:proofErr w:type="spellStart"/>
      <w:r>
        <w:rPr>
          <w:sz w:val="24"/>
          <w:szCs w:val="24"/>
        </w:rPr>
        <w:t>Dodds</w:t>
      </w:r>
      <w:proofErr w:type="spellEnd"/>
      <w:r>
        <w:rPr>
          <w:sz w:val="24"/>
          <w:szCs w:val="24"/>
        </w:rPr>
        <w:t xml:space="preserve"> (1994)</w:t>
      </w:r>
      <w:r>
        <w:rPr>
          <w:color w:val="FF0000"/>
          <w:sz w:val="24"/>
          <w:szCs w:val="24"/>
        </w:rPr>
        <w:t>,</w:t>
      </w:r>
      <w:r>
        <w:rPr>
          <w:sz w:val="24"/>
          <w:szCs w:val="24"/>
        </w:rPr>
        <w:t xml:space="preserve"> I will be able to </w:t>
      </w:r>
      <w:proofErr w:type="spellStart"/>
      <w:r>
        <w:rPr>
          <w:sz w:val="24"/>
          <w:szCs w:val="24"/>
        </w:rPr>
        <w:t>analyse</w:t>
      </w:r>
      <w:proofErr w:type="spellEnd"/>
      <w:r>
        <w:rPr>
          <w:sz w:val="24"/>
          <w:szCs w:val="24"/>
        </w:rPr>
        <w:t xml:space="preserve"> the play in greater detail</w:t>
      </w:r>
      <w:bookmarkStart w:id="0" w:name="_GoBack"/>
      <w:bookmarkEnd w:id="0"/>
      <w:r>
        <w:rPr>
          <w:sz w:val="24"/>
          <w:szCs w:val="24"/>
        </w:rPr>
        <w:t xml:space="preserve">. I am also </w:t>
      </w:r>
      <w:r>
        <w:rPr>
          <w:sz w:val="24"/>
          <w:szCs w:val="24"/>
        </w:rPr>
        <w:t xml:space="preserve">interested in looking further into the use of </w:t>
      </w:r>
      <w:proofErr w:type="spellStart"/>
      <w:r>
        <w:rPr>
          <w:sz w:val="24"/>
          <w:szCs w:val="24"/>
        </w:rPr>
        <w:t>Metatheatre</w:t>
      </w:r>
      <w:proofErr w:type="spellEnd"/>
      <w:r>
        <w:rPr>
          <w:sz w:val="24"/>
          <w:szCs w:val="24"/>
        </w:rPr>
        <w:t xml:space="preserve"> in the play when Pentheus wishes to watch the Maenads without </w:t>
      </w:r>
      <w:proofErr w:type="gramStart"/>
      <w:r>
        <w:rPr>
          <w:sz w:val="24"/>
          <w:szCs w:val="24"/>
        </w:rPr>
        <w:t>being seen as</w:t>
      </w:r>
      <w:proofErr w:type="gramEnd"/>
      <w:r>
        <w:rPr>
          <w:sz w:val="24"/>
          <w:szCs w:val="24"/>
        </w:rPr>
        <w:t xml:space="preserve"> explored by Barrett (1988). In addition</w:t>
      </w:r>
      <w:r>
        <w:rPr>
          <w:color w:val="FF0000"/>
          <w:sz w:val="24"/>
          <w:szCs w:val="24"/>
        </w:rPr>
        <w:t>,</w:t>
      </w:r>
      <w:r>
        <w:rPr>
          <w:sz w:val="24"/>
          <w:szCs w:val="24"/>
        </w:rPr>
        <w:t xml:space="preserve"> I shall be discussing the way in which Pentheus’ death has been interpreted by sch</w:t>
      </w:r>
      <w:r>
        <w:rPr>
          <w:sz w:val="24"/>
          <w:szCs w:val="24"/>
        </w:rPr>
        <w:t xml:space="preserve">olars such as Foley (1985) and </w:t>
      </w:r>
      <w:proofErr w:type="spellStart"/>
      <w:r>
        <w:rPr>
          <w:sz w:val="24"/>
          <w:szCs w:val="24"/>
        </w:rPr>
        <w:t>Seidensticker</w:t>
      </w:r>
      <w:proofErr w:type="spellEnd"/>
      <w:r>
        <w:rPr>
          <w:sz w:val="24"/>
          <w:szCs w:val="24"/>
        </w:rPr>
        <w:t xml:space="preserve"> (1979) as being </w:t>
      </w:r>
      <w:proofErr w:type="gramStart"/>
      <w:r>
        <w:rPr>
          <w:sz w:val="24"/>
          <w:szCs w:val="24"/>
        </w:rPr>
        <w:t>similar to</w:t>
      </w:r>
      <w:proofErr w:type="gramEnd"/>
      <w:r>
        <w:rPr>
          <w:sz w:val="24"/>
          <w:szCs w:val="24"/>
        </w:rPr>
        <w:t xml:space="preserve"> an animal sacrifice because of the ritual elements involved such as leading the victim in procession. </w:t>
      </w:r>
    </w:p>
    <w:p w14:paraId="2B00DD83" w14:textId="77777777" w:rsidR="00B06860" w:rsidRDefault="00B06860">
      <w:pPr>
        <w:shd w:val="clear" w:color="auto" w:fill="FFFFFF"/>
        <w:spacing w:after="180" w:line="480" w:lineRule="auto"/>
        <w:contextualSpacing w:val="0"/>
        <w:rPr>
          <w:sz w:val="24"/>
          <w:szCs w:val="24"/>
        </w:rPr>
      </w:pPr>
    </w:p>
    <w:p w14:paraId="5B3EA316" w14:textId="77777777" w:rsidR="00B06860" w:rsidRDefault="00A84676">
      <w:pPr>
        <w:shd w:val="clear" w:color="auto" w:fill="FFFFFF"/>
        <w:spacing w:after="180" w:line="480" w:lineRule="auto"/>
        <w:contextualSpacing w:val="0"/>
        <w:rPr>
          <w:sz w:val="24"/>
          <w:szCs w:val="24"/>
        </w:rPr>
      </w:pPr>
      <w:r>
        <w:rPr>
          <w:sz w:val="24"/>
          <w:szCs w:val="24"/>
        </w:rPr>
        <w:t xml:space="preserve">Draft- </w:t>
      </w:r>
    </w:p>
    <w:p w14:paraId="0D035B30" w14:textId="77777777" w:rsidR="00B06860" w:rsidRDefault="00A84676">
      <w:pPr>
        <w:shd w:val="clear" w:color="auto" w:fill="FFFFFF"/>
        <w:spacing w:after="180" w:line="480" w:lineRule="auto"/>
        <w:contextualSpacing w:val="0"/>
        <w:rPr>
          <w:sz w:val="24"/>
          <w:szCs w:val="24"/>
        </w:rPr>
      </w:pPr>
      <w:r>
        <w:rPr>
          <w:sz w:val="24"/>
          <w:szCs w:val="24"/>
          <w:u w:val="single"/>
        </w:rPr>
        <w:t>Introduction</w:t>
      </w:r>
      <w:r>
        <w:rPr>
          <w:sz w:val="24"/>
          <w:szCs w:val="24"/>
        </w:rPr>
        <w:t xml:space="preserve">  </w:t>
      </w:r>
    </w:p>
    <w:p w14:paraId="54CDEBE5" w14:textId="77777777" w:rsidR="00B06860" w:rsidRDefault="00A84676">
      <w:pPr>
        <w:shd w:val="clear" w:color="auto" w:fill="FFFFFF"/>
        <w:spacing w:after="180" w:line="480" w:lineRule="auto"/>
        <w:contextualSpacing w:val="0"/>
        <w:rPr>
          <w:sz w:val="24"/>
          <w:szCs w:val="24"/>
        </w:rPr>
      </w:pPr>
      <w:r>
        <w:rPr>
          <w:sz w:val="24"/>
          <w:szCs w:val="24"/>
        </w:rPr>
        <w:lastRenderedPageBreak/>
        <w:t xml:space="preserve">Using Pippin Burnett (1970) and Foley (1980) </w:t>
      </w:r>
      <w:proofErr w:type="spellStart"/>
      <w:r>
        <w:rPr>
          <w:sz w:val="24"/>
          <w:szCs w:val="24"/>
        </w:rPr>
        <w:t>analyse</w:t>
      </w:r>
      <w:proofErr w:type="spellEnd"/>
      <w:r>
        <w:rPr>
          <w:sz w:val="24"/>
          <w:szCs w:val="24"/>
        </w:rPr>
        <w:t xml:space="preserve"> the </w:t>
      </w:r>
      <w:r>
        <w:rPr>
          <w:sz w:val="24"/>
          <w:szCs w:val="24"/>
        </w:rPr>
        <w:t>power struggle between Pentheus and Dionysus. By comparing Pentheus at the start of the play as a powerful king to the end where he is a disembodied corpse.</w:t>
      </w:r>
    </w:p>
    <w:p w14:paraId="7ADF9784" w14:textId="77777777" w:rsidR="00B06860" w:rsidRDefault="00B06860">
      <w:pPr>
        <w:shd w:val="clear" w:color="auto" w:fill="FFFFFF"/>
        <w:spacing w:after="180" w:line="480" w:lineRule="auto"/>
        <w:contextualSpacing w:val="0"/>
        <w:rPr>
          <w:sz w:val="24"/>
          <w:szCs w:val="24"/>
        </w:rPr>
      </w:pPr>
    </w:p>
    <w:p w14:paraId="6EC48F4C" w14:textId="77777777" w:rsidR="00B06860" w:rsidRDefault="00A84676">
      <w:pPr>
        <w:shd w:val="clear" w:color="auto" w:fill="FFFFFF"/>
        <w:spacing w:after="180" w:line="480" w:lineRule="auto"/>
        <w:contextualSpacing w:val="0"/>
        <w:rPr>
          <w:sz w:val="24"/>
          <w:szCs w:val="24"/>
          <w:u w:val="single"/>
        </w:rPr>
      </w:pPr>
      <w:r>
        <w:rPr>
          <w:sz w:val="24"/>
          <w:szCs w:val="24"/>
          <w:u w:val="single"/>
        </w:rPr>
        <w:t>Section 1</w:t>
      </w:r>
    </w:p>
    <w:p w14:paraId="05BA49A1" w14:textId="77777777" w:rsidR="00B06860" w:rsidRDefault="00A84676">
      <w:pPr>
        <w:shd w:val="clear" w:color="auto" w:fill="FFFFFF"/>
        <w:spacing w:after="180" w:line="480" w:lineRule="auto"/>
        <w:contextualSpacing w:val="0"/>
        <w:rPr>
          <w:sz w:val="24"/>
          <w:szCs w:val="24"/>
        </w:rPr>
      </w:pPr>
      <w:r>
        <w:rPr>
          <w:sz w:val="24"/>
          <w:szCs w:val="24"/>
        </w:rPr>
        <w:t>At the beginning of the play Pentheus seems to have more power than Dionysus. This is be</w:t>
      </w:r>
      <w:r>
        <w:rPr>
          <w:sz w:val="24"/>
          <w:szCs w:val="24"/>
        </w:rPr>
        <w:t xml:space="preserve">cause Pentheus </w:t>
      </w:r>
      <w:proofErr w:type="gramStart"/>
      <w:r>
        <w:rPr>
          <w:sz w:val="24"/>
          <w:szCs w:val="24"/>
        </w:rPr>
        <w:t>is able to</w:t>
      </w:r>
      <w:proofErr w:type="gramEnd"/>
      <w:r>
        <w:rPr>
          <w:sz w:val="24"/>
          <w:szCs w:val="24"/>
        </w:rPr>
        <w:t xml:space="preserve"> imprison and capture the Maenads. But the Maenads are set free by Dionysus which shows that even though it may seem that Pentheus has more power at the beginning of the play, Dionysus is </w:t>
      </w:r>
      <w:proofErr w:type="gramStart"/>
      <w:r>
        <w:rPr>
          <w:sz w:val="24"/>
          <w:szCs w:val="24"/>
        </w:rPr>
        <w:t>actually more</w:t>
      </w:r>
      <w:proofErr w:type="gramEnd"/>
      <w:r>
        <w:rPr>
          <w:sz w:val="24"/>
          <w:szCs w:val="24"/>
        </w:rPr>
        <w:t xml:space="preserve"> powerful. </w:t>
      </w:r>
    </w:p>
    <w:p w14:paraId="56A75212" w14:textId="77777777" w:rsidR="00B06860" w:rsidRDefault="00A84676">
      <w:pPr>
        <w:shd w:val="clear" w:color="auto" w:fill="FFFFFF"/>
        <w:spacing w:after="180" w:line="480" w:lineRule="auto"/>
        <w:contextualSpacing w:val="0"/>
        <w:rPr>
          <w:sz w:val="24"/>
          <w:szCs w:val="24"/>
        </w:rPr>
      </w:pPr>
      <w:r>
        <w:rPr>
          <w:sz w:val="24"/>
          <w:szCs w:val="24"/>
        </w:rPr>
        <w:t>Esposito (1998) an</w:t>
      </w:r>
      <w:r>
        <w:rPr>
          <w:sz w:val="24"/>
          <w:szCs w:val="24"/>
        </w:rPr>
        <w:t xml:space="preserve">d </w:t>
      </w:r>
      <w:proofErr w:type="spellStart"/>
      <w:r>
        <w:rPr>
          <w:sz w:val="24"/>
          <w:szCs w:val="24"/>
        </w:rPr>
        <w:t>Dodds</w:t>
      </w:r>
      <w:proofErr w:type="spellEnd"/>
      <w:r>
        <w:rPr>
          <w:sz w:val="24"/>
          <w:szCs w:val="24"/>
        </w:rPr>
        <w:t xml:space="preserve"> (1944) point out that when Pentheus threatens Dionysus with decapitation and stoning at the beginning of the play. This is </w:t>
      </w:r>
      <w:proofErr w:type="gramStart"/>
      <w:r>
        <w:rPr>
          <w:sz w:val="24"/>
          <w:szCs w:val="24"/>
        </w:rPr>
        <w:t>ironic  because</w:t>
      </w:r>
      <w:proofErr w:type="gramEnd"/>
      <w:r>
        <w:rPr>
          <w:sz w:val="24"/>
          <w:szCs w:val="24"/>
        </w:rPr>
        <w:t xml:space="preserve"> later in the play,  it is actually Pentheus who is decapitated and stoned by the Maenads who are controlled b</w:t>
      </w:r>
      <w:r>
        <w:rPr>
          <w:sz w:val="24"/>
          <w:szCs w:val="24"/>
        </w:rPr>
        <w:t>y Dionysus . This shows that Pentheus seems to have more authority than Dionysus at the start of the play because he is threatening Dionysus with decapitation whereas Pentheus is the one who is decapitated later in the play.</w:t>
      </w:r>
    </w:p>
    <w:p w14:paraId="6C04594C" w14:textId="77777777" w:rsidR="00B06860" w:rsidRDefault="00A84676">
      <w:pPr>
        <w:shd w:val="clear" w:color="auto" w:fill="FFFFFF"/>
        <w:spacing w:after="180" w:line="480" w:lineRule="auto"/>
        <w:contextualSpacing w:val="0"/>
        <w:rPr>
          <w:sz w:val="24"/>
          <w:szCs w:val="24"/>
        </w:rPr>
      </w:pPr>
      <w:r>
        <w:rPr>
          <w:sz w:val="24"/>
          <w:szCs w:val="24"/>
        </w:rPr>
        <w:t xml:space="preserve">Foley (1985) and </w:t>
      </w:r>
      <w:proofErr w:type="spellStart"/>
      <w:r>
        <w:rPr>
          <w:sz w:val="24"/>
          <w:szCs w:val="24"/>
        </w:rPr>
        <w:t>Cawson</w:t>
      </w:r>
      <w:proofErr w:type="spellEnd"/>
      <w:r>
        <w:rPr>
          <w:sz w:val="24"/>
          <w:szCs w:val="24"/>
        </w:rPr>
        <w:t xml:space="preserve"> (2012) </w:t>
      </w:r>
      <w:r>
        <w:rPr>
          <w:sz w:val="24"/>
          <w:szCs w:val="24"/>
        </w:rPr>
        <w:t>both discuss that Pentheus’ gradual loss of power can be shown through the way that Dionysus persuades Pentheus to wear Bacchic dress so that Pentheus can spy on the Maenads. It is not necessary in the plot for Pentheus to have to wear Bacchic dress theref</w:t>
      </w:r>
      <w:r>
        <w:rPr>
          <w:sz w:val="24"/>
          <w:szCs w:val="24"/>
        </w:rPr>
        <w:t xml:space="preserve">ore this signifies Pentheus’ loss of power. In addition, Pentheus </w:t>
      </w:r>
      <w:proofErr w:type="spellStart"/>
      <w:proofErr w:type="gramStart"/>
      <w:r>
        <w:rPr>
          <w:sz w:val="24"/>
          <w:szCs w:val="24"/>
        </w:rPr>
        <w:t>criticises</w:t>
      </w:r>
      <w:proofErr w:type="spellEnd"/>
      <w:r>
        <w:rPr>
          <w:sz w:val="24"/>
          <w:szCs w:val="24"/>
        </w:rPr>
        <w:t xml:space="preserve">  Cadmus</w:t>
      </w:r>
      <w:proofErr w:type="gramEnd"/>
      <w:r>
        <w:rPr>
          <w:sz w:val="24"/>
          <w:szCs w:val="24"/>
        </w:rPr>
        <w:t xml:space="preserve"> and Tiresias for wearing Bacchic dress at the beginning of the play saying that they looked effeminate. However, Pentheus is eventually wearing the same clothes himself. T</w:t>
      </w:r>
      <w:r>
        <w:rPr>
          <w:sz w:val="24"/>
          <w:szCs w:val="24"/>
        </w:rPr>
        <w:t xml:space="preserve">his clearly shows the shift of power from Pentheus to </w:t>
      </w:r>
      <w:r>
        <w:rPr>
          <w:sz w:val="24"/>
          <w:szCs w:val="24"/>
        </w:rPr>
        <w:lastRenderedPageBreak/>
        <w:t>Dionysus in the first half of the play because Dionysus is now controlling Pentheus by making him wear Bacchic dress.</w:t>
      </w:r>
    </w:p>
    <w:p w14:paraId="7DE2B3DD" w14:textId="77777777" w:rsidR="00B06860" w:rsidRDefault="00A84676">
      <w:pPr>
        <w:shd w:val="clear" w:color="auto" w:fill="FFFFFF"/>
        <w:spacing w:after="180" w:line="480" w:lineRule="auto"/>
        <w:contextualSpacing w:val="0"/>
        <w:rPr>
          <w:sz w:val="24"/>
          <w:szCs w:val="24"/>
          <w:u w:val="single"/>
        </w:rPr>
      </w:pPr>
      <w:r>
        <w:rPr>
          <w:sz w:val="24"/>
          <w:szCs w:val="24"/>
          <w:u w:val="single"/>
        </w:rPr>
        <w:t>Section 2</w:t>
      </w:r>
    </w:p>
    <w:p w14:paraId="7D1B1DD7" w14:textId="77777777" w:rsidR="00B06860" w:rsidRDefault="00A84676">
      <w:pPr>
        <w:shd w:val="clear" w:color="auto" w:fill="FFFFFF"/>
        <w:spacing w:after="180" w:line="480" w:lineRule="auto"/>
        <w:contextualSpacing w:val="0"/>
        <w:rPr>
          <w:sz w:val="24"/>
          <w:szCs w:val="24"/>
        </w:rPr>
      </w:pPr>
      <w:r>
        <w:rPr>
          <w:sz w:val="24"/>
          <w:szCs w:val="24"/>
        </w:rPr>
        <w:t>Barrett (1988) explores the fact that Pentheus wishes to be a spectator of</w:t>
      </w:r>
      <w:r>
        <w:rPr>
          <w:sz w:val="24"/>
          <w:szCs w:val="24"/>
        </w:rPr>
        <w:t xml:space="preserve"> the Maenads to allow him to spy on them. The contrast in power between Pentheus and Dionysus can be seen at this point during the Bacchae. This is because whereas Pentheus fails in his attempt to watch the Maenads unseen, Dionysus succeeds to be an invisi</w:t>
      </w:r>
      <w:r>
        <w:rPr>
          <w:sz w:val="24"/>
          <w:szCs w:val="24"/>
        </w:rPr>
        <w:t xml:space="preserve">ble spectator. This is illustrated because as soon </w:t>
      </w:r>
      <w:proofErr w:type="gramStart"/>
      <w:r>
        <w:rPr>
          <w:sz w:val="24"/>
          <w:szCs w:val="24"/>
        </w:rPr>
        <w:t>as  Pentheus</w:t>
      </w:r>
      <w:proofErr w:type="gramEnd"/>
      <w:r>
        <w:rPr>
          <w:sz w:val="24"/>
          <w:szCs w:val="24"/>
        </w:rPr>
        <w:t xml:space="preserve"> is seen by the Maenads, Dionysus suddenly becomes invisible. This clearly shows that Dionysus has the power that Pentheus lacks. This scene could also </w:t>
      </w:r>
      <w:proofErr w:type="gramStart"/>
      <w:r>
        <w:rPr>
          <w:sz w:val="24"/>
          <w:szCs w:val="24"/>
        </w:rPr>
        <w:t>be seen as</w:t>
      </w:r>
      <w:proofErr w:type="gramEnd"/>
      <w:r>
        <w:rPr>
          <w:sz w:val="24"/>
          <w:szCs w:val="24"/>
        </w:rPr>
        <w:t xml:space="preserve"> an example of </w:t>
      </w:r>
      <w:proofErr w:type="spellStart"/>
      <w:r>
        <w:rPr>
          <w:sz w:val="24"/>
          <w:szCs w:val="24"/>
        </w:rPr>
        <w:t>metatheatre</w:t>
      </w:r>
      <w:proofErr w:type="spellEnd"/>
      <w:r>
        <w:rPr>
          <w:sz w:val="24"/>
          <w:szCs w:val="24"/>
        </w:rPr>
        <w:t xml:space="preserve"> beca</w:t>
      </w:r>
      <w:r>
        <w:rPr>
          <w:sz w:val="24"/>
          <w:szCs w:val="24"/>
        </w:rPr>
        <w:t xml:space="preserve">use Pentheus wishes to be an invisible spectator watching the Maenads in the same way as the audience would have been watching the play. </w:t>
      </w:r>
    </w:p>
    <w:p w14:paraId="1454CB5A" w14:textId="77777777" w:rsidR="00B06860" w:rsidRDefault="00A84676">
      <w:pPr>
        <w:shd w:val="clear" w:color="auto" w:fill="FFFFFF"/>
        <w:spacing w:after="180" w:line="480" w:lineRule="auto"/>
        <w:contextualSpacing w:val="0"/>
        <w:rPr>
          <w:sz w:val="24"/>
          <w:szCs w:val="24"/>
          <w:u w:val="single"/>
        </w:rPr>
      </w:pPr>
      <w:r>
        <w:rPr>
          <w:sz w:val="24"/>
          <w:szCs w:val="24"/>
          <w:u w:val="single"/>
        </w:rPr>
        <w:t>Section 3</w:t>
      </w:r>
    </w:p>
    <w:p w14:paraId="1409F41F" w14:textId="77777777" w:rsidR="00B06860" w:rsidRDefault="00A84676">
      <w:pPr>
        <w:shd w:val="clear" w:color="auto" w:fill="FFFFFF"/>
        <w:spacing w:after="180" w:line="480" w:lineRule="auto"/>
        <w:contextualSpacing w:val="0"/>
        <w:rPr>
          <w:sz w:val="24"/>
          <w:szCs w:val="24"/>
        </w:rPr>
      </w:pPr>
      <w:r>
        <w:rPr>
          <w:sz w:val="24"/>
          <w:szCs w:val="24"/>
        </w:rPr>
        <w:t xml:space="preserve">Pentheus death at the end of the play represents his ultimate loss of power. His death has been interpreted </w:t>
      </w:r>
      <w:r>
        <w:rPr>
          <w:sz w:val="24"/>
          <w:szCs w:val="24"/>
        </w:rPr>
        <w:t xml:space="preserve">by Foley (1985), </w:t>
      </w:r>
      <w:proofErr w:type="spellStart"/>
      <w:r>
        <w:rPr>
          <w:sz w:val="24"/>
          <w:szCs w:val="24"/>
        </w:rPr>
        <w:t>Siedensticker</w:t>
      </w:r>
      <w:proofErr w:type="spellEnd"/>
      <w:r>
        <w:rPr>
          <w:sz w:val="24"/>
          <w:szCs w:val="24"/>
        </w:rPr>
        <w:t xml:space="preserve"> (1979) and </w:t>
      </w:r>
      <w:proofErr w:type="gramStart"/>
      <w:r>
        <w:rPr>
          <w:sz w:val="24"/>
          <w:szCs w:val="24"/>
        </w:rPr>
        <w:t>Seaford(</w:t>
      </w:r>
      <w:proofErr w:type="gramEnd"/>
      <w:r>
        <w:rPr>
          <w:sz w:val="24"/>
          <w:szCs w:val="24"/>
        </w:rPr>
        <w:t>2001)  as a religious sacrifice to Dionysus. This is because of the ritual elements involved in Pentheus’ death such as the collective pelting of the victim. However, Dionysus can be seen to have ultimate p</w:t>
      </w:r>
      <w:r>
        <w:rPr>
          <w:sz w:val="24"/>
          <w:szCs w:val="24"/>
        </w:rPr>
        <w:t xml:space="preserve">ower because he has orchestrated Pentheus’ death. </w:t>
      </w:r>
    </w:p>
    <w:p w14:paraId="5CE6F41F" w14:textId="77777777" w:rsidR="00B06860" w:rsidRDefault="00A84676">
      <w:pPr>
        <w:shd w:val="clear" w:color="auto" w:fill="FFFFFF"/>
        <w:spacing w:after="180" w:line="480" w:lineRule="auto"/>
        <w:contextualSpacing w:val="0"/>
        <w:rPr>
          <w:sz w:val="24"/>
          <w:szCs w:val="24"/>
          <w:u w:val="single"/>
        </w:rPr>
      </w:pPr>
      <w:r>
        <w:rPr>
          <w:sz w:val="24"/>
          <w:szCs w:val="24"/>
          <w:u w:val="single"/>
        </w:rPr>
        <w:t>Section 4</w:t>
      </w:r>
    </w:p>
    <w:p w14:paraId="23301F35" w14:textId="77777777" w:rsidR="00B06860" w:rsidRDefault="00A84676">
      <w:pPr>
        <w:shd w:val="clear" w:color="auto" w:fill="FFFFFF"/>
        <w:spacing w:after="180" w:line="480" w:lineRule="auto"/>
        <w:contextualSpacing w:val="0"/>
        <w:rPr>
          <w:sz w:val="24"/>
          <w:szCs w:val="24"/>
        </w:rPr>
      </w:pPr>
      <w:r>
        <w:rPr>
          <w:sz w:val="24"/>
          <w:szCs w:val="24"/>
        </w:rPr>
        <w:t xml:space="preserve">Marshall (1999) and </w:t>
      </w:r>
      <w:proofErr w:type="spellStart"/>
      <w:r>
        <w:rPr>
          <w:sz w:val="24"/>
          <w:szCs w:val="24"/>
        </w:rPr>
        <w:t>Cawson</w:t>
      </w:r>
      <w:proofErr w:type="spellEnd"/>
      <w:r>
        <w:rPr>
          <w:sz w:val="24"/>
          <w:szCs w:val="24"/>
        </w:rPr>
        <w:t xml:space="preserve"> (2012) explore that Pentheus is ultimately completely powerless when Agave brings his head onto the stage believing it to be a lion’s head only to </w:t>
      </w:r>
      <w:proofErr w:type="spellStart"/>
      <w:r>
        <w:rPr>
          <w:sz w:val="24"/>
          <w:szCs w:val="24"/>
        </w:rPr>
        <w:t>realise</w:t>
      </w:r>
      <w:proofErr w:type="spellEnd"/>
      <w:r>
        <w:rPr>
          <w:sz w:val="24"/>
          <w:szCs w:val="24"/>
        </w:rPr>
        <w:t xml:space="preserve"> that it is th</w:t>
      </w:r>
      <w:r>
        <w:rPr>
          <w:sz w:val="24"/>
          <w:szCs w:val="24"/>
        </w:rPr>
        <w:t xml:space="preserve">e head of her own son. At the end of the play Dionysus is </w:t>
      </w:r>
      <w:r>
        <w:rPr>
          <w:sz w:val="24"/>
          <w:szCs w:val="24"/>
        </w:rPr>
        <w:lastRenderedPageBreak/>
        <w:t xml:space="preserve">omnipotent because he has possessed the Maenads and has Agave kill her own son whereas Pentheus at the end of the play is nothing more than a dismembered body. </w:t>
      </w:r>
    </w:p>
    <w:p w14:paraId="0829F4D9" w14:textId="77777777" w:rsidR="00B06860" w:rsidRDefault="00A84676">
      <w:pPr>
        <w:shd w:val="clear" w:color="auto" w:fill="FFFFFF"/>
        <w:spacing w:after="180" w:line="480" w:lineRule="auto"/>
        <w:contextualSpacing w:val="0"/>
        <w:rPr>
          <w:sz w:val="24"/>
          <w:szCs w:val="24"/>
        </w:rPr>
      </w:pPr>
      <w:r>
        <w:rPr>
          <w:sz w:val="24"/>
          <w:szCs w:val="24"/>
        </w:rPr>
        <w:t xml:space="preserve">                                     </w:t>
      </w:r>
      <w:r>
        <w:rPr>
          <w:sz w:val="24"/>
          <w:szCs w:val="24"/>
        </w:rPr>
        <w:t xml:space="preserve">                   </w:t>
      </w:r>
      <w:r>
        <w:br w:type="page"/>
      </w:r>
    </w:p>
    <w:p w14:paraId="4CA2CBF9" w14:textId="77777777" w:rsidR="00B06860" w:rsidRDefault="00A84676">
      <w:pPr>
        <w:shd w:val="clear" w:color="auto" w:fill="FFFFFF"/>
        <w:spacing w:after="180" w:line="480" w:lineRule="auto"/>
        <w:contextualSpacing w:val="0"/>
        <w:rPr>
          <w:sz w:val="24"/>
          <w:szCs w:val="24"/>
        </w:rPr>
      </w:pPr>
      <w:r>
        <w:rPr>
          <w:sz w:val="24"/>
          <w:szCs w:val="24"/>
        </w:rPr>
        <w:lastRenderedPageBreak/>
        <w:t xml:space="preserve">                                                         Bibliography</w:t>
      </w:r>
    </w:p>
    <w:p w14:paraId="1C77F091" w14:textId="77777777" w:rsidR="00B06860" w:rsidRDefault="00B06860">
      <w:pPr>
        <w:shd w:val="clear" w:color="auto" w:fill="FFFFFF"/>
        <w:spacing w:after="180" w:line="480" w:lineRule="auto"/>
        <w:ind w:left="900" w:hanging="440"/>
        <w:contextualSpacing w:val="0"/>
        <w:rPr>
          <w:sz w:val="24"/>
          <w:szCs w:val="24"/>
        </w:rPr>
      </w:pPr>
    </w:p>
    <w:p w14:paraId="4054ADBD" w14:textId="77777777" w:rsidR="00B06860" w:rsidRDefault="00A84676">
      <w:pPr>
        <w:shd w:val="clear" w:color="auto" w:fill="FFFFFF"/>
        <w:spacing w:after="180" w:line="480" w:lineRule="auto"/>
        <w:ind w:left="900" w:hanging="440"/>
        <w:contextualSpacing w:val="0"/>
        <w:rPr>
          <w:sz w:val="24"/>
          <w:szCs w:val="24"/>
          <w:u w:val="single"/>
        </w:rPr>
      </w:pPr>
      <w:r>
        <w:rPr>
          <w:sz w:val="24"/>
          <w:szCs w:val="24"/>
          <w:u w:val="single"/>
        </w:rPr>
        <w:t>Ancient sources</w:t>
      </w:r>
    </w:p>
    <w:p w14:paraId="0B99F4F2" w14:textId="77777777" w:rsidR="00B06860" w:rsidRDefault="00A84676">
      <w:pPr>
        <w:shd w:val="clear" w:color="auto" w:fill="FFFFFF"/>
        <w:spacing w:after="180" w:line="480" w:lineRule="auto"/>
        <w:ind w:left="900" w:hanging="440"/>
        <w:contextualSpacing w:val="0"/>
        <w:rPr>
          <w:sz w:val="24"/>
          <w:szCs w:val="24"/>
        </w:rPr>
      </w:pPr>
      <w:r>
        <w:rPr>
          <w:sz w:val="24"/>
          <w:szCs w:val="24"/>
        </w:rPr>
        <w:t xml:space="preserve">Euripides, </w:t>
      </w:r>
      <w:r>
        <w:rPr>
          <w:i/>
          <w:sz w:val="24"/>
          <w:szCs w:val="24"/>
        </w:rPr>
        <w:t xml:space="preserve">The Bacchae, </w:t>
      </w:r>
      <w:r>
        <w:rPr>
          <w:sz w:val="24"/>
          <w:szCs w:val="24"/>
        </w:rPr>
        <w:t xml:space="preserve">R. Seaford (trans.). 2001. </w:t>
      </w:r>
      <w:proofErr w:type="spellStart"/>
      <w:proofErr w:type="gramStart"/>
      <w:r>
        <w:rPr>
          <w:sz w:val="24"/>
          <w:szCs w:val="24"/>
        </w:rPr>
        <w:t>Warminster:Aris</w:t>
      </w:r>
      <w:proofErr w:type="spellEnd"/>
      <w:proofErr w:type="gramEnd"/>
      <w:r>
        <w:rPr>
          <w:sz w:val="24"/>
          <w:szCs w:val="24"/>
        </w:rPr>
        <w:t xml:space="preserve"> and Philips.</w:t>
      </w:r>
    </w:p>
    <w:p w14:paraId="2C568DC1" w14:textId="77777777" w:rsidR="00B06860" w:rsidRDefault="00B06860">
      <w:pPr>
        <w:shd w:val="clear" w:color="auto" w:fill="FFFFFF"/>
        <w:spacing w:after="180" w:line="480" w:lineRule="auto"/>
        <w:ind w:left="900" w:hanging="440"/>
        <w:contextualSpacing w:val="0"/>
        <w:rPr>
          <w:sz w:val="24"/>
          <w:szCs w:val="24"/>
        </w:rPr>
      </w:pPr>
    </w:p>
    <w:p w14:paraId="0F88F48A" w14:textId="77777777" w:rsidR="00B06860" w:rsidRDefault="00A84676">
      <w:pPr>
        <w:shd w:val="clear" w:color="auto" w:fill="FFFFFF"/>
        <w:spacing w:after="180" w:line="480" w:lineRule="auto"/>
        <w:ind w:left="900" w:hanging="440"/>
        <w:contextualSpacing w:val="0"/>
        <w:rPr>
          <w:sz w:val="24"/>
          <w:szCs w:val="24"/>
          <w:u w:val="single"/>
        </w:rPr>
      </w:pPr>
      <w:r>
        <w:rPr>
          <w:sz w:val="24"/>
          <w:szCs w:val="24"/>
          <w:u w:val="single"/>
        </w:rPr>
        <w:t>Scholarship</w:t>
      </w:r>
    </w:p>
    <w:p w14:paraId="141A1A4B" w14:textId="77777777" w:rsidR="00B06860" w:rsidRDefault="00A84676">
      <w:pPr>
        <w:shd w:val="clear" w:color="auto" w:fill="FFFFFF"/>
        <w:spacing w:after="180" w:line="480" w:lineRule="auto"/>
        <w:ind w:left="900" w:hanging="440"/>
        <w:contextualSpacing w:val="0"/>
        <w:rPr>
          <w:sz w:val="24"/>
          <w:szCs w:val="24"/>
        </w:rPr>
      </w:pPr>
      <w:r>
        <w:rPr>
          <w:sz w:val="24"/>
          <w:szCs w:val="24"/>
        </w:rPr>
        <w:t>Barrett James. "Pentheus and the Spectator in Euripides' "Bacchae"."</w:t>
      </w:r>
      <w:r>
        <w:rPr>
          <w:i/>
          <w:sz w:val="24"/>
          <w:szCs w:val="24"/>
        </w:rPr>
        <w:t xml:space="preserve"> The American Journal of Philology</w:t>
      </w:r>
      <w:r>
        <w:rPr>
          <w:sz w:val="24"/>
          <w:szCs w:val="24"/>
        </w:rPr>
        <w:t xml:space="preserve"> 119 (1988): 337-360, accessed November 1st</w:t>
      </w:r>
      <w:proofErr w:type="gramStart"/>
      <w:r>
        <w:rPr>
          <w:sz w:val="24"/>
          <w:szCs w:val="24"/>
        </w:rPr>
        <w:t xml:space="preserve"> 2018</w:t>
      </w:r>
      <w:proofErr w:type="gramEnd"/>
      <w:r>
        <w:rPr>
          <w:sz w:val="24"/>
          <w:szCs w:val="24"/>
        </w:rPr>
        <w:t>.</w:t>
      </w:r>
    </w:p>
    <w:p w14:paraId="486F5FA6" w14:textId="77777777" w:rsidR="00B06860" w:rsidRDefault="00A84676">
      <w:pPr>
        <w:shd w:val="clear" w:color="auto" w:fill="FFFFFF"/>
        <w:spacing w:after="180" w:line="480" w:lineRule="auto"/>
        <w:ind w:left="900" w:hanging="440"/>
        <w:contextualSpacing w:val="0"/>
        <w:rPr>
          <w:sz w:val="24"/>
          <w:szCs w:val="24"/>
        </w:rPr>
      </w:pPr>
      <w:proofErr w:type="spellStart"/>
      <w:r>
        <w:rPr>
          <w:sz w:val="24"/>
          <w:szCs w:val="24"/>
        </w:rPr>
        <w:t>Cawson</w:t>
      </w:r>
      <w:proofErr w:type="spellEnd"/>
      <w:r>
        <w:rPr>
          <w:sz w:val="24"/>
          <w:szCs w:val="24"/>
        </w:rPr>
        <w:t>, Mathew J. "The Mask and the self: Phenomena of selfhood and the theatrical mask can illuminate e</w:t>
      </w:r>
      <w:r>
        <w:rPr>
          <w:sz w:val="24"/>
          <w:szCs w:val="24"/>
        </w:rPr>
        <w:t>ach other.", Royal Holloway University of London, 2012.</w:t>
      </w:r>
    </w:p>
    <w:p w14:paraId="73B54A2E" w14:textId="77777777" w:rsidR="00B06860" w:rsidRDefault="00A84676">
      <w:pPr>
        <w:shd w:val="clear" w:color="auto" w:fill="FFFFFF"/>
        <w:spacing w:after="180" w:line="480" w:lineRule="auto"/>
        <w:ind w:left="900" w:hanging="440"/>
        <w:contextualSpacing w:val="0"/>
        <w:rPr>
          <w:sz w:val="24"/>
          <w:szCs w:val="24"/>
        </w:rPr>
      </w:pPr>
      <w:proofErr w:type="spellStart"/>
      <w:r>
        <w:rPr>
          <w:sz w:val="24"/>
          <w:szCs w:val="24"/>
        </w:rPr>
        <w:t>Dodds</w:t>
      </w:r>
      <w:proofErr w:type="spellEnd"/>
      <w:r>
        <w:rPr>
          <w:sz w:val="24"/>
          <w:szCs w:val="24"/>
        </w:rPr>
        <w:t xml:space="preserve">, E. R. </w:t>
      </w:r>
      <w:r>
        <w:rPr>
          <w:i/>
          <w:sz w:val="24"/>
          <w:szCs w:val="24"/>
        </w:rPr>
        <w:t>Euripides Bacchae</w:t>
      </w:r>
      <w:r>
        <w:rPr>
          <w:sz w:val="24"/>
          <w:szCs w:val="24"/>
        </w:rPr>
        <w:t xml:space="preserve">, 1st ed. Oxford: </w:t>
      </w:r>
      <w:proofErr w:type="spellStart"/>
      <w:r>
        <w:rPr>
          <w:sz w:val="24"/>
          <w:szCs w:val="24"/>
        </w:rPr>
        <w:t>Claredon</w:t>
      </w:r>
      <w:proofErr w:type="spellEnd"/>
      <w:r>
        <w:rPr>
          <w:sz w:val="24"/>
          <w:szCs w:val="24"/>
        </w:rPr>
        <w:t xml:space="preserve"> Press, 1944.</w:t>
      </w:r>
    </w:p>
    <w:p w14:paraId="0CEBAF9D" w14:textId="77777777" w:rsidR="00B06860" w:rsidRDefault="00A84676">
      <w:pPr>
        <w:shd w:val="clear" w:color="auto" w:fill="FFFFFF"/>
        <w:spacing w:after="180" w:line="480" w:lineRule="auto"/>
        <w:ind w:left="900" w:hanging="440"/>
        <w:contextualSpacing w:val="0"/>
        <w:rPr>
          <w:sz w:val="24"/>
          <w:szCs w:val="24"/>
        </w:rPr>
      </w:pPr>
      <w:r>
        <w:rPr>
          <w:sz w:val="24"/>
          <w:szCs w:val="24"/>
        </w:rPr>
        <w:t>Dunn, Francis M. "</w:t>
      </w:r>
      <w:proofErr w:type="spellStart"/>
      <w:r>
        <w:rPr>
          <w:sz w:val="24"/>
          <w:szCs w:val="24"/>
        </w:rPr>
        <w:t>Metatheatre</w:t>
      </w:r>
      <w:proofErr w:type="spellEnd"/>
      <w:r>
        <w:rPr>
          <w:sz w:val="24"/>
          <w:szCs w:val="24"/>
        </w:rPr>
        <w:t xml:space="preserve"> and Metaphysics in Two Late Greek Tragedies." </w:t>
      </w:r>
      <w:hyperlink r:id="rId4">
        <w:r>
          <w:rPr>
            <w:sz w:val="24"/>
            <w:szCs w:val="24"/>
            <w:u w:val="single"/>
          </w:rPr>
          <w:t>https://www.academia.edu/545377/Metatheatre_and_Metaphysics_in_two_late_Greek_tragedies</w:t>
        </w:r>
      </w:hyperlink>
      <w:r>
        <w:rPr>
          <w:sz w:val="24"/>
          <w:szCs w:val="24"/>
        </w:rPr>
        <w:t>, accessed October 31st</w:t>
      </w:r>
      <w:proofErr w:type="gramStart"/>
      <w:r>
        <w:rPr>
          <w:sz w:val="24"/>
          <w:szCs w:val="24"/>
        </w:rPr>
        <w:t xml:space="preserve"> 2018</w:t>
      </w:r>
      <w:proofErr w:type="gramEnd"/>
      <w:r>
        <w:rPr>
          <w:sz w:val="24"/>
          <w:szCs w:val="24"/>
        </w:rPr>
        <w:t>.</w:t>
      </w:r>
    </w:p>
    <w:p w14:paraId="48BCD8E6" w14:textId="77777777" w:rsidR="00B06860" w:rsidRDefault="00A84676">
      <w:pPr>
        <w:shd w:val="clear" w:color="auto" w:fill="FFFFFF"/>
        <w:spacing w:after="180" w:line="480" w:lineRule="auto"/>
        <w:ind w:left="900" w:hanging="440"/>
        <w:contextualSpacing w:val="0"/>
        <w:rPr>
          <w:sz w:val="24"/>
          <w:szCs w:val="24"/>
        </w:rPr>
      </w:pPr>
      <w:r>
        <w:rPr>
          <w:sz w:val="24"/>
          <w:szCs w:val="24"/>
        </w:rPr>
        <w:t xml:space="preserve">Esposito Stephen, J. </w:t>
      </w:r>
      <w:r>
        <w:rPr>
          <w:i/>
          <w:sz w:val="24"/>
          <w:szCs w:val="24"/>
        </w:rPr>
        <w:t>The Bacchae of Euripides</w:t>
      </w:r>
      <w:r>
        <w:rPr>
          <w:sz w:val="24"/>
          <w:szCs w:val="24"/>
        </w:rPr>
        <w:t>, 1st ed. United States of America: Focus</w:t>
      </w:r>
      <w:r>
        <w:rPr>
          <w:sz w:val="24"/>
          <w:szCs w:val="24"/>
        </w:rPr>
        <w:t xml:space="preserve"> Publishing, 1998.</w:t>
      </w:r>
    </w:p>
    <w:p w14:paraId="0FD9D89B" w14:textId="77777777" w:rsidR="00B06860" w:rsidRDefault="00A84676">
      <w:pPr>
        <w:shd w:val="clear" w:color="auto" w:fill="FFFFFF"/>
        <w:spacing w:after="180" w:line="480" w:lineRule="auto"/>
        <w:ind w:left="900" w:hanging="440"/>
        <w:contextualSpacing w:val="0"/>
        <w:rPr>
          <w:sz w:val="24"/>
          <w:szCs w:val="24"/>
        </w:rPr>
      </w:pPr>
      <w:r>
        <w:rPr>
          <w:sz w:val="24"/>
          <w:szCs w:val="24"/>
        </w:rPr>
        <w:t>Foley, Helene P. "The Masque of Dionysus."</w:t>
      </w:r>
      <w:r>
        <w:rPr>
          <w:i/>
          <w:sz w:val="24"/>
          <w:szCs w:val="24"/>
        </w:rPr>
        <w:t xml:space="preserve"> Transactions of the American Philological Association (1974-2014)</w:t>
      </w:r>
      <w:r>
        <w:rPr>
          <w:sz w:val="24"/>
          <w:szCs w:val="24"/>
        </w:rPr>
        <w:t xml:space="preserve"> 110 (1980): 107-133, </w:t>
      </w:r>
      <w:hyperlink r:id="rId5" w:anchor="metadata_info_tab_contents">
        <w:r>
          <w:rPr>
            <w:sz w:val="24"/>
            <w:szCs w:val="24"/>
            <w:u w:val="single"/>
          </w:rPr>
          <w:t>https://www.js</w:t>
        </w:r>
        <w:r>
          <w:rPr>
            <w:sz w:val="24"/>
            <w:szCs w:val="24"/>
            <w:u w:val="single"/>
          </w:rPr>
          <w:t>tor.org/stable/284213?seq=1#metadata_info_tab_contents</w:t>
        </w:r>
      </w:hyperlink>
      <w:r>
        <w:rPr>
          <w:sz w:val="24"/>
          <w:szCs w:val="24"/>
        </w:rPr>
        <w:t>, accessed October 31st 2018.</w:t>
      </w:r>
    </w:p>
    <w:p w14:paraId="33577F1C" w14:textId="77777777" w:rsidR="00B06860" w:rsidRDefault="00A84676">
      <w:pPr>
        <w:shd w:val="clear" w:color="auto" w:fill="FFFFFF"/>
        <w:spacing w:after="180" w:line="480" w:lineRule="auto"/>
        <w:ind w:left="900" w:hanging="440"/>
        <w:contextualSpacing w:val="0"/>
        <w:rPr>
          <w:sz w:val="24"/>
          <w:szCs w:val="24"/>
        </w:rPr>
      </w:pPr>
      <w:r>
        <w:rPr>
          <w:sz w:val="24"/>
          <w:szCs w:val="24"/>
        </w:rPr>
        <w:t xml:space="preserve">Foley, Helene P. </w:t>
      </w:r>
      <w:r>
        <w:rPr>
          <w:i/>
          <w:sz w:val="24"/>
          <w:szCs w:val="24"/>
        </w:rPr>
        <w:t>Ritual Irony. Poetry and Sacrifice in Euripides</w:t>
      </w:r>
      <w:r>
        <w:rPr>
          <w:sz w:val="24"/>
          <w:szCs w:val="24"/>
        </w:rPr>
        <w:t>, 1st ed. New York: Cornell University Press, 1985.</w:t>
      </w:r>
    </w:p>
    <w:p w14:paraId="3EB435FB" w14:textId="77777777" w:rsidR="00B06860" w:rsidRDefault="00A84676">
      <w:pPr>
        <w:shd w:val="clear" w:color="auto" w:fill="FFFFFF"/>
        <w:spacing w:after="180" w:line="480" w:lineRule="auto"/>
        <w:ind w:left="900" w:hanging="440"/>
        <w:contextualSpacing w:val="0"/>
        <w:rPr>
          <w:sz w:val="24"/>
          <w:szCs w:val="24"/>
        </w:rPr>
      </w:pPr>
      <w:proofErr w:type="spellStart"/>
      <w:r>
        <w:rPr>
          <w:sz w:val="24"/>
          <w:szCs w:val="24"/>
        </w:rPr>
        <w:t>Kalke</w:t>
      </w:r>
      <w:proofErr w:type="spellEnd"/>
      <w:r>
        <w:rPr>
          <w:sz w:val="24"/>
          <w:szCs w:val="24"/>
        </w:rPr>
        <w:t xml:space="preserve"> </w:t>
      </w:r>
      <w:proofErr w:type="spellStart"/>
      <w:r>
        <w:rPr>
          <w:sz w:val="24"/>
          <w:szCs w:val="24"/>
        </w:rPr>
        <w:t>Chrisitne</w:t>
      </w:r>
      <w:proofErr w:type="spellEnd"/>
      <w:r>
        <w:rPr>
          <w:sz w:val="24"/>
          <w:szCs w:val="24"/>
        </w:rPr>
        <w:t xml:space="preserve">, M. "The Making of a Thyrsus: The Transformation of Pentheus in Euripides' </w:t>
      </w:r>
      <w:proofErr w:type="spellStart"/>
      <w:r>
        <w:rPr>
          <w:sz w:val="24"/>
          <w:szCs w:val="24"/>
        </w:rPr>
        <w:t>Bacchae."</w:t>
      </w:r>
      <w:r>
        <w:rPr>
          <w:i/>
          <w:sz w:val="24"/>
          <w:szCs w:val="24"/>
        </w:rPr>
        <w:t>The</w:t>
      </w:r>
      <w:proofErr w:type="spellEnd"/>
      <w:r>
        <w:rPr>
          <w:i/>
          <w:sz w:val="24"/>
          <w:szCs w:val="24"/>
        </w:rPr>
        <w:t xml:space="preserve"> American Journal of Philology</w:t>
      </w:r>
      <w:r>
        <w:rPr>
          <w:sz w:val="24"/>
          <w:szCs w:val="24"/>
        </w:rPr>
        <w:t xml:space="preserve"> 106 </w:t>
      </w:r>
      <w:proofErr w:type="gramStart"/>
      <w:r>
        <w:rPr>
          <w:sz w:val="24"/>
          <w:szCs w:val="24"/>
        </w:rPr>
        <w:t>( Winter</w:t>
      </w:r>
      <w:proofErr w:type="gramEnd"/>
      <w:r>
        <w:rPr>
          <w:sz w:val="24"/>
          <w:szCs w:val="24"/>
        </w:rPr>
        <w:t xml:space="preserve"> 1985): 409-426.</w:t>
      </w:r>
    </w:p>
    <w:p w14:paraId="2287ABBD" w14:textId="77777777" w:rsidR="00B06860" w:rsidRDefault="00A84676">
      <w:pPr>
        <w:shd w:val="clear" w:color="auto" w:fill="FFFFFF"/>
        <w:spacing w:after="180" w:line="480" w:lineRule="auto"/>
        <w:ind w:left="900" w:hanging="440"/>
        <w:contextualSpacing w:val="0"/>
        <w:rPr>
          <w:sz w:val="24"/>
          <w:szCs w:val="24"/>
        </w:rPr>
      </w:pPr>
      <w:r>
        <w:rPr>
          <w:sz w:val="24"/>
          <w:szCs w:val="24"/>
        </w:rPr>
        <w:t xml:space="preserve">Kirk, Geoffrey S. </w:t>
      </w:r>
      <w:r>
        <w:rPr>
          <w:i/>
          <w:sz w:val="24"/>
          <w:szCs w:val="24"/>
        </w:rPr>
        <w:t>The Bacchae of Euripides</w:t>
      </w:r>
      <w:r>
        <w:rPr>
          <w:sz w:val="24"/>
          <w:szCs w:val="24"/>
        </w:rPr>
        <w:t xml:space="preserve">, 1st ed. United States of America: Prentice Hall, </w:t>
      </w:r>
      <w:r>
        <w:rPr>
          <w:sz w:val="24"/>
          <w:szCs w:val="24"/>
        </w:rPr>
        <w:t>1970.</w:t>
      </w:r>
    </w:p>
    <w:p w14:paraId="49D42510" w14:textId="77777777" w:rsidR="00B06860" w:rsidRDefault="00A84676">
      <w:pPr>
        <w:shd w:val="clear" w:color="auto" w:fill="FFFFFF"/>
        <w:spacing w:after="180" w:line="480" w:lineRule="auto"/>
        <w:ind w:left="900" w:hanging="440"/>
        <w:contextualSpacing w:val="0"/>
        <w:rPr>
          <w:sz w:val="24"/>
          <w:szCs w:val="24"/>
        </w:rPr>
      </w:pPr>
      <w:r>
        <w:rPr>
          <w:sz w:val="24"/>
          <w:szCs w:val="24"/>
        </w:rPr>
        <w:t>Mark L. Damen and Rebecca A. Richards. ""Sing the Dionysus": Euripides' "Bacchae" as dramatic hymn."</w:t>
      </w:r>
      <w:r>
        <w:rPr>
          <w:i/>
          <w:sz w:val="24"/>
          <w:szCs w:val="24"/>
        </w:rPr>
        <w:t xml:space="preserve"> The American Journal of Philology</w:t>
      </w:r>
      <w:r>
        <w:rPr>
          <w:sz w:val="24"/>
          <w:szCs w:val="24"/>
        </w:rPr>
        <w:t xml:space="preserve"> 133 </w:t>
      </w:r>
      <w:proofErr w:type="gramStart"/>
      <w:r>
        <w:rPr>
          <w:sz w:val="24"/>
          <w:szCs w:val="24"/>
        </w:rPr>
        <w:t>( Fall</w:t>
      </w:r>
      <w:proofErr w:type="gramEnd"/>
      <w:r>
        <w:rPr>
          <w:sz w:val="24"/>
          <w:szCs w:val="24"/>
        </w:rPr>
        <w:t xml:space="preserve"> 2012): 343-369, accessed November 1st 2018.</w:t>
      </w:r>
    </w:p>
    <w:p w14:paraId="6A9EA184" w14:textId="77777777" w:rsidR="00B06860" w:rsidRDefault="00A84676">
      <w:pPr>
        <w:shd w:val="clear" w:color="auto" w:fill="FFFFFF"/>
        <w:spacing w:after="180" w:line="480" w:lineRule="auto"/>
        <w:ind w:left="900" w:hanging="440"/>
        <w:contextualSpacing w:val="0"/>
        <w:rPr>
          <w:sz w:val="24"/>
          <w:szCs w:val="24"/>
        </w:rPr>
      </w:pPr>
      <w:r>
        <w:rPr>
          <w:sz w:val="24"/>
          <w:szCs w:val="24"/>
        </w:rPr>
        <w:t>Marshall, C. W. "Some Fifth-Century Masking Conventions."</w:t>
      </w:r>
      <w:r>
        <w:rPr>
          <w:i/>
          <w:sz w:val="24"/>
          <w:szCs w:val="24"/>
        </w:rPr>
        <w:t xml:space="preserve"> Gr</w:t>
      </w:r>
      <w:r>
        <w:rPr>
          <w:i/>
          <w:sz w:val="24"/>
          <w:szCs w:val="24"/>
        </w:rPr>
        <w:t>eece and Rome</w:t>
      </w:r>
      <w:r>
        <w:rPr>
          <w:sz w:val="24"/>
          <w:szCs w:val="24"/>
        </w:rPr>
        <w:t xml:space="preserve"> 46 </w:t>
      </w:r>
      <w:proofErr w:type="gramStart"/>
      <w:r>
        <w:rPr>
          <w:sz w:val="24"/>
          <w:szCs w:val="24"/>
        </w:rPr>
        <w:t>( Oct.</w:t>
      </w:r>
      <w:proofErr w:type="gramEnd"/>
      <w:r>
        <w:rPr>
          <w:sz w:val="24"/>
          <w:szCs w:val="24"/>
        </w:rPr>
        <w:t>, 1999): 188-202, accessed October 31st 2018.</w:t>
      </w:r>
    </w:p>
    <w:p w14:paraId="62A72276" w14:textId="77777777" w:rsidR="00B06860" w:rsidRDefault="00A84676">
      <w:pPr>
        <w:shd w:val="clear" w:color="auto" w:fill="FFFFFF"/>
        <w:spacing w:after="180" w:line="480" w:lineRule="auto"/>
        <w:ind w:left="900" w:hanging="440"/>
        <w:contextualSpacing w:val="0"/>
        <w:rPr>
          <w:sz w:val="24"/>
          <w:szCs w:val="24"/>
        </w:rPr>
      </w:pPr>
      <w:r>
        <w:rPr>
          <w:sz w:val="24"/>
          <w:szCs w:val="24"/>
        </w:rPr>
        <w:t>Pippin Burnett, Anne. "Pentheus and Dionysus: Host and Guest."</w:t>
      </w:r>
      <w:r>
        <w:rPr>
          <w:i/>
          <w:sz w:val="24"/>
          <w:szCs w:val="24"/>
        </w:rPr>
        <w:t xml:space="preserve"> Classical Philology</w:t>
      </w:r>
      <w:r>
        <w:rPr>
          <w:sz w:val="24"/>
          <w:szCs w:val="24"/>
        </w:rPr>
        <w:t xml:space="preserve"> 65 </w:t>
      </w:r>
      <w:proofErr w:type="gramStart"/>
      <w:r>
        <w:rPr>
          <w:sz w:val="24"/>
          <w:szCs w:val="24"/>
        </w:rPr>
        <w:t>( Jan.</w:t>
      </w:r>
      <w:proofErr w:type="gramEnd"/>
      <w:r>
        <w:rPr>
          <w:sz w:val="24"/>
          <w:szCs w:val="24"/>
        </w:rPr>
        <w:t>, 1970): 15-29.</w:t>
      </w:r>
    </w:p>
    <w:p w14:paraId="40E1FD15" w14:textId="77777777" w:rsidR="00B06860" w:rsidRDefault="00A84676">
      <w:pPr>
        <w:shd w:val="clear" w:color="auto" w:fill="FFFFFF"/>
        <w:spacing w:after="180" w:line="480" w:lineRule="auto"/>
        <w:ind w:left="900" w:hanging="440"/>
        <w:contextualSpacing w:val="0"/>
        <w:rPr>
          <w:sz w:val="24"/>
          <w:szCs w:val="24"/>
        </w:rPr>
      </w:pPr>
      <w:r>
        <w:rPr>
          <w:sz w:val="24"/>
          <w:szCs w:val="24"/>
        </w:rPr>
        <w:t xml:space="preserve">Seaford Richard. </w:t>
      </w:r>
      <w:r>
        <w:rPr>
          <w:i/>
          <w:sz w:val="24"/>
          <w:szCs w:val="24"/>
        </w:rPr>
        <w:t>Euripides Bacchae</w:t>
      </w:r>
      <w:r>
        <w:rPr>
          <w:sz w:val="24"/>
          <w:szCs w:val="24"/>
        </w:rPr>
        <w:t>, 2nd ed. Warminster: Aris and Philips, 2001.</w:t>
      </w:r>
    </w:p>
    <w:p w14:paraId="38B6DDE7" w14:textId="77777777" w:rsidR="00B06860" w:rsidRDefault="00A84676">
      <w:pPr>
        <w:shd w:val="clear" w:color="auto" w:fill="FFFFFF"/>
        <w:spacing w:after="180" w:line="480" w:lineRule="auto"/>
        <w:ind w:left="900" w:hanging="440"/>
        <w:contextualSpacing w:val="0"/>
        <w:rPr>
          <w:sz w:val="24"/>
          <w:szCs w:val="24"/>
        </w:rPr>
      </w:pPr>
      <w:proofErr w:type="spellStart"/>
      <w:r>
        <w:rPr>
          <w:sz w:val="24"/>
          <w:szCs w:val="24"/>
        </w:rPr>
        <w:t>Seidensticker</w:t>
      </w:r>
      <w:proofErr w:type="spellEnd"/>
      <w:r>
        <w:rPr>
          <w:sz w:val="24"/>
          <w:szCs w:val="24"/>
        </w:rPr>
        <w:t xml:space="preserve">, B. "Sacrificial Ritual in the Bacchae." In </w:t>
      </w:r>
      <w:proofErr w:type="spellStart"/>
      <w:r>
        <w:rPr>
          <w:i/>
          <w:sz w:val="24"/>
          <w:szCs w:val="24"/>
        </w:rPr>
        <w:t>Arktouros</w:t>
      </w:r>
      <w:proofErr w:type="spellEnd"/>
      <w:r>
        <w:rPr>
          <w:i/>
          <w:sz w:val="24"/>
          <w:szCs w:val="24"/>
        </w:rPr>
        <w:t xml:space="preserve">. Hellenic Studies presented to Bernard M.W. Knox </w:t>
      </w:r>
      <w:proofErr w:type="gramStart"/>
      <w:r>
        <w:rPr>
          <w:i/>
          <w:sz w:val="24"/>
          <w:szCs w:val="24"/>
        </w:rPr>
        <w:t>on the occasion of</w:t>
      </w:r>
      <w:proofErr w:type="gramEnd"/>
      <w:r>
        <w:rPr>
          <w:i/>
          <w:sz w:val="24"/>
          <w:szCs w:val="24"/>
        </w:rPr>
        <w:t xml:space="preserve"> his 65th birthday</w:t>
      </w:r>
      <w:r>
        <w:rPr>
          <w:sz w:val="24"/>
          <w:szCs w:val="24"/>
        </w:rPr>
        <w:t xml:space="preserve">, edited by G. W. </w:t>
      </w:r>
      <w:proofErr w:type="spellStart"/>
      <w:r>
        <w:rPr>
          <w:sz w:val="24"/>
          <w:szCs w:val="24"/>
        </w:rPr>
        <w:t>Bowersock</w:t>
      </w:r>
      <w:proofErr w:type="spellEnd"/>
      <w:r>
        <w:rPr>
          <w:sz w:val="24"/>
          <w:szCs w:val="24"/>
        </w:rPr>
        <w:t>. Berlin and New York, 1979.</w:t>
      </w:r>
    </w:p>
    <w:p w14:paraId="5A6BC780" w14:textId="77777777" w:rsidR="00B06860" w:rsidRDefault="00A84676">
      <w:pPr>
        <w:shd w:val="clear" w:color="auto" w:fill="FFFFFF"/>
        <w:spacing w:after="180" w:line="480" w:lineRule="auto"/>
        <w:ind w:left="900" w:hanging="440"/>
        <w:contextualSpacing w:val="0"/>
        <w:rPr>
          <w:sz w:val="24"/>
          <w:szCs w:val="24"/>
        </w:rPr>
      </w:pPr>
      <w:proofErr w:type="spellStart"/>
      <w:r>
        <w:rPr>
          <w:sz w:val="24"/>
          <w:szCs w:val="24"/>
        </w:rPr>
        <w:lastRenderedPageBreak/>
        <w:t>Vocaturo</w:t>
      </w:r>
      <w:proofErr w:type="spellEnd"/>
      <w:r>
        <w:rPr>
          <w:sz w:val="24"/>
          <w:szCs w:val="24"/>
        </w:rPr>
        <w:t>, Luca. "Dionysiac Sacrifice in Euripi</w:t>
      </w:r>
      <w:r>
        <w:rPr>
          <w:sz w:val="24"/>
          <w:szCs w:val="24"/>
        </w:rPr>
        <w:t>des Bacchae.", accessed November 13th</w:t>
      </w:r>
      <w:proofErr w:type="gramStart"/>
      <w:r>
        <w:rPr>
          <w:sz w:val="24"/>
          <w:szCs w:val="24"/>
        </w:rPr>
        <w:t xml:space="preserve"> 2018</w:t>
      </w:r>
      <w:proofErr w:type="gramEnd"/>
      <w:r>
        <w:rPr>
          <w:sz w:val="24"/>
          <w:szCs w:val="24"/>
        </w:rPr>
        <w:t>.</w:t>
      </w:r>
    </w:p>
    <w:p w14:paraId="73D15882" w14:textId="77777777" w:rsidR="00B06860" w:rsidRDefault="00B06860">
      <w:pPr>
        <w:contextualSpacing w:val="0"/>
      </w:pPr>
    </w:p>
    <w:sectPr w:rsidR="00B0686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60"/>
    <w:rsid w:val="00506325"/>
    <w:rsid w:val="00A84676"/>
    <w:rsid w:val="00B06860"/>
    <w:rsid w:val="00F46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C1B6"/>
  <w15:docId w15:val="{7A3FBFCC-A935-4AD3-9B78-0B8DBB4FE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jstor.org/stable/284213?seq=1" TargetMode="External"/><Relationship Id="rId4" Type="http://schemas.openxmlformats.org/officeDocument/2006/relationships/hyperlink" Target="https://www.academia.edu/545377/Metatheatre_and_Metaphysics_in_two_late_Greek_trage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dc:creator>
  <cp:lastModifiedBy>Ute Beaton</cp:lastModifiedBy>
  <cp:revision>3</cp:revision>
  <dcterms:created xsi:type="dcterms:W3CDTF">2018-11-23T16:02:00Z</dcterms:created>
  <dcterms:modified xsi:type="dcterms:W3CDTF">2018-11-23T16:04:00Z</dcterms:modified>
</cp:coreProperties>
</file>