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4"/>
          <w:szCs w:val="24"/>
          <w:u w:val="single"/>
        </w:rPr>
      </w:pPr>
      <w:r w:rsidDel="00000000" w:rsidR="00000000" w:rsidRPr="00000000">
        <w:rPr>
          <w:sz w:val="24"/>
          <w:szCs w:val="24"/>
          <w:u w:val="single"/>
          <w:rtl w:val="0"/>
        </w:rPr>
        <w:t xml:space="preserve">Thucydides </w:t>
      </w:r>
      <w:r w:rsidDel="00000000" w:rsidR="00000000" w:rsidRPr="00000000">
        <w:rPr>
          <w:i w:val="1"/>
          <w:sz w:val="24"/>
          <w:szCs w:val="24"/>
          <w:u w:val="single"/>
          <w:rtl w:val="0"/>
        </w:rPr>
        <w:t xml:space="preserve">History of the Peloponnesian War </w:t>
      </w:r>
      <w:r w:rsidDel="00000000" w:rsidR="00000000" w:rsidRPr="00000000">
        <w:rPr>
          <w:sz w:val="24"/>
          <w:szCs w:val="24"/>
          <w:u w:val="single"/>
          <w:rtl w:val="0"/>
        </w:rPr>
        <w:t xml:space="preserve">5.70-71</w:t>
      </w:r>
    </w:p>
    <w:p w:rsidR="00000000" w:rsidDel="00000000" w:rsidP="00000000" w:rsidRDefault="00000000" w:rsidRPr="00000000" w14:paraId="00000002">
      <w:pPr>
        <w:rPr>
          <w:sz w:val="24"/>
          <w:szCs w:val="24"/>
        </w:rPr>
      </w:pPr>
      <w:r w:rsidDel="00000000" w:rsidR="00000000" w:rsidRPr="00000000">
        <w:rPr>
          <w:rtl w:val="0"/>
        </w:rPr>
      </w:r>
    </w:p>
    <w:p w:rsidR="00000000" w:rsidDel="00000000" w:rsidP="00000000" w:rsidRDefault="00000000" w:rsidRPr="00000000" w14:paraId="00000003">
      <w:pPr>
        <w:rPr>
          <w:sz w:val="24"/>
          <w:szCs w:val="24"/>
        </w:rPr>
      </w:pPr>
      <w:r w:rsidDel="00000000" w:rsidR="00000000" w:rsidRPr="00000000">
        <w:rPr>
          <w:sz w:val="24"/>
          <w:szCs w:val="24"/>
          <w:rtl w:val="0"/>
        </w:rPr>
        <w:t xml:space="preserve">Thucydides was an Athenian general and historian, and his </w:t>
      </w:r>
      <w:r w:rsidDel="00000000" w:rsidR="00000000" w:rsidRPr="00000000">
        <w:rPr>
          <w:i w:val="1"/>
          <w:sz w:val="24"/>
          <w:szCs w:val="24"/>
          <w:rtl w:val="0"/>
        </w:rPr>
        <w:t xml:space="preserve">History of the Peloponnesian War</w:t>
      </w:r>
      <w:r w:rsidDel="00000000" w:rsidR="00000000" w:rsidRPr="00000000">
        <w:rPr>
          <w:sz w:val="24"/>
          <w:szCs w:val="24"/>
          <w:rtl w:val="0"/>
        </w:rPr>
        <w:t xml:space="preserve"> is a late 5th century BCE account of the ongoing war between the Athenian led Delian League and the Spartan led Peloponnesian League from 431 BCE to 404 BCE, although his account abruptly ends in 411 BCE. Book five of </w:t>
      </w:r>
      <w:r w:rsidDel="00000000" w:rsidR="00000000" w:rsidRPr="00000000">
        <w:rPr>
          <w:i w:val="1"/>
          <w:sz w:val="24"/>
          <w:szCs w:val="24"/>
          <w:rtl w:val="0"/>
        </w:rPr>
        <w:t xml:space="preserve">History of the Peloponnesian War</w:t>
      </w:r>
      <w:r w:rsidDel="00000000" w:rsidR="00000000" w:rsidRPr="00000000">
        <w:rPr>
          <w:sz w:val="24"/>
          <w:szCs w:val="24"/>
          <w:rtl w:val="0"/>
        </w:rPr>
        <w:t xml:space="preserve"> recounts the years 422-415 BCE, including the battle of Mantinea in 418 BCE, fought between the Spartans and their allies and the Athenians and Argives, ultimately resulting in victory for the Spartans. This particular passages gives us a insight into what Thucydides presents as the mindset of every Greek soldier, as well as an unprecedented tactic on the battle field with no parallel seen anywhere in the history of Greek warfare (Kagan, 1987, p.125).</w:t>
      </w:r>
    </w:p>
    <w:p w:rsidR="00000000" w:rsidDel="00000000" w:rsidP="00000000" w:rsidRDefault="00000000" w:rsidRPr="00000000" w14:paraId="00000004">
      <w:pPr>
        <w:rPr>
          <w:sz w:val="24"/>
          <w:szCs w:val="24"/>
        </w:rPr>
      </w:pPr>
      <w:r w:rsidDel="00000000" w:rsidR="00000000" w:rsidRPr="00000000">
        <w:rPr>
          <w:rtl w:val="0"/>
        </w:rPr>
      </w:r>
    </w:p>
    <w:p w:rsidR="00000000" w:rsidDel="00000000" w:rsidP="00000000" w:rsidRDefault="00000000" w:rsidRPr="00000000" w14:paraId="00000005">
      <w:pPr>
        <w:rPr>
          <w:sz w:val="24"/>
          <w:szCs w:val="24"/>
        </w:rPr>
      </w:pPr>
      <w:r w:rsidDel="00000000" w:rsidR="00000000" w:rsidRPr="00000000">
        <w:rPr>
          <w:sz w:val="24"/>
          <w:szCs w:val="24"/>
          <w:rtl w:val="0"/>
        </w:rPr>
        <w:t xml:space="preserve">In describing the Lacedaemonians approach towards the enemy forces, Thucydides specifically mentions the Spartan armies use of music and flute-players in order to keep the line of soldiers unbroken and marching in time with one another (Thuc. 5.70). This effectively creates a vivid image of the Spartan army, marching on towards the enemy in a perfectly timed step, exhibiting the military ideals instilled in the Spartan men from a young age. This detail is not the only notable detail in Thucydides account of the battle of Mantinea; Connor (1984, p.144) notes that this account is in fact the most detailed account of any battle in </w:t>
      </w:r>
      <w:r w:rsidDel="00000000" w:rsidR="00000000" w:rsidRPr="00000000">
        <w:rPr>
          <w:i w:val="1"/>
          <w:sz w:val="24"/>
          <w:szCs w:val="24"/>
          <w:rtl w:val="0"/>
        </w:rPr>
        <w:t xml:space="preserve">History of the Peloponnesian War</w:t>
      </w:r>
      <w:r w:rsidDel="00000000" w:rsidR="00000000" w:rsidRPr="00000000">
        <w:rPr>
          <w:sz w:val="24"/>
          <w:szCs w:val="24"/>
          <w:rtl w:val="0"/>
        </w:rPr>
        <w:t xml:space="preserve">, and from such a detailed account we can not only ‘hear’ the flute-playing, but Thucydides’ account also allows us to calculate the size of the Peloponnesian troops (Thuc. 5.68.3) and understand the structure of command out on the battlefield (5.66.3). Due to the level of detail in Thucydides’ account of this battle, there is some debate amongst scholars on whether or not Thucydides’ was at the battle of Mantinea himself; Thirwall (1845, as cited in Connor, 1984, p.144) argues that Thucydides’ must have been there, but Woodhouse (1933, as cited in Connor, 1984, p.144) refutes this idea. Connor (1984, p.144) presents what he deems a much more compelling reason for such detail here when it lacks elsewhere, that Thucydides’ frequently uses more detail in one instance of a phenomenon than in others to use it as an example that can be applied across the others without need for repetition, and that taking this approach here serves to remind the reader that through the “insecure interlude” (Thuc. 5.25.3) war still continues.</w:t>
      </w:r>
    </w:p>
    <w:p w:rsidR="00000000" w:rsidDel="00000000" w:rsidP="00000000" w:rsidRDefault="00000000" w:rsidRPr="00000000" w14:paraId="00000006">
      <w:pPr>
        <w:rPr>
          <w:sz w:val="24"/>
          <w:szCs w:val="24"/>
        </w:rPr>
      </w:pPr>
      <w:r w:rsidDel="00000000" w:rsidR="00000000" w:rsidRPr="00000000">
        <w:rPr>
          <w:rtl w:val="0"/>
        </w:rPr>
      </w:r>
    </w:p>
    <w:p w:rsidR="00000000" w:rsidDel="00000000" w:rsidP="00000000" w:rsidRDefault="00000000" w:rsidRPr="00000000" w14:paraId="00000007">
      <w:pPr>
        <w:rPr>
          <w:sz w:val="24"/>
          <w:szCs w:val="24"/>
        </w:rPr>
      </w:pPr>
      <w:r w:rsidDel="00000000" w:rsidR="00000000" w:rsidRPr="00000000">
        <w:rPr>
          <w:sz w:val="24"/>
          <w:szCs w:val="24"/>
          <w:rtl w:val="0"/>
        </w:rPr>
        <w:t xml:space="preserve">Thucydides provides a notable insight into the mind of a Greek soldier, particularly in regards to their potential fear and the reaction to that fear:</w:t>
      </w:r>
    </w:p>
    <w:p w:rsidR="00000000" w:rsidDel="00000000" w:rsidP="00000000" w:rsidRDefault="00000000" w:rsidRPr="00000000" w14:paraId="00000008">
      <w:pPr>
        <w:rPr>
          <w:sz w:val="24"/>
          <w:szCs w:val="24"/>
        </w:rPr>
      </w:pPr>
      <w:r w:rsidDel="00000000" w:rsidR="00000000" w:rsidRPr="00000000">
        <w:rPr>
          <w:rtl w:val="0"/>
        </w:rPr>
      </w:r>
    </w:p>
    <w:p w:rsidR="00000000" w:rsidDel="00000000" w:rsidP="00000000" w:rsidRDefault="00000000" w:rsidRPr="00000000" w14:paraId="00000009">
      <w:pPr>
        <w:ind w:left="720" w:firstLine="0"/>
        <w:rPr>
          <w:sz w:val="26"/>
          <w:szCs w:val="26"/>
        </w:rPr>
      </w:pPr>
      <w:r w:rsidDel="00000000" w:rsidR="00000000" w:rsidRPr="00000000">
        <w:rPr>
          <w:sz w:val="24"/>
          <w:szCs w:val="24"/>
          <w:rtl w:val="0"/>
        </w:rPr>
        <w:t xml:space="preserve">…</w:t>
      </w:r>
      <w:r w:rsidDel="00000000" w:rsidR="00000000" w:rsidRPr="00000000">
        <w:rPr>
          <w:sz w:val="24"/>
          <w:szCs w:val="24"/>
          <w:rtl w:val="0"/>
        </w:rPr>
        <w:t xml:space="preserve">every soldier individually fears for his exposed side, which he tries to cover with the shield of his comrade on the right, conceiving that the closer he draws in the better he will be protected. The first man in the front rank of the right wing is originally responsible for the deflection, for he always wants to withdraw from the enemy his own exposed side, and the </w:t>
      </w:r>
      <w:r w:rsidDel="00000000" w:rsidR="00000000" w:rsidRPr="00000000">
        <w:rPr>
          <w:sz w:val="24"/>
          <w:szCs w:val="24"/>
          <w:rtl w:val="0"/>
        </w:rPr>
        <w:t xml:space="preserve">rest of the army, from a like fear, follow his example</w:t>
      </w:r>
      <w:r w:rsidDel="00000000" w:rsidR="00000000" w:rsidRPr="00000000">
        <w:rPr>
          <w:rtl w:val="0"/>
        </w:rPr>
      </w:r>
    </w:p>
    <w:p w:rsidR="00000000" w:rsidDel="00000000" w:rsidP="00000000" w:rsidRDefault="00000000" w:rsidRPr="00000000" w14:paraId="0000000A">
      <w:pPr>
        <w:ind w:left="720" w:firstLine="0"/>
        <w:jc w:val="right"/>
        <w:rPr>
          <w:sz w:val="24"/>
          <w:szCs w:val="24"/>
        </w:rPr>
      </w:pPr>
      <w:r w:rsidDel="00000000" w:rsidR="00000000" w:rsidRPr="00000000">
        <w:rPr>
          <w:sz w:val="24"/>
          <w:szCs w:val="24"/>
          <w:rtl w:val="0"/>
        </w:rPr>
        <w:t xml:space="preserve">(Thuc. 5.71.1)</w:t>
      </w:r>
    </w:p>
    <w:p w:rsidR="00000000" w:rsidDel="00000000" w:rsidP="00000000" w:rsidRDefault="00000000" w:rsidRPr="00000000" w14:paraId="0000000B">
      <w:pPr>
        <w:ind w:left="720" w:firstLine="0"/>
        <w:jc w:val="right"/>
        <w:rPr>
          <w:sz w:val="24"/>
          <w:szCs w:val="24"/>
        </w:rPr>
      </w:pPr>
      <w:r w:rsidDel="00000000" w:rsidR="00000000" w:rsidRPr="00000000">
        <w:rPr>
          <w:rtl w:val="0"/>
        </w:rPr>
      </w:r>
    </w:p>
    <w:p w:rsidR="00000000" w:rsidDel="00000000" w:rsidP="00000000" w:rsidRDefault="00000000" w:rsidRPr="00000000" w14:paraId="0000000C">
      <w:pPr>
        <w:rPr>
          <w:sz w:val="24"/>
          <w:szCs w:val="24"/>
        </w:rPr>
      </w:pPr>
      <w:r w:rsidDel="00000000" w:rsidR="00000000" w:rsidRPr="00000000">
        <w:rPr>
          <w:sz w:val="24"/>
          <w:szCs w:val="24"/>
          <w:rtl w:val="0"/>
        </w:rPr>
        <w:t xml:space="preserve">This provides a particularly useful insight into how the formation of the soldiers in battle would protect them from enemy attack, and the fear Thucydides suggests is shared by all soldiers would only serve to reinforce that protection. What is particularly note worthy is that Thucydides mentions this fear at all, and applies it to every soldier regardless of background or experience. While in an epic poem (such as Homer’s </w:t>
      </w:r>
      <w:r w:rsidDel="00000000" w:rsidR="00000000" w:rsidRPr="00000000">
        <w:rPr>
          <w:i w:val="1"/>
          <w:sz w:val="24"/>
          <w:szCs w:val="24"/>
          <w:rtl w:val="0"/>
        </w:rPr>
        <w:t xml:space="preserve">Iliad</w:t>
      </w:r>
      <w:r w:rsidDel="00000000" w:rsidR="00000000" w:rsidRPr="00000000">
        <w:rPr>
          <w:sz w:val="24"/>
          <w:szCs w:val="24"/>
          <w:rtl w:val="0"/>
        </w:rPr>
        <w:t xml:space="preserve">, or even Virgil’s </w:t>
      </w:r>
      <w:r w:rsidDel="00000000" w:rsidR="00000000" w:rsidRPr="00000000">
        <w:rPr>
          <w:i w:val="1"/>
          <w:sz w:val="24"/>
          <w:szCs w:val="24"/>
          <w:rtl w:val="0"/>
        </w:rPr>
        <w:t xml:space="preserve">Aeneid</w:t>
      </w:r>
      <w:r w:rsidDel="00000000" w:rsidR="00000000" w:rsidRPr="00000000">
        <w:rPr>
          <w:sz w:val="24"/>
          <w:szCs w:val="24"/>
          <w:rtl w:val="0"/>
        </w:rPr>
        <w:t xml:space="preserve">) the fear a soldier may experience is likely to be either non-existent or presented with an honourable source, Thucydides as a general who fought in the Peloponnesian war himsefl and therefore had a different experience of battle and wasn’t seeking to glorify or praise it in the way an epic writer might. Thucydides’ description of a shared fear among the soldiers comes from a place of personal experience and observation, and he even states that while aspects of his </w:t>
      </w:r>
      <w:r w:rsidDel="00000000" w:rsidR="00000000" w:rsidRPr="00000000">
        <w:rPr>
          <w:i w:val="1"/>
          <w:sz w:val="24"/>
          <w:szCs w:val="24"/>
          <w:rtl w:val="0"/>
        </w:rPr>
        <w:t xml:space="preserve">Histories</w:t>
      </w:r>
      <w:r w:rsidDel="00000000" w:rsidR="00000000" w:rsidRPr="00000000">
        <w:rPr>
          <w:sz w:val="24"/>
          <w:szCs w:val="24"/>
          <w:rtl w:val="0"/>
        </w:rPr>
        <w:t xml:space="preserve"> may not be completely true to life (notably his accounts of speeches) he aimed to speak with as much truth as possible after committing his research with due diligence (Thuc. 1.22). As such it is difficult to argue that Thucydides’ insight into the soldiers’ mindset would be at all inaccurate or embellished.</w:t>
      </w:r>
      <w:r w:rsidDel="00000000" w:rsidR="00000000" w:rsidRPr="00000000">
        <w:rPr>
          <w:rtl w:val="0"/>
        </w:rPr>
      </w:r>
    </w:p>
    <w:p w:rsidR="00000000" w:rsidDel="00000000" w:rsidP="00000000" w:rsidRDefault="00000000" w:rsidRPr="00000000" w14:paraId="0000000D">
      <w:pPr>
        <w:rPr>
          <w:sz w:val="24"/>
          <w:szCs w:val="24"/>
        </w:rPr>
      </w:pPr>
      <w:r w:rsidDel="00000000" w:rsidR="00000000" w:rsidRPr="00000000">
        <w:rPr>
          <w:rtl w:val="0"/>
        </w:rPr>
      </w:r>
    </w:p>
    <w:p w:rsidR="00000000" w:rsidDel="00000000" w:rsidP="00000000" w:rsidRDefault="00000000" w:rsidRPr="00000000" w14:paraId="0000000E">
      <w:pPr>
        <w:rPr>
          <w:sz w:val="24"/>
          <w:szCs w:val="24"/>
        </w:rPr>
      </w:pPr>
      <w:r w:rsidDel="00000000" w:rsidR="00000000" w:rsidRPr="00000000">
        <w:rPr>
          <w:sz w:val="24"/>
          <w:szCs w:val="24"/>
          <w:rtl w:val="0"/>
        </w:rPr>
        <w:t xml:space="preserve">The aspect that arguably stands out the most in this passage is Agis’ approach to the battle of Mantinea. Not only is the level of detail awarded to the account somewhat unusual (Connor, 1984, p.144), but the strategy used by Agis is also particularly unusual, and Kagan (1987, p.125) notes that this specific strategy is only seen here and not reflected anywhere else in Greek warfare history. As Kagan (1984, p.109) explains, prior to the battle of Mantinea Agis, one of the two Spartan Kings at the time, had lead two campaigns that had both been unsuccessful, leading to a lack of confidence in him from the Spartan people. However, the second Spartan king (as Sparta was controlled by an oligarchy) Pleistoanax had been “discredited” (Kagan, 1983, p.109) and this was the sole reason for the Spartan’s “willingness to allow Agis to lead the army once again” (Kagan, 1983, p.109). Due to his previous failures, and Sparta’s general militaristic society, Agis’ redemption rested on him succeeding in this battle, and only further disgrace would come from another failure (Kagan, 1984, p.109). Kagan (1984, p.114) highlights Agis’ initial rashness as he moves his troops forwards uphill at the enemy, a position in which the Athenians and Argives had the advantage, describing this act as the “reckless act of a desperate man”, although Agis, on advice from an elder, retreats before making any contact with the opposing side. Agis’ strategy in this passage of Thucydides is the most unusual however; he demands troops towards the left wing to avoid being overrun, leaving a gap in the Lacedaemonian format that he commands troops from the right wing to reinforce. Kagan (1984, p.126) states that, despite some scholars attempts to say otherwise, Agis’ strategy here could not have been preplanned in anyway, and instead suggests the Spartan king was only forced to fight before he had been prepared to, resulting in such an usual command on the battlefield.</w:t>
      </w:r>
    </w:p>
    <w:p w:rsidR="00000000" w:rsidDel="00000000" w:rsidP="00000000" w:rsidRDefault="00000000" w:rsidRPr="00000000" w14:paraId="0000000F">
      <w:pPr>
        <w:rPr>
          <w:sz w:val="24"/>
          <w:szCs w:val="24"/>
        </w:rPr>
      </w:pPr>
      <w:r w:rsidDel="00000000" w:rsidR="00000000" w:rsidRPr="00000000">
        <w:rPr>
          <w:rtl w:val="0"/>
        </w:rPr>
      </w:r>
    </w:p>
    <w:p w:rsidR="00000000" w:rsidDel="00000000" w:rsidP="00000000" w:rsidRDefault="00000000" w:rsidRPr="00000000" w14:paraId="00000010">
      <w:pPr>
        <w:rPr>
          <w:sz w:val="24"/>
          <w:szCs w:val="24"/>
        </w:rPr>
      </w:pPr>
      <w:r w:rsidDel="00000000" w:rsidR="00000000" w:rsidRPr="00000000">
        <w:rPr>
          <w:rtl w:val="0"/>
        </w:rPr>
      </w:r>
    </w:p>
    <w:p w:rsidR="00000000" w:rsidDel="00000000" w:rsidP="00000000" w:rsidRDefault="00000000" w:rsidRPr="00000000" w14:paraId="00000011">
      <w:pPr>
        <w:rPr>
          <w:sz w:val="24"/>
          <w:szCs w:val="24"/>
        </w:rPr>
      </w:pPr>
      <w:r w:rsidDel="00000000" w:rsidR="00000000" w:rsidRPr="00000000">
        <w:rPr>
          <w:sz w:val="24"/>
          <w:szCs w:val="24"/>
          <w:rtl w:val="0"/>
        </w:rPr>
        <w:t xml:space="preserve">Bibliography</w:t>
      </w:r>
    </w:p>
    <w:p w:rsidR="00000000" w:rsidDel="00000000" w:rsidP="00000000" w:rsidRDefault="00000000" w:rsidRPr="00000000" w14:paraId="00000012">
      <w:pPr>
        <w:numPr>
          <w:ilvl w:val="0"/>
          <w:numId w:val="1"/>
        </w:numPr>
        <w:ind w:left="720" w:hanging="360"/>
        <w:rPr>
          <w:sz w:val="24"/>
          <w:szCs w:val="24"/>
        </w:rPr>
      </w:pPr>
      <w:r w:rsidDel="00000000" w:rsidR="00000000" w:rsidRPr="00000000">
        <w:rPr>
          <w:sz w:val="24"/>
          <w:szCs w:val="24"/>
          <w:rtl w:val="0"/>
        </w:rPr>
        <w:t xml:space="preserve">Connor, W. R. (1984). </w:t>
      </w:r>
      <w:r w:rsidDel="00000000" w:rsidR="00000000" w:rsidRPr="00000000">
        <w:rPr>
          <w:i w:val="1"/>
          <w:sz w:val="24"/>
          <w:szCs w:val="24"/>
          <w:rtl w:val="0"/>
        </w:rPr>
        <w:t xml:space="preserve">Thucydides</w:t>
      </w:r>
      <w:r w:rsidDel="00000000" w:rsidR="00000000" w:rsidRPr="00000000">
        <w:rPr>
          <w:sz w:val="24"/>
          <w:szCs w:val="24"/>
          <w:rtl w:val="0"/>
        </w:rPr>
        <w:t xml:space="preserve">. Princeton University Press. Available at: </w:t>
      </w:r>
      <w:hyperlink r:id="rId6">
        <w:r w:rsidDel="00000000" w:rsidR="00000000" w:rsidRPr="00000000">
          <w:rPr>
            <w:color w:val="1155cc"/>
            <w:sz w:val="24"/>
            <w:szCs w:val="24"/>
            <w:u w:val="single"/>
            <w:rtl w:val="0"/>
          </w:rPr>
          <w:t xml:space="preserve">http://www.jstor.org/stable/j.ctt46n426.10</w:t>
        </w:r>
      </w:hyperlink>
      <w:r w:rsidDel="00000000" w:rsidR="00000000" w:rsidRPr="00000000">
        <w:rPr>
          <w:sz w:val="24"/>
          <w:szCs w:val="24"/>
          <w:rtl w:val="0"/>
        </w:rPr>
        <w:t xml:space="preserve"> (Accessed 28 Februrary 2023)</w:t>
      </w:r>
    </w:p>
    <w:p w:rsidR="00000000" w:rsidDel="00000000" w:rsidP="00000000" w:rsidRDefault="00000000" w:rsidRPr="00000000" w14:paraId="00000013">
      <w:pPr>
        <w:numPr>
          <w:ilvl w:val="0"/>
          <w:numId w:val="1"/>
        </w:numPr>
        <w:ind w:left="720" w:hanging="360"/>
        <w:rPr>
          <w:sz w:val="24"/>
          <w:szCs w:val="24"/>
        </w:rPr>
      </w:pPr>
      <w:r w:rsidDel="00000000" w:rsidR="00000000" w:rsidRPr="00000000">
        <w:rPr>
          <w:sz w:val="24"/>
          <w:szCs w:val="24"/>
          <w:rtl w:val="0"/>
        </w:rPr>
        <w:t xml:space="preserve">Kagan, D. (1987). </w:t>
      </w:r>
      <w:r w:rsidDel="00000000" w:rsidR="00000000" w:rsidRPr="00000000">
        <w:rPr>
          <w:i w:val="1"/>
          <w:sz w:val="24"/>
          <w:szCs w:val="24"/>
          <w:rtl w:val="0"/>
        </w:rPr>
        <w:t xml:space="preserve">A New History of the Peloponnesian War</w:t>
      </w:r>
      <w:r w:rsidDel="00000000" w:rsidR="00000000" w:rsidRPr="00000000">
        <w:rPr>
          <w:sz w:val="24"/>
          <w:szCs w:val="24"/>
          <w:rtl w:val="0"/>
        </w:rPr>
        <w:t xml:space="preserve">. Cornell University Press. Available at: </w:t>
      </w:r>
      <w:hyperlink r:id="rId7">
        <w:r w:rsidDel="00000000" w:rsidR="00000000" w:rsidRPr="00000000">
          <w:rPr>
            <w:color w:val="1155cc"/>
            <w:sz w:val="24"/>
            <w:szCs w:val="24"/>
            <w:u w:val="single"/>
            <w:rtl w:val="0"/>
          </w:rPr>
          <w:t xml:space="preserve">http://www.jstor.org/stable/10.7591/j.ctt1xx579</w:t>
        </w:r>
      </w:hyperlink>
      <w:r w:rsidDel="00000000" w:rsidR="00000000" w:rsidRPr="00000000">
        <w:rPr>
          <w:sz w:val="24"/>
          <w:szCs w:val="24"/>
          <w:rtl w:val="0"/>
        </w:rPr>
        <w:t xml:space="preserve"> (Accessed 27 February 2023)</w:t>
      </w:r>
    </w:p>
    <w:p w:rsidR="00000000" w:rsidDel="00000000" w:rsidP="00000000" w:rsidRDefault="00000000" w:rsidRPr="00000000" w14:paraId="00000014">
      <w:pPr>
        <w:numPr>
          <w:ilvl w:val="0"/>
          <w:numId w:val="1"/>
        </w:numPr>
        <w:ind w:left="720" w:hanging="360"/>
        <w:rPr>
          <w:sz w:val="24"/>
          <w:szCs w:val="24"/>
          <w:u w:val="none"/>
        </w:rPr>
      </w:pPr>
      <w:r w:rsidDel="00000000" w:rsidR="00000000" w:rsidRPr="00000000">
        <w:rPr>
          <w:sz w:val="24"/>
          <w:szCs w:val="24"/>
          <w:rtl w:val="0"/>
        </w:rPr>
        <w:t xml:space="preserve">Thirlwall, C. (1984) </w:t>
      </w:r>
      <w:r w:rsidDel="00000000" w:rsidR="00000000" w:rsidRPr="00000000">
        <w:rPr>
          <w:i w:val="1"/>
          <w:sz w:val="24"/>
          <w:szCs w:val="24"/>
          <w:rtl w:val="0"/>
        </w:rPr>
        <w:t xml:space="preserve">Thucydides</w:t>
      </w:r>
      <w:r w:rsidDel="00000000" w:rsidR="00000000" w:rsidRPr="00000000">
        <w:rPr>
          <w:sz w:val="24"/>
          <w:szCs w:val="24"/>
          <w:rtl w:val="0"/>
        </w:rPr>
        <w:t xml:space="preserve">. Princeton University Press. Available at: </w:t>
      </w:r>
      <w:hyperlink r:id="rId8">
        <w:r w:rsidDel="00000000" w:rsidR="00000000" w:rsidRPr="00000000">
          <w:rPr>
            <w:color w:val="1155cc"/>
            <w:sz w:val="24"/>
            <w:szCs w:val="24"/>
            <w:u w:val="single"/>
            <w:rtl w:val="0"/>
          </w:rPr>
          <w:t xml:space="preserve">http://www.jstor.org/stable/j.ctt46n426.10</w:t>
        </w:r>
      </w:hyperlink>
      <w:r w:rsidDel="00000000" w:rsidR="00000000" w:rsidRPr="00000000">
        <w:rPr>
          <w:sz w:val="24"/>
          <w:szCs w:val="24"/>
          <w:rtl w:val="0"/>
        </w:rPr>
        <w:t xml:space="preserve"> (Accessed 28 Februrary 2023)</w:t>
      </w:r>
    </w:p>
    <w:p w:rsidR="00000000" w:rsidDel="00000000" w:rsidP="00000000" w:rsidRDefault="00000000" w:rsidRPr="00000000" w14:paraId="00000015">
      <w:pPr>
        <w:numPr>
          <w:ilvl w:val="0"/>
          <w:numId w:val="1"/>
        </w:numPr>
        <w:ind w:left="720" w:hanging="360"/>
        <w:rPr>
          <w:sz w:val="24"/>
          <w:szCs w:val="24"/>
          <w:u w:val="none"/>
        </w:rPr>
      </w:pPr>
      <w:r w:rsidDel="00000000" w:rsidR="00000000" w:rsidRPr="00000000">
        <w:rPr>
          <w:sz w:val="24"/>
          <w:szCs w:val="24"/>
          <w:rtl w:val="0"/>
        </w:rPr>
        <w:t xml:space="preserve">Woodhouse, W. J. (1984) </w:t>
      </w:r>
      <w:r w:rsidDel="00000000" w:rsidR="00000000" w:rsidRPr="00000000">
        <w:rPr>
          <w:i w:val="1"/>
          <w:sz w:val="24"/>
          <w:szCs w:val="24"/>
          <w:rtl w:val="0"/>
        </w:rPr>
        <w:t xml:space="preserve">Thucydides</w:t>
      </w:r>
      <w:r w:rsidDel="00000000" w:rsidR="00000000" w:rsidRPr="00000000">
        <w:rPr>
          <w:sz w:val="24"/>
          <w:szCs w:val="24"/>
          <w:rtl w:val="0"/>
        </w:rPr>
        <w:t xml:space="preserve">. Princeton University Press. Available at: </w:t>
      </w:r>
      <w:hyperlink r:id="rId9">
        <w:r w:rsidDel="00000000" w:rsidR="00000000" w:rsidRPr="00000000">
          <w:rPr>
            <w:color w:val="1155cc"/>
            <w:sz w:val="24"/>
            <w:szCs w:val="24"/>
            <w:u w:val="single"/>
            <w:rtl w:val="0"/>
          </w:rPr>
          <w:t xml:space="preserve">http://www.jstor.org/stable/j.ctt46n426.10</w:t>
        </w:r>
      </w:hyperlink>
      <w:r w:rsidDel="00000000" w:rsidR="00000000" w:rsidRPr="00000000">
        <w:rPr>
          <w:sz w:val="24"/>
          <w:szCs w:val="24"/>
          <w:rtl w:val="0"/>
        </w:rPr>
        <w:t xml:space="preserve"> (Accessed 28 Februrary 2023)</w:t>
      </w:r>
    </w:p>
    <w:p w:rsidR="00000000" w:rsidDel="00000000" w:rsidP="00000000" w:rsidRDefault="00000000" w:rsidRPr="00000000" w14:paraId="00000016">
      <w:pPr>
        <w:rPr>
          <w:sz w:val="24"/>
          <w:szCs w:val="24"/>
        </w:rPr>
      </w:pPr>
      <w:r w:rsidDel="00000000" w:rsidR="00000000" w:rsidRPr="00000000">
        <w:rPr>
          <w:rtl w:val="0"/>
        </w:rPr>
      </w:r>
    </w:p>
    <w:p w:rsidR="00000000" w:rsidDel="00000000" w:rsidP="00000000" w:rsidRDefault="00000000" w:rsidRPr="00000000" w14:paraId="00000017">
      <w:pPr>
        <w:numPr>
          <w:ilvl w:val="0"/>
          <w:numId w:val="2"/>
        </w:numPr>
        <w:ind w:left="720" w:hanging="360"/>
        <w:rPr>
          <w:sz w:val="24"/>
          <w:szCs w:val="24"/>
          <w:u w:val="none"/>
        </w:rPr>
      </w:pPr>
      <w:r w:rsidDel="00000000" w:rsidR="00000000" w:rsidRPr="00000000">
        <w:rPr>
          <w:sz w:val="24"/>
          <w:szCs w:val="24"/>
          <w:rtl w:val="0"/>
        </w:rPr>
        <w:t xml:space="preserve">Thucydides, </w:t>
      </w:r>
      <w:r w:rsidDel="00000000" w:rsidR="00000000" w:rsidRPr="00000000">
        <w:rPr>
          <w:i w:val="1"/>
          <w:sz w:val="24"/>
          <w:szCs w:val="24"/>
          <w:rtl w:val="0"/>
        </w:rPr>
        <w:t xml:space="preserve">History of the Peloponnesian War</w:t>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jstor.org/stable/j.ctt46n426.10" TargetMode="External"/><Relationship Id="rId5" Type="http://schemas.openxmlformats.org/officeDocument/2006/relationships/styles" Target="styles.xml"/><Relationship Id="rId6" Type="http://schemas.openxmlformats.org/officeDocument/2006/relationships/hyperlink" Target="http://www.jstor.org/stable/j.ctt46n426.10" TargetMode="External"/><Relationship Id="rId7" Type="http://schemas.openxmlformats.org/officeDocument/2006/relationships/hyperlink" Target="http://www.jstor.org/stable/10.7591/j.ctt1xx579" TargetMode="External"/><Relationship Id="rId8" Type="http://schemas.openxmlformats.org/officeDocument/2006/relationships/hyperlink" Target="http://www.jstor.org/stable/j.ctt46n426.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