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10F45" w:rsidRDefault="00A10F45" w:rsidP="00227F5C">
      <w:pPr>
        <w:spacing w:after="252" w:line="259" w:lineRule="auto"/>
        <w:ind w:right="8"/>
      </w:pPr>
    </w:p>
    <w:p w:rsidR="00A10F45" w:rsidRDefault="00037BB1">
      <w:pPr>
        <w:spacing w:after="255" w:line="259" w:lineRule="auto"/>
        <w:ind w:left="66" w:right="0" w:firstLine="0"/>
        <w:jc w:val="center"/>
      </w:pPr>
      <w:r>
        <w:rPr>
          <w:sz w:val="28"/>
        </w:rPr>
        <w:t xml:space="preserve"> </w:t>
      </w:r>
    </w:p>
    <w:p w:rsidR="00A10F45" w:rsidRPr="00227F5C" w:rsidRDefault="00227F5C" w:rsidP="00227F5C">
      <w:pPr>
        <w:spacing w:after="252" w:line="259" w:lineRule="auto"/>
        <w:ind w:right="10"/>
        <w:rPr>
          <w:b/>
          <w:bCs/>
          <w:i/>
          <w:iCs/>
          <w:sz w:val="40"/>
          <w:szCs w:val="40"/>
          <w:u w:val="single"/>
        </w:rPr>
      </w:pPr>
      <w:r>
        <w:rPr>
          <w:sz w:val="28"/>
        </w:rPr>
        <w:t xml:space="preserve">                                                              </w:t>
      </w:r>
      <w:r w:rsidR="00037BB1" w:rsidRPr="00227F5C">
        <w:rPr>
          <w:b/>
          <w:bCs/>
          <w:i/>
          <w:iCs/>
          <w:color w:val="FF0000"/>
          <w:sz w:val="40"/>
          <w:szCs w:val="40"/>
          <w:u w:val="single"/>
        </w:rPr>
        <w:t>Essay</w:t>
      </w:r>
      <w:r w:rsidR="00037BB1" w:rsidRPr="00227F5C">
        <w:rPr>
          <w:b/>
          <w:bCs/>
          <w:i/>
          <w:iCs/>
          <w:sz w:val="40"/>
          <w:szCs w:val="40"/>
          <w:u w:val="single"/>
        </w:rPr>
        <w:t xml:space="preserve"> </w:t>
      </w:r>
    </w:p>
    <w:p w:rsidR="00A10F45" w:rsidRDefault="00037BB1">
      <w:pPr>
        <w:spacing w:after="255" w:line="259" w:lineRule="auto"/>
        <w:ind w:left="66" w:right="0" w:firstLine="0"/>
        <w:jc w:val="center"/>
      </w:pPr>
      <w:r>
        <w:rPr>
          <w:sz w:val="28"/>
        </w:rPr>
        <w:t xml:space="preserve"> </w:t>
      </w:r>
    </w:p>
    <w:p w:rsidR="00A10F45" w:rsidRPr="00E0212F" w:rsidRDefault="00037BB1" w:rsidP="00E0212F">
      <w:pPr>
        <w:spacing w:after="255" w:line="259" w:lineRule="auto"/>
        <w:ind w:left="0" w:right="7" w:firstLine="0"/>
        <w:jc w:val="center"/>
        <w:rPr>
          <w:sz w:val="44"/>
          <w:szCs w:val="44"/>
        </w:rPr>
      </w:pPr>
      <w:r w:rsidRPr="00E0212F">
        <w:rPr>
          <w:b/>
          <w:sz w:val="44"/>
          <w:szCs w:val="44"/>
        </w:rPr>
        <w:t>Title:</w:t>
      </w:r>
    </w:p>
    <w:p w:rsidR="0072341B" w:rsidRPr="0072341B" w:rsidRDefault="00037BB1" w:rsidP="0072341B">
      <w:pPr>
        <w:spacing w:after="176" w:line="259" w:lineRule="auto"/>
        <w:ind w:left="105" w:right="0"/>
        <w:jc w:val="center"/>
        <w:rPr>
          <w:b/>
          <w:color w:val="FF0000"/>
          <w:sz w:val="32"/>
          <w:szCs w:val="32"/>
        </w:rPr>
      </w:pPr>
      <w:r w:rsidRPr="0072341B">
        <w:rPr>
          <w:b/>
          <w:color w:val="FF0000"/>
          <w:sz w:val="32"/>
          <w:szCs w:val="32"/>
        </w:rPr>
        <w:t>Civil legal aid has been allowed to fall into a state of decline that fails to meet</w:t>
      </w:r>
      <w:r w:rsidR="0072341B" w:rsidRPr="0072341B">
        <w:rPr>
          <w:color w:val="FF0000"/>
          <w:sz w:val="32"/>
          <w:szCs w:val="32"/>
        </w:rPr>
        <w:t xml:space="preserve"> </w:t>
      </w:r>
      <w:r w:rsidRPr="0072341B">
        <w:rPr>
          <w:b/>
          <w:color w:val="FF0000"/>
          <w:sz w:val="32"/>
          <w:szCs w:val="32"/>
        </w:rPr>
        <w:t>its primary objective of delivering access to justice’’</w:t>
      </w:r>
    </w:p>
    <w:p w:rsidR="0072341B" w:rsidRDefault="0072341B" w:rsidP="0072341B">
      <w:pPr>
        <w:spacing w:after="176" w:line="259" w:lineRule="auto"/>
        <w:ind w:left="105" w:right="0"/>
        <w:rPr>
          <w:b/>
          <w:sz w:val="32"/>
          <w:szCs w:val="32"/>
        </w:rPr>
      </w:pPr>
    </w:p>
    <w:p w:rsidR="00A10F45" w:rsidRPr="0072341B" w:rsidRDefault="00A10F45" w:rsidP="0072341B">
      <w:pPr>
        <w:spacing w:after="176" w:line="259" w:lineRule="auto"/>
        <w:ind w:right="0"/>
        <w:rPr>
          <w:sz w:val="32"/>
          <w:szCs w:val="32"/>
        </w:rPr>
      </w:pPr>
    </w:p>
    <w:p w:rsidR="00A10F45" w:rsidRDefault="00037BB1">
      <w:pPr>
        <w:spacing w:after="255" w:line="259" w:lineRule="auto"/>
        <w:ind w:left="0" w:right="0" w:firstLine="0"/>
        <w:jc w:val="left"/>
      </w:pPr>
      <w:r>
        <w:rPr>
          <w:b/>
          <w:sz w:val="28"/>
        </w:rPr>
        <w:t xml:space="preserve"> </w:t>
      </w:r>
    </w:p>
    <w:p w:rsidR="00A10F45" w:rsidRDefault="00A10F45" w:rsidP="00227F5C">
      <w:pPr>
        <w:spacing w:after="255" w:line="259" w:lineRule="auto"/>
        <w:ind w:left="0" w:right="0" w:firstLine="0"/>
        <w:jc w:val="left"/>
      </w:pPr>
    </w:p>
    <w:p w:rsidR="00A10F45" w:rsidRDefault="00037BB1">
      <w:pPr>
        <w:spacing w:after="245" w:line="259" w:lineRule="auto"/>
        <w:ind w:left="0" w:right="0" w:firstLine="0"/>
        <w:jc w:val="left"/>
      </w:pPr>
      <w:r>
        <w:rPr>
          <w:b/>
          <w:sz w:val="28"/>
        </w:rPr>
        <w:t xml:space="preserve"> </w:t>
      </w:r>
    </w:p>
    <w:p w:rsidR="00A10F45" w:rsidRDefault="00037BB1">
      <w:pPr>
        <w:spacing w:after="5794" w:line="259" w:lineRule="auto"/>
        <w:ind w:left="0" w:right="0" w:firstLine="0"/>
        <w:jc w:val="left"/>
      </w:pPr>
      <w:r>
        <w:rPr>
          <w:b/>
          <w:sz w:val="28"/>
        </w:rPr>
        <w:t xml:space="preserve"> </w:t>
      </w:r>
      <w:r>
        <w:rPr>
          <w:b/>
          <w:sz w:val="28"/>
        </w:rPr>
        <w:tab/>
        <w:t xml:space="preserve"> </w:t>
      </w:r>
    </w:p>
    <w:p w:rsidR="00A10F45" w:rsidRDefault="00037BB1">
      <w:pPr>
        <w:spacing w:after="0" w:line="259" w:lineRule="auto"/>
        <w:ind w:left="0" w:right="0" w:firstLine="0"/>
        <w:jc w:val="left"/>
      </w:pPr>
      <w:r>
        <w:t xml:space="preserve"> </w:t>
      </w:r>
    </w:p>
    <w:p w:rsidR="00A10F45" w:rsidRPr="00772539" w:rsidRDefault="00037BB1">
      <w:pPr>
        <w:pStyle w:val="Heading1"/>
        <w:ind w:left="-5"/>
        <w:rPr>
          <w:i/>
          <w:iCs/>
          <w:color w:val="FF0000"/>
          <w:u w:val="single"/>
        </w:rPr>
      </w:pPr>
      <w:r w:rsidRPr="00772539">
        <w:rPr>
          <w:i/>
          <w:iCs/>
          <w:color w:val="FF0000"/>
          <w:u w:val="single"/>
        </w:rPr>
        <w:lastRenderedPageBreak/>
        <w:t>Introduction</w:t>
      </w:r>
      <w:r w:rsidR="00772539" w:rsidRPr="00772539">
        <w:rPr>
          <w:i/>
          <w:iCs/>
          <w:color w:val="FF0000"/>
          <w:u w:val="single"/>
        </w:rPr>
        <w:t>:</w:t>
      </w:r>
    </w:p>
    <w:p w:rsidR="00A10F45" w:rsidRDefault="00037BB1">
      <w:pPr>
        <w:spacing w:after="316"/>
        <w:ind w:left="-5" w:right="1"/>
      </w:pPr>
      <w:r>
        <w:t xml:space="preserve">The Legal Aid, </w:t>
      </w:r>
      <w:r>
        <w:t>Sentencing and Punishment of Offenders Act 2012 (LASPO) fundamentally reformed civil Legal Aid legislation in the UK by introducing steps to lower public expenditure on Legal services (</w:t>
      </w:r>
      <w:proofErr w:type="spellStart"/>
      <w:r>
        <w:t>Bowcott</w:t>
      </w:r>
      <w:proofErr w:type="spellEnd"/>
      <w:r>
        <w:t>, 2017). These changes have provoked much talk about precisely how they impact justice accessibility for the most vulnerable groups. This particular essay significantly evaluates civil legal aid, the changes because of LASPO, the effect on the legal aid system and calls for reforms to solve them. Through these componen</w:t>
      </w:r>
      <w:r>
        <w:t xml:space="preserve">ts, the essay will examine if the objectives of LASPO are consistent with civil law's concepts of equity and justice.  </w:t>
      </w:r>
    </w:p>
    <w:p w:rsidR="00A10F45" w:rsidRPr="004E1695" w:rsidRDefault="00037BB1">
      <w:pPr>
        <w:pStyle w:val="Heading1"/>
        <w:ind w:left="-5"/>
        <w:rPr>
          <w:i/>
          <w:iCs/>
          <w:color w:val="FF0000"/>
          <w:u w:val="single"/>
        </w:rPr>
      </w:pPr>
      <w:r w:rsidRPr="004E1695">
        <w:rPr>
          <w:i/>
          <w:iCs/>
          <w:color w:val="FF0000"/>
          <w:u w:val="single"/>
        </w:rPr>
        <w:t>Main Body</w:t>
      </w:r>
      <w:r w:rsidR="004E1695" w:rsidRPr="004E1695">
        <w:rPr>
          <w:i/>
          <w:iCs/>
          <w:color w:val="FF0000"/>
          <w:u w:val="single"/>
        </w:rPr>
        <w:t>:</w:t>
      </w:r>
    </w:p>
    <w:p w:rsidR="00A10F45" w:rsidRDefault="00037BB1">
      <w:pPr>
        <w:ind w:left="-5" w:right="1"/>
      </w:pPr>
      <w:r>
        <w:rPr>
          <w:b/>
        </w:rPr>
        <w:t>Civil Legal Aid</w:t>
      </w:r>
      <w:r>
        <w:t xml:space="preserve"> as well as assistance would be among the methods which aims to guarantee that access to justice isn't financially restraining. It helps people who cannot afford legal representation, by making sure a fair hearing and equal access to courts (Case, 2015). This service gives guidance and representation for all civil matters including family matters, residence and immigration cases. </w:t>
      </w:r>
    </w:p>
    <w:p w:rsidR="00A10F45" w:rsidRDefault="00037BB1">
      <w:pPr>
        <w:ind w:left="-5" w:right="1"/>
      </w:pPr>
      <w:r>
        <w:t>Civil legal assistance requires that applicants satisfy specified requirements which typically determine the applicant's income, the legal problem and the chance of getting an attorney's help in the situation. Monetary eligibility depends on earnings, capital and sometimes expenditure (Hynes, 2016). This particular evaluation ensures aid is offered to individuals who really cannot afford legal services. Moreover, the case should be of adequate legal merit; that is, there should be a valid ground for suing t</w:t>
      </w:r>
      <w:r>
        <w:t xml:space="preserve">he courts will consider honorable (Cooke and Barlow, 2014). </w:t>
      </w:r>
    </w:p>
    <w:p w:rsidR="00A10F45" w:rsidRDefault="00037BB1">
      <w:pPr>
        <w:ind w:left="-5" w:right="1"/>
      </w:pPr>
      <w:r>
        <w:t xml:space="preserve">Furthermore, the nature of the issue influences eligibility. Not every civil law matter qualifies for legal assistance; the problem should be of a nature which the legal aid system thinks worthy of help, typically addressing areas where legal aid can avoid additional social and financial hardship including homelessness or regular domestic abuse (Gibb, 2019). </w:t>
      </w:r>
    </w:p>
    <w:p w:rsidR="00A10F45" w:rsidRDefault="00037BB1">
      <w:pPr>
        <w:ind w:left="-5" w:right="1"/>
      </w:pPr>
      <w:r>
        <w:t xml:space="preserve">Though aiming to democratize justice access, civil Legal Aid is seriously restricted and hindered by incisions and changes like the legal aid, Punishment and Sentencing of Offenders Act 2012. These changes have caused heated debate regarding the viability and fairness of the system and also highlight the need for a reassessment in an effort that civil legal aid meets its stated purpose of allowing equal access to justice irrespective of income and ability.  </w:t>
      </w:r>
    </w:p>
    <w:p w:rsidR="004E1695" w:rsidRDefault="004E1695">
      <w:pPr>
        <w:ind w:left="-5" w:right="1"/>
        <w:rPr>
          <w:b/>
        </w:rPr>
      </w:pPr>
    </w:p>
    <w:p w:rsidR="004E1695" w:rsidRDefault="004E1695">
      <w:pPr>
        <w:ind w:left="-5" w:right="1"/>
        <w:rPr>
          <w:b/>
        </w:rPr>
      </w:pPr>
    </w:p>
    <w:p w:rsidR="004E1695" w:rsidRPr="004E1695" w:rsidRDefault="00037BB1">
      <w:pPr>
        <w:ind w:left="-5" w:right="1"/>
        <w:rPr>
          <w:b/>
          <w:i/>
          <w:iCs/>
          <w:color w:val="FF0000"/>
          <w:sz w:val="32"/>
          <w:szCs w:val="32"/>
          <w:u w:val="single"/>
        </w:rPr>
      </w:pPr>
      <w:r w:rsidRPr="004E1695">
        <w:rPr>
          <w:b/>
          <w:i/>
          <w:iCs/>
          <w:color w:val="FF0000"/>
          <w:sz w:val="32"/>
          <w:szCs w:val="32"/>
          <w:u w:val="single"/>
        </w:rPr>
        <w:t xml:space="preserve">Changes Made: </w:t>
      </w:r>
    </w:p>
    <w:p w:rsidR="00A10F45" w:rsidRDefault="00037BB1">
      <w:pPr>
        <w:ind w:left="-5" w:right="1"/>
      </w:pPr>
      <w:r>
        <w:t>The Law of Legal Aid, Punishment and Sentencing of Offenders Act 2012 (LASPO) fundamentally altered the UK civil Legal Aid landscape, driven principally by government plans to lower public expenditure on Legal services (Gibb, 2019). LASPO's biggest improvement was the substantial lowering of civil case categories open for legal assistance (Law Society, 2022). Earlier, legal assistance covered nearly all areas of civil law; however, after LASPO, places like most family law cases (unless there's proof of dome</w:t>
      </w:r>
      <w:r>
        <w:t xml:space="preserve">stic violence), personal landlord disputes, specific immigration cases, employment law and education law were not considered for funding (Cooke and Barlow, 2014). This particular limitation was justified by the necessity to concentrate resources on what were deemed the most urgent situations, in which legal help was deemed essential. </w:t>
      </w:r>
    </w:p>
    <w:p w:rsidR="00A10F45" w:rsidRDefault="00037BB1">
      <w:pPr>
        <w:ind w:left="-5" w:right="1"/>
      </w:pPr>
      <w:r>
        <w:t>Together with the case variations restrictions, LASPO instituted tougher monetary eligibility standards for legal help applicants. The modified means testing narrowed the income threshold and made an applicant's finances stricter (Stephens and Mansfield, 2016). Here the goal was reserving legal assistance for the poorest members of the society, while restricting resources have been utilized for the biggest demand (Hynes, 2016). However, this particular change disproportionately excluded many individuals who</w:t>
      </w:r>
      <w:r>
        <w:t xml:space="preserve"> weren't rich enough to pay for legal counsel and widened the justice gap. </w:t>
      </w:r>
    </w:p>
    <w:p w:rsidR="00A10F45" w:rsidRDefault="00037BB1">
      <w:pPr>
        <w:ind w:left="-5" w:right="1"/>
      </w:pPr>
      <w:r>
        <w:t>Additionally, LASPO pressed for better use of alternate dispute resolution mechanisms, including family law mediation funding instead of courtroom litigation. The law encouraged settlements outside court to lower judicial burden and accelerate case resolution (Law Society, 2022). This particular policy change is consistent with present justice values of effectiveness and consensus dispute resolution. Nevertheless, it's been criticized for being awkward in cases of complicated law or great power imbalances a</w:t>
      </w:r>
      <w:r>
        <w:t xml:space="preserve">mong parties (Ministry of Justice, 2021). </w:t>
      </w:r>
    </w:p>
    <w:p w:rsidR="00A10F45" w:rsidRDefault="00037BB1">
      <w:pPr>
        <w:ind w:left="-5" w:right="1"/>
      </w:pPr>
      <w:r>
        <w:t>The sum total of these legislative modifications has produced considerable controversy on their relevance and usefulness (</w:t>
      </w:r>
      <w:proofErr w:type="spellStart"/>
      <w:r>
        <w:t>Sommerlad</w:t>
      </w:r>
      <w:proofErr w:type="spellEnd"/>
      <w:r>
        <w:t>, 2015). Critics have cited legal aid cuts to increase the amount of self-represented litigants, longer trial and appeals procedure times and sometimes even injustices because of the absence of trained legal counsel (</w:t>
      </w:r>
      <w:proofErr w:type="spellStart"/>
      <w:r>
        <w:t>Pleasence</w:t>
      </w:r>
      <w:proofErr w:type="spellEnd"/>
      <w:r>
        <w:t xml:space="preserve">, </w:t>
      </w:r>
      <w:proofErr w:type="spellStart"/>
      <w:r>
        <w:t>Balmer</w:t>
      </w:r>
      <w:proofErr w:type="spellEnd"/>
      <w:r>
        <w:t xml:space="preserve">, and </w:t>
      </w:r>
      <w:proofErr w:type="spellStart"/>
      <w:r>
        <w:t>Sandefur</w:t>
      </w:r>
      <w:proofErr w:type="spellEnd"/>
      <w:r>
        <w:t xml:space="preserve">, 2013). Such results signal a break with the fundamental idea of equal rights access which disproportionately affects the most vulnerable in society. </w:t>
      </w:r>
    </w:p>
    <w:p w:rsidR="00A10F45" w:rsidRDefault="00037BB1">
      <w:pPr>
        <w:ind w:left="-5" w:right="1"/>
      </w:pPr>
      <w:r>
        <w:lastRenderedPageBreak/>
        <w:t xml:space="preserve">Therefore, LASPO has changed civil legal aid and needs a rethinking of its goals and strategies. The trouble is balancing fiscal prudential concerns with the demand for legitimate representation and information to keep a just justice system. This particular scenario demonstrates that the present legal aid system requires continual review and prospective reform to close the gaps and bring it back into line with bigger justice and equity objectives.   </w:t>
      </w:r>
    </w:p>
    <w:p w:rsidR="00A10F45" w:rsidRDefault="00037BB1">
      <w:pPr>
        <w:ind w:left="-5" w:right="1"/>
      </w:pPr>
      <w:r>
        <w:rPr>
          <w:b/>
        </w:rPr>
        <w:t xml:space="preserve">Impact of the Changes Made by LASPO on Civil Legal Aid: </w:t>
      </w:r>
      <w:r>
        <w:t>The legal aid, Punishment and Sentencing of Offenders Act 2012 (LASPO) has substantially changed civil Legal Aid and impacted access to justice. By limiting legal help and imposing stringent eligibility requirements, LASPO has radically reshaped the service of legal help to the poor (Young and Quirk, 2014).</w:t>
      </w:r>
      <w:r>
        <w:rPr>
          <w:b/>
        </w:rPr>
        <w:t xml:space="preserve"> </w:t>
      </w:r>
    </w:p>
    <w:p w:rsidR="00A10F45" w:rsidRDefault="00037BB1">
      <w:pPr>
        <w:ind w:left="-5" w:right="1"/>
      </w:pPr>
      <w:r>
        <w:t>Among the immediate impacts of LASPO was a drastic decrease of civil legal aid eligibility. This particular fall is mainly because the Act excludes a lot of parts of law out of legal aid coverage: particular family law claims, most private landlord claims, along with non-asylum immigration cases (Ministry of Justice, 2021; Stephens and Mansfield, 2016). In these kinds of regions, disadvantaged individuals are oftentimes not able to pay for personal legal counsel (Stratford and Whyte, 2018). Consequently, ma</w:t>
      </w:r>
      <w:r>
        <w:t>ny are without legal assistance or counsel, facing legal difficulties by themselves, which might increase economic and social vulnerability (</w:t>
      </w:r>
      <w:proofErr w:type="spellStart"/>
      <w:r>
        <w:t>Pleasence</w:t>
      </w:r>
      <w:proofErr w:type="spellEnd"/>
      <w:r>
        <w:t xml:space="preserve">, </w:t>
      </w:r>
      <w:proofErr w:type="spellStart"/>
      <w:r>
        <w:t>Balmer</w:t>
      </w:r>
      <w:proofErr w:type="spellEnd"/>
      <w:r>
        <w:t xml:space="preserve">, and </w:t>
      </w:r>
      <w:proofErr w:type="spellStart"/>
      <w:r>
        <w:t>Sandefur</w:t>
      </w:r>
      <w:proofErr w:type="spellEnd"/>
      <w:r>
        <w:t xml:space="preserve">, 2013). </w:t>
      </w:r>
    </w:p>
    <w:p w:rsidR="00A10F45" w:rsidRDefault="00037BB1">
      <w:pPr>
        <w:ind w:left="-5" w:right="1"/>
      </w:pPr>
      <w:r>
        <w:t xml:space="preserve">Additionally to this tightening monetary eligibility requirements under LASPO, means also individuals that are eligible in covered places don't usually receive it. The Act's tighter cash flow and capital tests have effectively barred a lot of the </w:t>
      </w:r>
      <w:proofErr w:type="spellStart"/>
      <w:r>
        <w:t>unaffluent</w:t>
      </w:r>
      <w:proofErr w:type="spellEnd"/>
      <w:r>
        <w:t xml:space="preserve"> public which makes and has just below the threshold from accessing subsidized legal services (Riddell, 2020). This has resulted in an influx of unrepresented individuals in the courts - known as 'litigants in person'. </w:t>
      </w:r>
    </w:p>
    <w:p w:rsidR="00A10F45" w:rsidRDefault="00037BB1">
      <w:pPr>
        <w:ind w:left="-5" w:right="1"/>
      </w:pPr>
      <w:r>
        <w:t>The rise in litigants in person has had different repercussions on the justice system. Cases where the self-represented party is represented progress slower and are not as likely to produce favorable results (</w:t>
      </w:r>
      <w:proofErr w:type="spellStart"/>
      <w:r>
        <w:t>Sommerlad</w:t>
      </w:r>
      <w:proofErr w:type="spellEnd"/>
      <w:r>
        <w:t xml:space="preserve">, 2015). This not only impacts the people involved but places extra demands on the judiciary and causes delay and expense to all involved. The effectiveness of the legal system could be impaired by court proceedings becoming more complicated and prolonged when both party is missing an attorney or both are unrepresented (Smith, 2018). </w:t>
      </w:r>
    </w:p>
    <w:p w:rsidR="00A10F45" w:rsidRDefault="00037BB1">
      <w:pPr>
        <w:ind w:left="-5" w:right="1"/>
      </w:pPr>
      <w:r>
        <w:t xml:space="preserve">Furthermore, legal aid withdrawal in a lot of jurisdictions has developed bigger societal effects. For example, without representation housing, family law and welfare benefit conflicts might remain unresolved or be disproportionally resolved, increasing homelessness, unmet poverty and </w:t>
      </w:r>
      <w:r>
        <w:lastRenderedPageBreak/>
        <w:t>family disintegration (</w:t>
      </w:r>
      <w:proofErr w:type="spellStart"/>
      <w:r>
        <w:t>Trinder</w:t>
      </w:r>
      <w:proofErr w:type="spellEnd"/>
      <w:r>
        <w:t xml:space="preserve">, 2017). These social issues even more stress public services and also add up as time passes to higher public expenditures. </w:t>
      </w:r>
    </w:p>
    <w:p w:rsidR="00A10F45" w:rsidRDefault="00037BB1">
      <w:pPr>
        <w:ind w:left="-5" w:right="1"/>
      </w:pPr>
      <w:r>
        <w:t xml:space="preserve">Thus, LASPO's reforms greatly altered the civil legal aid system and consequently justice in the UK. The cut in eligibility and coverage hasn't just left many individuals without legal counsel but additionally impacted court effectiveness and contributed to the societal costs of unsolved legal problems. This particular scenario shows the legal aid system needs to be reformed to be able to fulfill its stated purpose of offering access to justice for everyone - particularly the most vulnerable people.    </w:t>
      </w:r>
    </w:p>
    <w:p w:rsidR="004E1695" w:rsidRPr="004E1695" w:rsidRDefault="00037BB1">
      <w:pPr>
        <w:ind w:left="-5" w:right="1"/>
        <w:rPr>
          <w:b/>
          <w:i/>
          <w:iCs/>
          <w:color w:val="FF0000"/>
          <w:sz w:val="32"/>
          <w:szCs w:val="32"/>
          <w:u w:val="single"/>
        </w:rPr>
      </w:pPr>
      <w:r w:rsidRPr="004E1695">
        <w:rPr>
          <w:b/>
          <w:i/>
          <w:iCs/>
          <w:color w:val="FF0000"/>
          <w:sz w:val="32"/>
          <w:szCs w:val="32"/>
          <w:u w:val="single"/>
        </w:rPr>
        <w:t>Reform Suggestions:</w:t>
      </w:r>
    </w:p>
    <w:p w:rsidR="00A10F45" w:rsidRDefault="00037BB1">
      <w:pPr>
        <w:ind w:left="-5" w:right="1"/>
      </w:pPr>
      <w:r>
        <w:rPr>
          <w:b/>
        </w:rPr>
        <w:t xml:space="preserve"> </w:t>
      </w:r>
      <w:r>
        <w:t>The considerable limitations imposed by the legal aid, Punishment and Sentencing of Offenders Act 2012 (LASPO) on civil Legal Aid in the UK need considered and effective overhaul. These changes must bring and broaden access to justice so that everybody can get legal representation whenever they want it (Young and Quirk, 2014).</w:t>
      </w:r>
      <w:r>
        <w:rPr>
          <w:b/>
        </w:rPr>
        <w:t xml:space="preserve"> </w:t>
      </w:r>
    </w:p>
    <w:p w:rsidR="00A10F45" w:rsidRDefault="00037BB1">
      <w:pPr>
        <w:ind w:left="-5" w:right="1"/>
      </w:pPr>
      <w:r>
        <w:t>A main reform idea would be expanding legal aid eligibility to a lot more areas of law. A critical first step is reinstating legal assistance for critical areas as family law, housing and immigration where populations are most in danger (</w:t>
      </w:r>
      <w:proofErr w:type="spellStart"/>
      <w:r>
        <w:t>Bowcott</w:t>
      </w:r>
      <w:proofErr w:type="spellEnd"/>
      <w:r>
        <w:t xml:space="preserve">, 2017). Legal representation is usually necessary since these sectors contain usually highly complex legal problems with potentially life-threatening consequences for people (Smith, 2018). </w:t>
      </w:r>
    </w:p>
    <w:p w:rsidR="00A10F45" w:rsidRDefault="00037BB1">
      <w:pPr>
        <w:ind w:left="-5" w:right="1"/>
      </w:pPr>
      <w:r>
        <w:t>Expanding coverage has to be also expanded while updating financial eligibility requirements. The thresholds presently exclude many people unable to afford lawyers but unable to receive assistance under the stringent LASPO standards (</w:t>
      </w:r>
      <w:proofErr w:type="spellStart"/>
      <w:r>
        <w:t>Sommerlad</w:t>
      </w:r>
      <w:proofErr w:type="spellEnd"/>
      <w:r>
        <w:t xml:space="preserve">, 2015). A far more </w:t>
      </w:r>
      <w:proofErr w:type="spellStart"/>
      <w:r>
        <w:t>equitative</w:t>
      </w:r>
      <w:proofErr w:type="spellEnd"/>
      <w:r>
        <w:t xml:space="preserve"> approach to economic eligibility would likely close this gap and make sure more individuals receive the help they require. This may include modifying income and capital testing to better reflect real cost of living and real life conditions (Cooke and Barlow, 2014). </w:t>
      </w:r>
    </w:p>
    <w:p w:rsidR="00A10F45" w:rsidRDefault="00037BB1">
      <w:pPr>
        <w:ind w:left="-5" w:right="1"/>
      </w:pPr>
      <w:r>
        <w:t xml:space="preserve">Additionally, investment in alternate dispute resolution (ADR) techniques including arbitration and mediation must be increased. Though LASPO currently promotes ADR, more might be done to make these services available and appealing (Case, 2015). This includes correctly funding ADR services and also presenting them as alternatives to litigation (which is usually quicker, less aggressive and cheaper). </w:t>
      </w:r>
    </w:p>
    <w:p w:rsidR="00A10F45" w:rsidRPr="004E1695" w:rsidRDefault="00037BB1">
      <w:pPr>
        <w:pStyle w:val="Heading1"/>
        <w:ind w:left="-5"/>
        <w:rPr>
          <w:i/>
          <w:iCs/>
          <w:color w:val="FF0000"/>
          <w:u w:val="single"/>
        </w:rPr>
      </w:pPr>
      <w:r w:rsidRPr="004E1695">
        <w:rPr>
          <w:i/>
          <w:iCs/>
          <w:color w:val="FF0000"/>
          <w:u w:val="single"/>
        </w:rPr>
        <w:lastRenderedPageBreak/>
        <w:t>Conclusion</w:t>
      </w:r>
      <w:r w:rsidR="004E1695" w:rsidRPr="004E1695">
        <w:rPr>
          <w:i/>
          <w:iCs/>
          <w:color w:val="FF0000"/>
          <w:u w:val="single"/>
        </w:rPr>
        <w:t>:</w:t>
      </w:r>
      <w:r w:rsidRPr="004E1695">
        <w:rPr>
          <w:i/>
          <w:iCs/>
          <w:color w:val="FF0000"/>
          <w:u w:val="single"/>
        </w:rPr>
        <w:t xml:space="preserve"> </w:t>
      </w:r>
    </w:p>
    <w:p w:rsidR="00CC6237" w:rsidRPr="00E901F2" w:rsidRDefault="00037BB1" w:rsidP="00E901F2">
      <w:pPr>
        <w:ind w:left="-5" w:right="1"/>
      </w:pPr>
      <w:r>
        <w:t>The legal aid, Sentencing and Punishment of Offenders Act 2012 reforms have had remarkable consequences on UK civil Legal Aid accessibility and frequently undermine the very nature of justice they wanted to safeguard. Many are denied legal assistance because of curtailment of eligibility and scope, which has resulted in court inefficiency and wider social issues. This particular essay advocates civil legal aid system change to broaden coverage, alter monetary standards, and also enhance substitute dispute r</w:t>
      </w:r>
      <w:r>
        <w:t xml:space="preserve">esolution along with public legal training. Rebuilding access to justice and ensuring the legal aid system assists the poorest are imperative areas to deal with. These kinds of changes are going to benefit people needing legal assistance and make the judiciary much more powerful and equitable.    </w:t>
      </w:r>
    </w:p>
    <w:p w:rsidR="00CC6237" w:rsidRDefault="00CC6237">
      <w:pPr>
        <w:pStyle w:val="Heading1"/>
        <w:ind w:left="-5"/>
        <w:rPr>
          <w:color w:val="FF0000"/>
          <w:sz w:val="22"/>
          <w:szCs w:val="22"/>
        </w:rPr>
      </w:pPr>
    </w:p>
    <w:p w:rsidR="00CC6237" w:rsidRDefault="00CC6237">
      <w:pPr>
        <w:pStyle w:val="Heading1"/>
        <w:ind w:left="-5"/>
        <w:rPr>
          <w:color w:val="FF0000"/>
          <w:sz w:val="22"/>
          <w:szCs w:val="22"/>
        </w:rPr>
      </w:pPr>
    </w:p>
    <w:p w:rsidR="00E901F2" w:rsidRDefault="00E901F2">
      <w:pPr>
        <w:pStyle w:val="Heading1"/>
        <w:ind w:left="-5"/>
        <w:rPr>
          <w:color w:val="FF0000"/>
          <w:sz w:val="22"/>
          <w:szCs w:val="22"/>
        </w:rPr>
      </w:pPr>
    </w:p>
    <w:p w:rsidR="00E901F2" w:rsidRDefault="00E901F2">
      <w:pPr>
        <w:pStyle w:val="Heading1"/>
        <w:ind w:left="-5"/>
        <w:rPr>
          <w:color w:val="FF0000"/>
          <w:sz w:val="22"/>
          <w:szCs w:val="22"/>
        </w:rPr>
      </w:pPr>
    </w:p>
    <w:p w:rsidR="00E901F2" w:rsidRDefault="00E901F2">
      <w:pPr>
        <w:pStyle w:val="Heading1"/>
        <w:ind w:left="-5"/>
        <w:rPr>
          <w:color w:val="FF0000"/>
          <w:sz w:val="22"/>
          <w:szCs w:val="22"/>
        </w:rPr>
      </w:pPr>
    </w:p>
    <w:p w:rsidR="00E901F2" w:rsidRDefault="00E901F2">
      <w:pPr>
        <w:pStyle w:val="Heading1"/>
        <w:ind w:left="-5"/>
        <w:rPr>
          <w:color w:val="FF0000"/>
          <w:sz w:val="18"/>
          <w:szCs w:val="18"/>
        </w:rPr>
      </w:pPr>
    </w:p>
    <w:p w:rsidR="00E901F2" w:rsidRDefault="00E901F2">
      <w:pPr>
        <w:pStyle w:val="Heading1"/>
        <w:ind w:left="-5"/>
        <w:rPr>
          <w:color w:val="FF0000"/>
          <w:sz w:val="18"/>
          <w:szCs w:val="18"/>
        </w:rPr>
      </w:pPr>
    </w:p>
    <w:p w:rsidR="00E901F2" w:rsidRDefault="00E901F2">
      <w:pPr>
        <w:pStyle w:val="Heading1"/>
        <w:ind w:left="-5"/>
        <w:rPr>
          <w:color w:val="FF0000"/>
          <w:sz w:val="18"/>
          <w:szCs w:val="18"/>
        </w:rPr>
      </w:pPr>
    </w:p>
    <w:p w:rsidR="00E901F2" w:rsidRDefault="00E901F2">
      <w:pPr>
        <w:pStyle w:val="Heading1"/>
        <w:ind w:left="-5"/>
        <w:rPr>
          <w:color w:val="FF0000"/>
          <w:sz w:val="18"/>
          <w:szCs w:val="18"/>
        </w:rPr>
      </w:pPr>
    </w:p>
    <w:p w:rsidR="00E901F2" w:rsidRDefault="00E901F2">
      <w:pPr>
        <w:pStyle w:val="Heading1"/>
        <w:ind w:left="-5"/>
        <w:rPr>
          <w:color w:val="FF0000"/>
          <w:sz w:val="18"/>
          <w:szCs w:val="18"/>
        </w:rPr>
      </w:pPr>
    </w:p>
    <w:p w:rsidR="00E901F2" w:rsidRDefault="00E901F2">
      <w:pPr>
        <w:pStyle w:val="Heading1"/>
        <w:ind w:left="-5"/>
        <w:rPr>
          <w:color w:val="FF0000"/>
          <w:sz w:val="18"/>
          <w:szCs w:val="18"/>
        </w:rPr>
      </w:pPr>
    </w:p>
    <w:p w:rsidR="00E901F2" w:rsidRDefault="00E901F2">
      <w:pPr>
        <w:pStyle w:val="Heading1"/>
        <w:ind w:left="-5"/>
        <w:rPr>
          <w:color w:val="FF0000"/>
          <w:sz w:val="18"/>
          <w:szCs w:val="18"/>
        </w:rPr>
      </w:pPr>
    </w:p>
    <w:p w:rsidR="00E901F2" w:rsidRDefault="00E901F2">
      <w:pPr>
        <w:pStyle w:val="Heading1"/>
        <w:ind w:left="-5"/>
        <w:rPr>
          <w:color w:val="FF0000"/>
          <w:sz w:val="18"/>
          <w:szCs w:val="18"/>
        </w:rPr>
      </w:pPr>
    </w:p>
    <w:p w:rsidR="00E901F2" w:rsidRDefault="00E901F2">
      <w:pPr>
        <w:pStyle w:val="Heading1"/>
        <w:ind w:left="-5"/>
        <w:rPr>
          <w:color w:val="FF0000"/>
          <w:sz w:val="18"/>
          <w:szCs w:val="18"/>
        </w:rPr>
      </w:pPr>
    </w:p>
    <w:p w:rsidR="00E901F2" w:rsidRDefault="00E901F2">
      <w:pPr>
        <w:pStyle w:val="Heading1"/>
        <w:ind w:left="-5"/>
        <w:rPr>
          <w:color w:val="FF0000"/>
          <w:sz w:val="18"/>
          <w:szCs w:val="18"/>
        </w:rPr>
      </w:pPr>
    </w:p>
    <w:p w:rsidR="00E901F2" w:rsidRDefault="00E901F2">
      <w:pPr>
        <w:pStyle w:val="Heading1"/>
        <w:ind w:left="-5"/>
        <w:rPr>
          <w:color w:val="FF0000"/>
          <w:sz w:val="18"/>
          <w:szCs w:val="18"/>
        </w:rPr>
      </w:pPr>
    </w:p>
    <w:p w:rsidR="00E901F2" w:rsidRDefault="00E901F2">
      <w:pPr>
        <w:pStyle w:val="Heading1"/>
        <w:ind w:left="-5"/>
        <w:rPr>
          <w:color w:val="FF0000"/>
          <w:sz w:val="18"/>
          <w:szCs w:val="18"/>
        </w:rPr>
      </w:pPr>
    </w:p>
    <w:p w:rsidR="008371F2" w:rsidRDefault="008371F2" w:rsidP="008371F2">
      <w:pPr>
        <w:ind w:left="0" w:right="1" w:firstLine="0"/>
        <w:rPr>
          <w:sz w:val="18"/>
          <w:szCs w:val="18"/>
        </w:rPr>
      </w:pPr>
    </w:p>
    <w:p w:rsidR="008371F2" w:rsidRDefault="008371F2" w:rsidP="008371F2">
      <w:pPr>
        <w:ind w:left="0" w:right="1" w:firstLine="0"/>
        <w:rPr>
          <w:sz w:val="18"/>
          <w:szCs w:val="18"/>
        </w:rPr>
      </w:pPr>
    </w:p>
    <w:p w:rsidR="008371F2" w:rsidRDefault="008371F2" w:rsidP="008371F2">
      <w:pPr>
        <w:ind w:left="0" w:right="1" w:firstLine="0"/>
        <w:rPr>
          <w:sz w:val="18"/>
          <w:szCs w:val="18"/>
        </w:rPr>
      </w:pPr>
    </w:p>
    <w:p w:rsidR="008371F2" w:rsidRDefault="008371F2" w:rsidP="008371F2">
      <w:pPr>
        <w:ind w:left="0" w:right="1" w:firstLine="0"/>
        <w:rPr>
          <w:sz w:val="18"/>
          <w:szCs w:val="18"/>
        </w:rPr>
      </w:pPr>
    </w:p>
    <w:p w:rsidR="008371F2" w:rsidRDefault="008371F2" w:rsidP="008371F2">
      <w:pPr>
        <w:ind w:left="0" w:right="1" w:firstLine="0"/>
        <w:rPr>
          <w:sz w:val="18"/>
          <w:szCs w:val="18"/>
        </w:rPr>
      </w:pPr>
    </w:p>
    <w:p w:rsidR="008371F2" w:rsidRDefault="008371F2" w:rsidP="008371F2">
      <w:pPr>
        <w:ind w:left="0" w:right="1" w:firstLine="0"/>
        <w:rPr>
          <w:sz w:val="18"/>
          <w:szCs w:val="18"/>
        </w:rPr>
      </w:pPr>
    </w:p>
    <w:p w:rsidR="008371F2" w:rsidRDefault="008371F2" w:rsidP="008371F2">
      <w:pPr>
        <w:ind w:left="0" w:right="1" w:firstLine="0"/>
        <w:rPr>
          <w:sz w:val="18"/>
          <w:szCs w:val="18"/>
        </w:rPr>
      </w:pPr>
    </w:p>
    <w:p w:rsidR="008371F2" w:rsidRDefault="008371F2" w:rsidP="008371F2">
      <w:pPr>
        <w:ind w:left="0" w:right="1" w:firstLine="0"/>
        <w:rPr>
          <w:sz w:val="18"/>
          <w:szCs w:val="18"/>
        </w:rPr>
      </w:pPr>
    </w:p>
    <w:p w:rsidR="008371F2" w:rsidRPr="00E901F2" w:rsidRDefault="008371F2" w:rsidP="00C170DA">
      <w:pPr>
        <w:pStyle w:val="Heading1"/>
        <w:ind w:left="0" w:firstLine="0"/>
        <w:rPr>
          <w:color w:val="FF0000"/>
          <w:sz w:val="18"/>
          <w:szCs w:val="18"/>
        </w:rPr>
      </w:pPr>
      <w:r w:rsidRPr="00E901F2">
        <w:rPr>
          <w:color w:val="FF0000"/>
          <w:sz w:val="18"/>
          <w:szCs w:val="18"/>
        </w:rPr>
        <w:t>References:</w:t>
      </w:r>
    </w:p>
    <w:p w:rsidR="00A10F45" w:rsidRPr="007A3FF3" w:rsidRDefault="008371F2" w:rsidP="007A3FF3">
      <w:pPr>
        <w:pStyle w:val="ListParagraph"/>
        <w:numPr>
          <w:ilvl w:val="0"/>
          <w:numId w:val="1"/>
        </w:numPr>
        <w:ind w:right="1"/>
        <w:rPr>
          <w:sz w:val="18"/>
          <w:szCs w:val="18"/>
        </w:rPr>
      </w:pPr>
      <w:proofErr w:type="spellStart"/>
      <w:r w:rsidRPr="00E901F2">
        <w:rPr>
          <w:sz w:val="18"/>
          <w:szCs w:val="18"/>
        </w:rPr>
        <w:t>Bowcott</w:t>
      </w:r>
      <w:proofErr w:type="spellEnd"/>
      <w:r w:rsidRPr="00E901F2">
        <w:rPr>
          <w:sz w:val="18"/>
          <w:szCs w:val="18"/>
        </w:rPr>
        <w:t xml:space="preserve">, O. (2017). </w:t>
      </w:r>
      <w:r>
        <w:rPr>
          <w:sz w:val="18"/>
          <w:szCs w:val="18"/>
        </w:rPr>
        <w:t>‘</w:t>
      </w:r>
      <w:r w:rsidRPr="00E901F2">
        <w:rPr>
          <w:sz w:val="18"/>
          <w:szCs w:val="18"/>
        </w:rPr>
        <w:t xml:space="preserve">Legal aid cuts have led to surge in </w:t>
      </w:r>
      <w:proofErr w:type="spellStart"/>
      <w:r w:rsidRPr="00E901F2">
        <w:rPr>
          <w:sz w:val="18"/>
          <w:szCs w:val="18"/>
        </w:rPr>
        <w:t>DIY</w:t>
      </w:r>
      <w:r>
        <w:rPr>
          <w:sz w:val="18"/>
          <w:szCs w:val="18"/>
        </w:rPr>
        <w:t>a</w:t>
      </w:r>
      <w:proofErr w:type="spellEnd"/>
      <w:r>
        <w:rPr>
          <w:sz w:val="18"/>
          <w:szCs w:val="18"/>
        </w:rPr>
        <w:t xml:space="preserve"> </w:t>
      </w:r>
      <w:proofErr w:type="spellStart"/>
      <w:r w:rsidRPr="00E901F2">
        <w:rPr>
          <w:sz w:val="18"/>
          <w:szCs w:val="18"/>
        </w:rPr>
        <w:t>defence</w:t>
      </w:r>
      <w:proofErr w:type="spellEnd"/>
      <w:r w:rsidRPr="00E901F2">
        <w:rPr>
          <w:sz w:val="18"/>
          <w:szCs w:val="18"/>
        </w:rPr>
        <w:t xml:space="preserve">, says charity', </w:t>
      </w:r>
      <w:r w:rsidRPr="00E901F2">
        <w:rPr>
          <w:i/>
          <w:sz w:val="18"/>
          <w:szCs w:val="18"/>
        </w:rPr>
        <w:t>The Guardian</w:t>
      </w:r>
      <w:r w:rsidRPr="00E901F2">
        <w:rPr>
          <w:sz w:val="18"/>
          <w:szCs w:val="18"/>
        </w:rPr>
        <w:t xml:space="preserve">, 26 September. Available at: </w:t>
      </w:r>
      <w:hyperlink r:id="rId7">
        <w:r w:rsidRPr="00E901F2">
          <w:rPr>
            <w:color w:val="0563C1"/>
            <w:sz w:val="18"/>
            <w:szCs w:val="18"/>
            <w:u w:val="single" w:color="0563C1"/>
          </w:rPr>
          <w:t>https://www.theguardian.com/law/2017/sep/26/legal</w:t>
        </w:r>
      </w:hyperlink>
      <w:hyperlink r:id="rId8">
        <w:r w:rsidRPr="00E901F2">
          <w:rPr>
            <w:color w:val="0563C1"/>
            <w:sz w:val="18"/>
            <w:szCs w:val="18"/>
            <w:u w:val="single" w:color="0563C1"/>
          </w:rPr>
          <w:t>-</w:t>
        </w:r>
      </w:hyperlink>
      <w:hyperlink r:id="rId9">
        <w:r w:rsidRPr="00E901F2">
          <w:rPr>
            <w:color w:val="0563C1"/>
            <w:sz w:val="18"/>
            <w:szCs w:val="18"/>
            <w:u w:val="single" w:color="0563C1"/>
          </w:rPr>
          <w:t>aid</w:t>
        </w:r>
      </w:hyperlink>
      <w:hyperlink r:id="rId10">
        <w:r w:rsidRPr="00E901F2">
          <w:rPr>
            <w:color w:val="0563C1"/>
            <w:sz w:val="18"/>
            <w:szCs w:val="18"/>
            <w:u w:val="single" w:color="0563C1"/>
          </w:rPr>
          <w:t>-</w:t>
        </w:r>
      </w:hyperlink>
      <w:hyperlink r:id="rId11">
        <w:r w:rsidRPr="00E901F2">
          <w:rPr>
            <w:color w:val="0563C1"/>
            <w:sz w:val="18"/>
            <w:szCs w:val="18"/>
            <w:u w:val="single" w:color="0563C1"/>
          </w:rPr>
          <w:t>cuts</w:t>
        </w:r>
      </w:hyperlink>
      <w:hyperlink r:id="rId12"/>
      <w:hyperlink r:id="rId13">
        <w:r w:rsidRPr="00E901F2">
          <w:rPr>
            <w:color w:val="0563C1"/>
            <w:sz w:val="18"/>
            <w:szCs w:val="18"/>
            <w:u w:val="single" w:color="0563C1"/>
          </w:rPr>
          <w:t>have</w:t>
        </w:r>
      </w:hyperlink>
      <w:hyperlink r:id="rId14">
        <w:r w:rsidRPr="00E901F2">
          <w:rPr>
            <w:color w:val="0563C1"/>
            <w:sz w:val="18"/>
            <w:szCs w:val="18"/>
            <w:u w:val="single" w:color="0563C1"/>
          </w:rPr>
          <w:t>-</w:t>
        </w:r>
      </w:hyperlink>
      <w:hyperlink r:id="rId15">
        <w:r w:rsidRPr="00E901F2">
          <w:rPr>
            <w:color w:val="0563C1"/>
            <w:sz w:val="18"/>
            <w:szCs w:val="18"/>
            <w:u w:val="single" w:color="0563C1"/>
          </w:rPr>
          <w:t>led</w:t>
        </w:r>
      </w:hyperlink>
      <w:hyperlink r:id="rId16">
        <w:r w:rsidRPr="00E901F2">
          <w:rPr>
            <w:color w:val="0563C1"/>
            <w:sz w:val="18"/>
            <w:szCs w:val="18"/>
            <w:u w:val="single" w:color="0563C1"/>
          </w:rPr>
          <w:t>-</w:t>
        </w:r>
      </w:hyperlink>
      <w:hyperlink r:id="rId17">
        <w:r w:rsidRPr="00E901F2">
          <w:rPr>
            <w:color w:val="0563C1"/>
            <w:sz w:val="18"/>
            <w:szCs w:val="18"/>
            <w:u w:val="single" w:color="0563C1"/>
          </w:rPr>
          <w:t>to</w:t>
        </w:r>
      </w:hyperlink>
      <w:hyperlink r:id="rId18">
        <w:r w:rsidRPr="00E901F2">
          <w:rPr>
            <w:color w:val="0563C1"/>
            <w:sz w:val="18"/>
            <w:szCs w:val="18"/>
            <w:u w:val="single" w:color="0563C1"/>
          </w:rPr>
          <w:t>-</w:t>
        </w:r>
      </w:hyperlink>
      <w:hyperlink r:id="rId19">
        <w:r w:rsidRPr="00E901F2">
          <w:rPr>
            <w:color w:val="0563C1"/>
            <w:sz w:val="18"/>
            <w:szCs w:val="18"/>
            <w:u w:val="single" w:color="0563C1"/>
          </w:rPr>
          <w:t>surge</w:t>
        </w:r>
      </w:hyperlink>
      <w:hyperlink r:id="rId20">
        <w:r w:rsidRPr="00E901F2">
          <w:rPr>
            <w:color w:val="0563C1"/>
            <w:sz w:val="18"/>
            <w:szCs w:val="18"/>
            <w:u w:val="single" w:color="0563C1"/>
          </w:rPr>
          <w:t>-</w:t>
        </w:r>
      </w:hyperlink>
      <w:hyperlink r:id="rId21">
        <w:r w:rsidRPr="00E901F2">
          <w:rPr>
            <w:color w:val="0563C1"/>
            <w:sz w:val="18"/>
            <w:szCs w:val="18"/>
            <w:u w:val="single" w:color="0563C1"/>
          </w:rPr>
          <w:t>in</w:t>
        </w:r>
      </w:hyperlink>
      <w:hyperlink r:id="rId22">
        <w:r w:rsidRPr="00E901F2">
          <w:rPr>
            <w:color w:val="0563C1"/>
            <w:sz w:val="18"/>
            <w:szCs w:val="18"/>
            <w:u w:val="single" w:color="0563C1"/>
          </w:rPr>
          <w:t>-</w:t>
        </w:r>
      </w:hyperlink>
      <w:hyperlink r:id="rId23">
        <w:r w:rsidRPr="00E901F2">
          <w:rPr>
            <w:color w:val="0563C1"/>
            <w:sz w:val="18"/>
            <w:szCs w:val="18"/>
            <w:u w:val="single" w:color="0563C1"/>
          </w:rPr>
          <w:t>diy</w:t>
        </w:r>
      </w:hyperlink>
      <w:hyperlink r:id="rId24">
        <w:r w:rsidRPr="00E901F2">
          <w:rPr>
            <w:color w:val="0563C1"/>
            <w:sz w:val="18"/>
            <w:szCs w:val="18"/>
            <w:u w:val="single" w:color="0563C1"/>
          </w:rPr>
          <w:t>-</w:t>
        </w:r>
      </w:hyperlink>
      <w:hyperlink r:id="rId25">
        <w:r w:rsidRPr="00E901F2">
          <w:rPr>
            <w:color w:val="0563C1"/>
            <w:sz w:val="18"/>
            <w:szCs w:val="18"/>
            <w:u w:val="single" w:color="0563C1"/>
          </w:rPr>
          <w:t>defence</w:t>
        </w:r>
      </w:hyperlink>
      <w:hyperlink r:id="rId26">
        <w:r w:rsidRPr="00E901F2">
          <w:rPr>
            <w:color w:val="0563C1"/>
            <w:sz w:val="18"/>
            <w:szCs w:val="18"/>
            <w:u w:val="single" w:color="0563C1"/>
          </w:rPr>
          <w:t>-</w:t>
        </w:r>
      </w:hyperlink>
      <w:hyperlink r:id="rId27">
        <w:r w:rsidRPr="00E901F2">
          <w:rPr>
            <w:color w:val="0563C1"/>
            <w:sz w:val="18"/>
            <w:szCs w:val="18"/>
            <w:u w:val="single" w:color="0563C1"/>
          </w:rPr>
          <w:t>says</w:t>
        </w:r>
      </w:hyperlink>
      <w:hyperlink r:id="rId28">
        <w:r w:rsidRPr="00E901F2">
          <w:rPr>
            <w:color w:val="0563C1"/>
            <w:sz w:val="18"/>
            <w:szCs w:val="18"/>
            <w:u w:val="single" w:color="0563C1"/>
          </w:rPr>
          <w:t>-</w:t>
        </w:r>
      </w:hyperlink>
      <w:hyperlink r:id="rId29">
        <w:r w:rsidRPr="00E901F2">
          <w:rPr>
            <w:color w:val="0563C1"/>
            <w:sz w:val="18"/>
            <w:szCs w:val="18"/>
            <w:u w:val="single" w:color="0563C1"/>
          </w:rPr>
          <w:t>charity</w:t>
        </w:r>
      </w:hyperlink>
      <w:hyperlink r:id="rId30">
        <w:r w:rsidRPr="00E901F2">
          <w:rPr>
            <w:sz w:val="18"/>
            <w:szCs w:val="18"/>
          </w:rPr>
          <w:t xml:space="preserve"> </w:t>
        </w:r>
      </w:hyperlink>
      <w:r w:rsidRPr="00E901F2">
        <w:rPr>
          <w:sz w:val="18"/>
          <w:szCs w:val="18"/>
        </w:rPr>
        <w:t xml:space="preserve">[Accessed 28 April 2024].  </w:t>
      </w:r>
      <w:r w:rsidR="00037BB1" w:rsidRPr="007A3FF3">
        <w:rPr>
          <w:sz w:val="18"/>
          <w:szCs w:val="18"/>
        </w:rPr>
        <w:t xml:space="preserve"> </w:t>
      </w:r>
    </w:p>
    <w:p w:rsidR="00A10F45" w:rsidRPr="00E901F2" w:rsidRDefault="00037BB1" w:rsidP="00D703EF">
      <w:pPr>
        <w:pStyle w:val="ListParagraph"/>
        <w:numPr>
          <w:ilvl w:val="0"/>
          <w:numId w:val="1"/>
        </w:numPr>
        <w:spacing w:after="117" w:line="359" w:lineRule="auto"/>
        <w:ind w:right="-7"/>
        <w:jc w:val="left"/>
        <w:rPr>
          <w:sz w:val="18"/>
          <w:szCs w:val="18"/>
        </w:rPr>
      </w:pPr>
      <w:r w:rsidRPr="00E901F2">
        <w:rPr>
          <w:sz w:val="18"/>
          <w:szCs w:val="18"/>
        </w:rPr>
        <w:t xml:space="preserve">Case, S. (2015). </w:t>
      </w:r>
      <w:r w:rsidRPr="00E901F2">
        <w:rPr>
          <w:i/>
          <w:sz w:val="18"/>
          <w:szCs w:val="18"/>
        </w:rPr>
        <w:t>Understanding the Economic and Social Effects of Legal Aid Cuts in England and Wales</w:t>
      </w:r>
      <w:r w:rsidRPr="00E901F2">
        <w:rPr>
          <w:sz w:val="18"/>
          <w:szCs w:val="18"/>
        </w:rPr>
        <w:t xml:space="preserve">, Oxford University Press, Oxford. </w:t>
      </w:r>
    </w:p>
    <w:p w:rsidR="00A10F45" w:rsidRPr="00E901F2" w:rsidRDefault="00037BB1" w:rsidP="00D703EF">
      <w:pPr>
        <w:pStyle w:val="ListParagraph"/>
        <w:numPr>
          <w:ilvl w:val="0"/>
          <w:numId w:val="1"/>
        </w:numPr>
        <w:ind w:right="1"/>
        <w:rPr>
          <w:sz w:val="18"/>
          <w:szCs w:val="18"/>
        </w:rPr>
      </w:pPr>
      <w:r w:rsidRPr="00E901F2">
        <w:rPr>
          <w:sz w:val="18"/>
          <w:szCs w:val="18"/>
        </w:rPr>
        <w:t xml:space="preserve">Cooke, E., and Barlow, A. (2014). 'The impact of LASPO on family law: Summary and recommendations', </w:t>
      </w:r>
      <w:r w:rsidRPr="00E901F2">
        <w:rPr>
          <w:i/>
          <w:sz w:val="18"/>
          <w:szCs w:val="18"/>
        </w:rPr>
        <w:t>Journal of Social Welfare and Family Law</w:t>
      </w:r>
      <w:r w:rsidRPr="00E901F2">
        <w:rPr>
          <w:sz w:val="18"/>
          <w:szCs w:val="18"/>
        </w:rPr>
        <w:t xml:space="preserve">, vol. 36, no. 3, pp. 318-330. </w:t>
      </w:r>
    </w:p>
    <w:p w:rsidR="00A10F45" w:rsidRPr="00E901F2" w:rsidRDefault="00037BB1" w:rsidP="00D703EF">
      <w:pPr>
        <w:pStyle w:val="ListParagraph"/>
        <w:numPr>
          <w:ilvl w:val="0"/>
          <w:numId w:val="1"/>
        </w:numPr>
        <w:ind w:right="1"/>
        <w:rPr>
          <w:sz w:val="18"/>
          <w:szCs w:val="18"/>
        </w:rPr>
      </w:pPr>
      <w:r w:rsidRPr="00E901F2">
        <w:rPr>
          <w:sz w:val="18"/>
          <w:szCs w:val="18"/>
        </w:rPr>
        <w:t xml:space="preserve">Gibb, F. (2019). 'Legal aid in crisis: assessing the impact of reform', </w:t>
      </w:r>
      <w:r w:rsidRPr="00E901F2">
        <w:rPr>
          <w:i/>
          <w:sz w:val="18"/>
          <w:szCs w:val="18"/>
        </w:rPr>
        <w:t>Legal Affairs Correspondent</w:t>
      </w:r>
      <w:r w:rsidRPr="00E901F2">
        <w:rPr>
          <w:sz w:val="18"/>
          <w:szCs w:val="18"/>
        </w:rPr>
        <w:t xml:space="preserve">, 14 March. Available at: </w:t>
      </w:r>
      <w:hyperlink r:id="rId31">
        <w:r w:rsidRPr="00E901F2">
          <w:rPr>
            <w:color w:val="0563C1"/>
            <w:sz w:val="18"/>
            <w:szCs w:val="18"/>
            <w:u w:val="single" w:color="0563C1"/>
          </w:rPr>
          <w:t>http://www.legalaffairs.com/legalaidcrisis</w:t>
        </w:r>
      </w:hyperlink>
      <w:hyperlink r:id="rId32">
        <w:r w:rsidRPr="00E901F2">
          <w:rPr>
            <w:sz w:val="18"/>
            <w:szCs w:val="18"/>
          </w:rPr>
          <w:t xml:space="preserve"> </w:t>
        </w:r>
      </w:hyperlink>
      <w:r w:rsidRPr="00E901F2">
        <w:rPr>
          <w:sz w:val="18"/>
          <w:szCs w:val="18"/>
        </w:rPr>
        <w:t xml:space="preserve">[Accessed 28 April 2024].  </w:t>
      </w:r>
    </w:p>
    <w:p w:rsidR="00A10F45" w:rsidRPr="00E901F2" w:rsidRDefault="00037BB1" w:rsidP="00D703EF">
      <w:pPr>
        <w:pStyle w:val="ListParagraph"/>
        <w:numPr>
          <w:ilvl w:val="0"/>
          <w:numId w:val="1"/>
        </w:numPr>
        <w:spacing w:after="117" w:line="359" w:lineRule="auto"/>
        <w:ind w:right="-7"/>
        <w:jc w:val="left"/>
        <w:rPr>
          <w:sz w:val="18"/>
          <w:szCs w:val="18"/>
        </w:rPr>
      </w:pPr>
      <w:r w:rsidRPr="00E901F2">
        <w:rPr>
          <w:sz w:val="18"/>
          <w:szCs w:val="18"/>
        </w:rPr>
        <w:t xml:space="preserve">Hynes, S. (2016). </w:t>
      </w:r>
      <w:r w:rsidRPr="00E901F2">
        <w:rPr>
          <w:i/>
          <w:sz w:val="18"/>
          <w:szCs w:val="18"/>
        </w:rPr>
        <w:t>The Justice Gap: Whatever Happened to Legal Aid?</w:t>
      </w:r>
      <w:r w:rsidRPr="00E901F2">
        <w:rPr>
          <w:sz w:val="18"/>
          <w:szCs w:val="18"/>
        </w:rPr>
        <w:t xml:space="preserve">, Legal Action Group, London. </w:t>
      </w:r>
    </w:p>
    <w:p w:rsidR="00A10F45" w:rsidRPr="00E901F2" w:rsidRDefault="00037BB1" w:rsidP="00D703EF">
      <w:pPr>
        <w:pStyle w:val="ListParagraph"/>
        <w:numPr>
          <w:ilvl w:val="0"/>
          <w:numId w:val="1"/>
        </w:numPr>
        <w:ind w:right="1"/>
        <w:rPr>
          <w:sz w:val="18"/>
          <w:szCs w:val="18"/>
        </w:rPr>
      </w:pPr>
      <w:r w:rsidRPr="00E901F2">
        <w:rPr>
          <w:sz w:val="18"/>
          <w:szCs w:val="18"/>
        </w:rPr>
        <w:t xml:space="preserve">Law Society. (2022). </w:t>
      </w:r>
      <w:r w:rsidRPr="00E901F2">
        <w:rPr>
          <w:i/>
          <w:sz w:val="18"/>
          <w:szCs w:val="18"/>
        </w:rPr>
        <w:t>Review of Legal Aid Reforms in England and Wales</w:t>
      </w:r>
      <w:r w:rsidRPr="00E901F2">
        <w:rPr>
          <w:sz w:val="18"/>
          <w:szCs w:val="18"/>
        </w:rPr>
        <w:t xml:space="preserve">, Law Society Publishing, London. </w:t>
      </w:r>
    </w:p>
    <w:p w:rsidR="00A10F45" w:rsidRPr="00E901F2" w:rsidRDefault="00037BB1" w:rsidP="00D703EF">
      <w:pPr>
        <w:pStyle w:val="ListParagraph"/>
        <w:numPr>
          <w:ilvl w:val="0"/>
          <w:numId w:val="1"/>
        </w:numPr>
        <w:ind w:right="1"/>
        <w:rPr>
          <w:sz w:val="18"/>
          <w:szCs w:val="18"/>
        </w:rPr>
      </w:pPr>
      <w:r w:rsidRPr="00E901F2">
        <w:rPr>
          <w:sz w:val="18"/>
          <w:szCs w:val="18"/>
        </w:rPr>
        <w:t xml:space="preserve">Ministry of Justice. (2021). </w:t>
      </w:r>
      <w:r w:rsidRPr="00E901F2">
        <w:rPr>
          <w:i/>
          <w:sz w:val="18"/>
          <w:szCs w:val="18"/>
        </w:rPr>
        <w:t>Legal Aid Statistics Quarterly, England and Wales</w:t>
      </w:r>
      <w:r w:rsidRPr="00E901F2">
        <w:rPr>
          <w:sz w:val="18"/>
          <w:szCs w:val="18"/>
        </w:rPr>
        <w:t xml:space="preserve">, Ministry of Justice, London. Available at: </w:t>
      </w:r>
      <w:hyperlink r:id="rId33">
        <w:r w:rsidRPr="00E901F2">
          <w:rPr>
            <w:color w:val="0563C1"/>
            <w:sz w:val="18"/>
            <w:szCs w:val="18"/>
            <w:u w:val="single" w:color="0563C1"/>
          </w:rPr>
          <w:t>https://www.gov.uk/government/collections/legal</w:t>
        </w:r>
      </w:hyperlink>
      <w:hyperlink r:id="rId34">
        <w:r w:rsidRPr="00E901F2">
          <w:rPr>
            <w:color w:val="0563C1"/>
            <w:sz w:val="18"/>
            <w:szCs w:val="18"/>
            <w:u w:val="single" w:color="0563C1"/>
          </w:rPr>
          <w:t>-</w:t>
        </w:r>
      </w:hyperlink>
      <w:hyperlink r:id="rId35">
        <w:r w:rsidRPr="00E901F2">
          <w:rPr>
            <w:color w:val="0563C1"/>
            <w:sz w:val="18"/>
            <w:szCs w:val="18"/>
            <w:u w:val="single" w:color="0563C1"/>
          </w:rPr>
          <w:t>aid</w:t>
        </w:r>
      </w:hyperlink>
      <w:hyperlink r:id="rId36">
        <w:r w:rsidRPr="00E901F2">
          <w:rPr>
            <w:color w:val="0563C1"/>
            <w:sz w:val="18"/>
            <w:szCs w:val="18"/>
            <w:u w:val="single" w:color="0563C1"/>
          </w:rPr>
          <w:t>-</w:t>
        </w:r>
      </w:hyperlink>
      <w:hyperlink r:id="rId37">
        <w:r w:rsidRPr="00E901F2">
          <w:rPr>
            <w:color w:val="0563C1"/>
            <w:sz w:val="18"/>
            <w:szCs w:val="18"/>
            <w:u w:val="single" w:color="0563C1"/>
          </w:rPr>
          <w:t>statistics</w:t>
        </w:r>
      </w:hyperlink>
      <w:hyperlink r:id="rId38">
        <w:r w:rsidRPr="00E901F2">
          <w:rPr>
            <w:sz w:val="18"/>
            <w:szCs w:val="18"/>
          </w:rPr>
          <w:t xml:space="preserve"> </w:t>
        </w:r>
      </w:hyperlink>
      <w:r w:rsidRPr="00E901F2">
        <w:rPr>
          <w:sz w:val="18"/>
          <w:szCs w:val="18"/>
        </w:rPr>
        <w:t xml:space="preserve">[Accessed 28 April 2024]. </w:t>
      </w:r>
    </w:p>
    <w:p w:rsidR="00A10F45" w:rsidRPr="00E901F2" w:rsidRDefault="00037BB1" w:rsidP="00D703EF">
      <w:pPr>
        <w:pStyle w:val="ListParagraph"/>
        <w:numPr>
          <w:ilvl w:val="0"/>
          <w:numId w:val="1"/>
        </w:numPr>
        <w:ind w:right="1"/>
        <w:rPr>
          <w:sz w:val="18"/>
          <w:szCs w:val="18"/>
        </w:rPr>
      </w:pPr>
      <w:proofErr w:type="spellStart"/>
      <w:r w:rsidRPr="00E901F2">
        <w:rPr>
          <w:sz w:val="18"/>
          <w:szCs w:val="18"/>
        </w:rPr>
        <w:t>Pleasence</w:t>
      </w:r>
      <w:proofErr w:type="spellEnd"/>
      <w:r w:rsidRPr="00E901F2">
        <w:rPr>
          <w:sz w:val="18"/>
          <w:szCs w:val="18"/>
        </w:rPr>
        <w:t xml:space="preserve">, P., </w:t>
      </w:r>
      <w:proofErr w:type="spellStart"/>
      <w:r w:rsidRPr="00E901F2">
        <w:rPr>
          <w:sz w:val="18"/>
          <w:szCs w:val="18"/>
        </w:rPr>
        <w:t>Balmer</w:t>
      </w:r>
      <w:proofErr w:type="spellEnd"/>
      <w:r w:rsidRPr="00E901F2">
        <w:rPr>
          <w:sz w:val="18"/>
          <w:szCs w:val="18"/>
        </w:rPr>
        <w:t xml:space="preserve">, N., and </w:t>
      </w:r>
      <w:proofErr w:type="spellStart"/>
      <w:r w:rsidRPr="00E901F2">
        <w:rPr>
          <w:sz w:val="18"/>
          <w:szCs w:val="18"/>
        </w:rPr>
        <w:t>Sandefur</w:t>
      </w:r>
      <w:proofErr w:type="spellEnd"/>
      <w:r w:rsidRPr="00E901F2">
        <w:rPr>
          <w:sz w:val="18"/>
          <w:szCs w:val="18"/>
        </w:rPr>
        <w:t xml:space="preserve">, R. (2013). </w:t>
      </w:r>
      <w:r w:rsidRPr="00E901F2">
        <w:rPr>
          <w:i/>
          <w:sz w:val="18"/>
          <w:szCs w:val="18"/>
        </w:rPr>
        <w:t>Paths to Justice: What People Do and Think About Going to Law</w:t>
      </w:r>
      <w:r w:rsidRPr="00E901F2">
        <w:rPr>
          <w:sz w:val="18"/>
          <w:szCs w:val="18"/>
        </w:rPr>
        <w:t xml:space="preserve">, Hart Publishing, Oxford. </w:t>
      </w:r>
    </w:p>
    <w:p w:rsidR="00A10F45" w:rsidRPr="00E901F2" w:rsidRDefault="00037BB1" w:rsidP="00D703EF">
      <w:pPr>
        <w:pStyle w:val="ListParagraph"/>
        <w:numPr>
          <w:ilvl w:val="0"/>
          <w:numId w:val="1"/>
        </w:numPr>
        <w:ind w:right="1"/>
        <w:rPr>
          <w:sz w:val="18"/>
          <w:szCs w:val="18"/>
        </w:rPr>
      </w:pPr>
      <w:r w:rsidRPr="00E901F2">
        <w:rPr>
          <w:sz w:val="18"/>
          <w:szCs w:val="18"/>
        </w:rPr>
        <w:t xml:space="preserve">Riddell, P. (2020). 'Evaluating the effectiveness of legal aid reforms: A challenge for public policy', </w:t>
      </w:r>
      <w:r w:rsidRPr="00E901F2">
        <w:rPr>
          <w:i/>
          <w:sz w:val="18"/>
          <w:szCs w:val="18"/>
        </w:rPr>
        <w:t>Public Law Review</w:t>
      </w:r>
      <w:r w:rsidRPr="00E901F2">
        <w:rPr>
          <w:sz w:val="18"/>
          <w:szCs w:val="18"/>
        </w:rPr>
        <w:t xml:space="preserve">, vol. 31, no. 4, pp. 475-493. </w:t>
      </w:r>
    </w:p>
    <w:p w:rsidR="00A10F45" w:rsidRPr="00E901F2" w:rsidRDefault="00037BB1" w:rsidP="00D703EF">
      <w:pPr>
        <w:pStyle w:val="ListParagraph"/>
        <w:numPr>
          <w:ilvl w:val="0"/>
          <w:numId w:val="1"/>
        </w:numPr>
        <w:spacing w:line="259" w:lineRule="auto"/>
        <w:ind w:right="1"/>
        <w:rPr>
          <w:sz w:val="18"/>
          <w:szCs w:val="18"/>
        </w:rPr>
      </w:pPr>
      <w:r w:rsidRPr="00E901F2">
        <w:rPr>
          <w:sz w:val="18"/>
          <w:szCs w:val="18"/>
        </w:rPr>
        <w:t xml:space="preserve">Smith, R. (2018). 'Access to Justice: What the public thinks about the justice system and legal aid', </w:t>
      </w:r>
    </w:p>
    <w:p w:rsidR="00A10F45" w:rsidRPr="00E901F2" w:rsidRDefault="00037BB1">
      <w:pPr>
        <w:spacing w:after="120" w:line="356" w:lineRule="auto"/>
        <w:ind w:left="716" w:right="0"/>
        <w:jc w:val="left"/>
        <w:rPr>
          <w:sz w:val="18"/>
          <w:szCs w:val="18"/>
        </w:rPr>
      </w:pPr>
      <w:r w:rsidRPr="00E901F2">
        <w:rPr>
          <w:i/>
          <w:sz w:val="18"/>
          <w:szCs w:val="18"/>
        </w:rPr>
        <w:t>L</w:t>
      </w:r>
      <w:r w:rsidRPr="00E901F2">
        <w:rPr>
          <w:i/>
          <w:sz w:val="18"/>
          <w:szCs w:val="18"/>
        </w:rPr>
        <w:t>egal Services Board</w:t>
      </w:r>
      <w:r w:rsidRPr="00E901F2">
        <w:rPr>
          <w:sz w:val="18"/>
          <w:szCs w:val="18"/>
        </w:rPr>
        <w:t xml:space="preserve">, London. Available at: </w:t>
      </w:r>
      <w:hyperlink r:id="rId39">
        <w:r w:rsidRPr="00E901F2">
          <w:rPr>
            <w:color w:val="0563C1"/>
            <w:sz w:val="18"/>
            <w:szCs w:val="18"/>
            <w:u w:val="single" w:color="0563C1"/>
          </w:rPr>
          <w:t>http://www.legalservicesboard.org.uk/public_think.pdf</w:t>
        </w:r>
      </w:hyperlink>
      <w:hyperlink r:id="rId40">
        <w:r w:rsidRPr="00E901F2">
          <w:rPr>
            <w:sz w:val="18"/>
            <w:szCs w:val="18"/>
          </w:rPr>
          <w:t xml:space="preserve"> </w:t>
        </w:r>
      </w:hyperlink>
      <w:r w:rsidRPr="00E901F2">
        <w:rPr>
          <w:sz w:val="18"/>
          <w:szCs w:val="18"/>
        </w:rPr>
        <w:t xml:space="preserve">[Accessed 28 April 2024]. </w:t>
      </w:r>
    </w:p>
    <w:p w:rsidR="00A10F45" w:rsidRPr="00E901F2" w:rsidRDefault="00037BB1" w:rsidP="00D703EF">
      <w:pPr>
        <w:pStyle w:val="ListParagraph"/>
        <w:numPr>
          <w:ilvl w:val="0"/>
          <w:numId w:val="1"/>
        </w:numPr>
        <w:spacing w:after="1"/>
        <w:ind w:right="1"/>
        <w:rPr>
          <w:sz w:val="18"/>
          <w:szCs w:val="18"/>
        </w:rPr>
      </w:pPr>
      <w:proofErr w:type="spellStart"/>
      <w:r w:rsidRPr="00E901F2">
        <w:rPr>
          <w:sz w:val="18"/>
          <w:szCs w:val="18"/>
        </w:rPr>
        <w:t>Sommerlad</w:t>
      </w:r>
      <w:proofErr w:type="spellEnd"/>
      <w:r w:rsidRPr="00E901F2">
        <w:rPr>
          <w:sz w:val="18"/>
          <w:szCs w:val="18"/>
        </w:rPr>
        <w:t xml:space="preserve">, H. (2015). 'Legal aid, legal services and the market: The transformation of access to justice in England and Wales', </w:t>
      </w:r>
      <w:r w:rsidRPr="00E901F2">
        <w:rPr>
          <w:i/>
          <w:sz w:val="18"/>
          <w:szCs w:val="18"/>
        </w:rPr>
        <w:t>International Journal of the Legal Profession</w:t>
      </w:r>
      <w:r w:rsidRPr="00E901F2">
        <w:rPr>
          <w:sz w:val="18"/>
          <w:szCs w:val="18"/>
        </w:rPr>
        <w:t xml:space="preserve">, vol. 22, no. </w:t>
      </w:r>
    </w:p>
    <w:p w:rsidR="00A10F45" w:rsidRPr="00E901F2" w:rsidRDefault="00037BB1">
      <w:pPr>
        <w:spacing w:line="259" w:lineRule="auto"/>
        <w:ind w:left="731" w:right="1"/>
        <w:rPr>
          <w:sz w:val="18"/>
          <w:szCs w:val="18"/>
        </w:rPr>
      </w:pPr>
      <w:r w:rsidRPr="00E901F2">
        <w:rPr>
          <w:sz w:val="18"/>
          <w:szCs w:val="18"/>
        </w:rPr>
        <w:t>2</w:t>
      </w:r>
      <w:r w:rsidRPr="00E901F2">
        <w:rPr>
          <w:sz w:val="18"/>
          <w:szCs w:val="18"/>
        </w:rPr>
        <w:t xml:space="preserve">, pp. 130-156. </w:t>
      </w:r>
    </w:p>
    <w:p w:rsidR="00A10F45" w:rsidRPr="00E901F2" w:rsidRDefault="00037BB1" w:rsidP="00D703EF">
      <w:pPr>
        <w:pStyle w:val="ListParagraph"/>
        <w:numPr>
          <w:ilvl w:val="0"/>
          <w:numId w:val="1"/>
        </w:numPr>
        <w:ind w:right="1"/>
        <w:rPr>
          <w:sz w:val="18"/>
          <w:szCs w:val="18"/>
        </w:rPr>
      </w:pPr>
      <w:r w:rsidRPr="00E901F2">
        <w:rPr>
          <w:sz w:val="18"/>
          <w:szCs w:val="18"/>
        </w:rPr>
        <w:t xml:space="preserve">Stephens, M., and Mansfield, G. (2016). 'Impacts of the Legal Aid, Sentencing and Punishment of Offenders Act 2012 on access to legal aid', </w:t>
      </w:r>
      <w:r w:rsidRPr="00E901F2">
        <w:rPr>
          <w:i/>
          <w:sz w:val="18"/>
          <w:szCs w:val="18"/>
        </w:rPr>
        <w:t>Journal of Law and Society</w:t>
      </w:r>
      <w:r w:rsidRPr="00E901F2">
        <w:rPr>
          <w:sz w:val="18"/>
          <w:szCs w:val="18"/>
        </w:rPr>
        <w:t xml:space="preserve">, vol. 43, no. 1, pp. 102-127. </w:t>
      </w:r>
    </w:p>
    <w:p w:rsidR="00A10F45" w:rsidRPr="00E901F2" w:rsidRDefault="00037BB1" w:rsidP="00D703EF">
      <w:pPr>
        <w:pStyle w:val="ListParagraph"/>
        <w:numPr>
          <w:ilvl w:val="0"/>
          <w:numId w:val="1"/>
        </w:numPr>
        <w:ind w:right="1"/>
        <w:rPr>
          <w:sz w:val="18"/>
          <w:szCs w:val="18"/>
        </w:rPr>
      </w:pPr>
      <w:r w:rsidRPr="00E901F2">
        <w:rPr>
          <w:sz w:val="18"/>
          <w:szCs w:val="18"/>
        </w:rPr>
        <w:t xml:space="preserve">Stratford, A., and Whyte, A. (2018). 'Legal aid reform and the impact on family law cases', </w:t>
      </w:r>
      <w:r w:rsidRPr="00E901F2">
        <w:rPr>
          <w:i/>
          <w:sz w:val="18"/>
          <w:szCs w:val="18"/>
        </w:rPr>
        <w:t>Family Law Journal</w:t>
      </w:r>
      <w:r w:rsidRPr="00E901F2">
        <w:rPr>
          <w:sz w:val="18"/>
          <w:szCs w:val="18"/>
        </w:rPr>
        <w:t xml:space="preserve">, vol. 48, no. 11, pp. 1284-1290. </w:t>
      </w:r>
    </w:p>
    <w:p w:rsidR="00A10F45" w:rsidRPr="00E901F2" w:rsidRDefault="00037BB1" w:rsidP="00D703EF">
      <w:pPr>
        <w:pStyle w:val="ListParagraph"/>
        <w:numPr>
          <w:ilvl w:val="0"/>
          <w:numId w:val="1"/>
        </w:numPr>
        <w:spacing w:after="117" w:line="259" w:lineRule="auto"/>
        <w:ind w:right="-7"/>
        <w:jc w:val="left"/>
        <w:rPr>
          <w:sz w:val="18"/>
          <w:szCs w:val="18"/>
        </w:rPr>
      </w:pPr>
      <w:proofErr w:type="spellStart"/>
      <w:r w:rsidRPr="00E901F2">
        <w:rPr>
          <w:sz w:val="18"/>
          <w:szCs w:val="18"/>
        </w:rPr>
        <w:t>Trinder</w:t>
      </w:r>
      <w:proofErr w:type="spellEnd"/>
      <w:r w:rsidRPr="00E901F2">
        <w:rPr>
          <w:sz w:val="18"/>
          <w:szCs w:val="18"/>
        </w:rPr>
        <w:t xml:space="preserve">, L. (2017). </w:t>
      </w:r>
      <w:r w:rsidRPr="00E901F2">
        <w:rPr>
          <w:i/>
          <w:sz w:val="18"/>
          <w:szCs w:val="18"/>
        </w:rPr>
        <w:t>Litigants in person in family courts: Evaluation of the support initiatives</w:t>
      </w:r>
      <w:r w:rsidRPr="00E901F2">
        <w:rPr>
          <w:sz w:val="18"/>
          <w:szCs w:val="18"/>
        </w:rPr>
        <w:t xml:space="preserve">, </w:t>
      </w:r>
    </w:p>
    <w:p w:rsidR="00A10F45" w:rsidRPr="00E901F2" w:rsidRDefault="00037BB1">
      <w:pPr>
        <w:tabs>
          <w:tab w:val="center" w:pos="1133"/>
          <w:tab w:val="center" w:pos="2631"/>
          <w:tab w:val="center" w:pos="4071"/>
          <w:tab w:val="center" w:pos="5816"/>
          <w:tab w:val="center" w:pos="7669"/>
          <w:tab w:val="right" w:pos="9368"/>
        </w:tabs>
        <w:spacing w:after="121" w:line="259" w:lineRule="auto"/>
        <w:ind w:left="0" w:right="0" w:firstLine="0"/>
        <w:jc w:val="left"/>
        <w:rPr>
          <w:sz w:val="18"/>
          <w:szCs w:val="18"/>
        </w:rPr>
      </w:pPr>
      <w:r w:rsidRPr="00E901F2">
        <w:rPr>
          <w:rFonts w:ascii="Calibri" w:eastAsia="Calibri" w:hAnsi="Calibri" w:cs="Calibri"/>
          <w:sz w:val="18"/>
          <w:szCs w:val="18"/>
        </w:rPr>
        <w:tab/>
      </w:r>
      <w:r w:rsidRPr="00E901F2">
        <w:rPr>
          <w:sz w:val="18"/>
          <w:szCs w:val="18"/>
        </w:rPr>
        <w:t xml:space="preserve">Ministry </w:t>
      </w:r>
      <w:r w:rsidRPr="00E901F2">
        <w:rPr>
          <w:sz w:val="18"/>
          <w:szCs w:val="18"/>
        </w:rPr>
        <w:tab/>
        <w:t xml:space="preserve">of </w:t>
      </w:r>
      <w:r w:rsidRPr="00E901F2">
        <w:rPr>
          <w:sz w:val="18"/>
          <w:szCs w:val="18"/>
        </w:rPr>
        <w:tab/>
        <w:t xml:space="preserve">Justice, </w:t>
      </w:r>
      <w:r w:rsidRPr="00E901F2">
        <w:rPr>
          <w:sz w:val="18"/>
          <w:szCs w:val="18"/>
        </w:rPr>
        <w:tab/>
        <w:t xml:space="preserve">London. </w:t>
      </w:r>
      <w:r w:rsidRPr="00E901F2">
        <w:rPr>
          <w:sz w:val="18"/>
          <w:szCs w:val="18"/>
        </w:rPr>
        <w:tab/>
        <w:t xml:space="preserve">Available </w:t>
      </w:r>
      <w:r w:rsidRPr="00E901F2">
        <w:rPr>
          <w:sz w:val="18"/>
          <w:szCs w:val="18"/>
        </w:rPr>
        <w:tab/>
        <w:t xml:space="preserve">at: </w:t>
      </w:r>
    </w:p>
    <w:p w:rsidR="00A10F45" w:rsidRPr="00E901F2" w:rsidRDefault="00037BB1">
      <w:pPr>
        <w:spacing w:after="120" w:line="356" w:lineRule="auto"/>
        <w:ind w:left="716" w:right="0"/>
        <w:jc w:val="left"/>
        <w:rPr>
          <w:sz w:val="18"/>
          <w:szCs w:val="18"/>
        </w:rPr>
      </w:pPr>
      <w:hyperlink r:id="rId41">
        <w:r w:rsidRPr="00E901F2">
          <w:rPr>
            <w:color w:val="0563C1"/>
            <w:sz w:val="18"/>
            <w:szCs w:val="18"/>
            <w:u w:val="single" w:color="0563C1"/>
          </w:rPr>
          <w:t>https://www.gov.uk/government/publications/litigants</w:t>
        </w:r>
      </w:hyperlink>
      <w:hyperlink r:id="rId42">
        <w:r w:rsidRPr="00E901F2">
          <w:rPr>
            <w:color w:val="0563C1"/>
            <w:sz w:val="18"/>
            <w:szCs w:val="18"/>
            <w:u w:val="single" w:color="0563C1"/>
          </w:rPr>
          <w:t>-</w:t>
        </w:r>
      </w:hyperlink>
      <w:hyperlink r:id="rId43">
        <w:r w:rsidRPr="00E901F2">
          <w:rPr>
            <w:color w:val="0563C1"/>
            <w:sz w:val="18"/>
            <w:szCs w:val="18"/>
            <w:u w:val="single" w:color="0563C1"/>
          </w:rPr>
          <w:t>in</w:t>
        </w:r>
      </w:hyperlink>
      <w:hyperlink r:id="rId44">
        <w:r w:rsidRPr="00E901F2">
          <w:rPr>
            <w:color w:val="0563C1"/>
            <w:sz w:val="18"/>
            <w:szCs w:val="18"/>
            <w:u w:val="single" w:color="0563C1"/>
          </w:rPr>
          <w:t>-</w:t>
        </w:r>
      </w:hyperlink>
      <w:hyperlink r:id="rId45">
        <w:r w:rsidRPr="00E901F2">
          <w:rPr>
            <w:color w:val="0563C1"/>
            <w:sz w:val="18"/>
            <w:szCs w:val="18"/>
            <w:u w:val="single" w:color="0563C1"/>
          </w:rPr>
          <w:t>person</w:t>
        </w:r>
      </w:hyperlink>
      <w:hyperlink r:id="rId46">
        <w:r w:rsidRPr="00E901F2">
          <w:rPr>
            <w:color w:val="0563C1"/>
            <w:sz w:val="18"/>
            <w:szCs w:val="18"/>
            <w:u w:val="single" w:color="0563C1"/>
          </w:rPr>
          <w:t>-</w:t>
        </w:r>
      </w:hyperlink>
      <w:hyperlink r:id="rId47">
        <w:r w:rsidRPr="00E901F2">
          <w:rPr>
            <w:color w:val="0563C1"/>
            <w:sz w:val="18"/>
            <w:szCs w:val="18"/>
            <w:u w:val="single" w:color="0563C1"/>
          </w:rPr>
          <w:t>in</w:t>
        </w:r>
      </w:hyperlink>
      <w:hyperlink r:id="rId48">
        <w:r w:rsidRPr="00E901F2">
          <w:rPr>
            <w:color w:val="0563C1"/>
            <w:sz w:val="18"/>
            <w:szCs w:val="18"/>
            <w:u w:val="single" w:color="0563C1"/>
          </w:rPr>
          <w:t>-</w:t>
        </w:r>
      </w:hyperlink>
      <w:hyperlink r:id="rId49">
        <w:r w:rsidRPr="00E901F2">
          <w:rPr>
            <w:color w:val="0563C1"/>
            <w:sz w:val="18"/>
            <w:szCs w:val="18"/>
            <w:u w:val="single" w:color="0563C1"/>
          </w:rPr>
          <w:t>family</w:t>
        </w:r>
      </w:hyperlink>
      <w:hyperlink r:id="rId50">
        <w:r w:rsidRPr="00E901F2">
          <w:rPr>
            <w:color w:val="0563C1"/>
            <w:sz w:val="18"/>
            <w:szCs w:val="18"/>
            <w:u w:val="single" w:color="0563C1"/>
          </w:rPr>
          <w:t>-</w:t>
        </w:r>
      </w:hyperlink>
      <w:hyperlink r:id="rId51">
        <w:r w:rsidRPr="00E901F2">
          <w:rPr>
            <w:color w:val="0563C1"/>
            <w:sz w:val="18"/>
            <w:szCs w:val="18"/>
            <w:u w:val="single" w:color="0563C1"/>
          </w:rPr>
          <w:t>courts</w:t>
        </w:r>
      </w:hyperlink>
      <w:hyperlink r:id="rId52"/>
      <w:hyperlink r:id="rId53">
        <w:r w:rsidRPr="00E901F2">
          <w:rPr>
            <w:color w:val="0563C1"/>
            <w:sz w:val="18"/>
            <w:szCs w:val="18"/>
            <w:u w:val="single" w:color="0563C1"/>
          </w:rPr>
          <w:t>evaluation</w:t>
        </w:r>
      </w:hyperlink>
      <w:hyperlink r:id="rId54">
        <w:r w:rsidRPr="00E901F2">
          <w:rPr>
            <w:sz w:val="18"/>
            <w:szCs w:val="18"/>
          </w:rPr>
          <w:t xml:space="preserve"> </w:t>
        </w:r>
      </w:hyperlink>
      <w:r w:rsidRPr="00E901F2">
        <w:rPr>
          <w:sz w:val="18"/>
          <w:szCs w:val="18"/>
        </w:rPr>
        <w:t xml:space="preserve">[Accessed 28 April 2024]. </w:t>
      </w:r>
    </w:p>
    <w:p w:rsidR="00A10F45" w:rsidRPr="00E901F2" w:rsidRDefault="00037BB1" w:rsidP="00D703EF">
      <w:pPr>
        <w:pStyle w:val="ListParagraph"/>
        <w:numPr>
          <w:ilvl w:val="0"/>
          <w:numId w:val="1"/>
        </w:numPr>
        <w:ind w:right="1"/>
        <w:rPr>
          <w:sz w:val="18"/>
          <w:szCs w:val="18"/>
        </w:rPr>
      </w:pPr>
      <w:r w:rsidRPr="00E901F2">
        <w:rPr>
          <w:sz w:val="18"/>
          <w:szCs w:val="18"/>
        </w:rPr>
        <w:t xml:space="preserve">Young, R., and Quirk, H. (2014). 'The impact of changes in legal aid on prison law', </w:t>
      </w:r>
      <w:r w:rsidRPr="00E901F2">
        <w:rPr>
          <w:i/>
          <w:sz w:val="18"/>
          <w:szCs w:val="18"/>
        </w:rPr>
        <w:t>Howard Journal of Criminal Justice</w:t>
      </w:r>
      <w:r w:rsidRPr="00E901F2">
        <w:rPr>
          <w:sz w:val="18"/>
          <w:szCs w:val="18"/>
        </w:rPr>
        <w:t xml:space="preserve">, vol. 53, no. 3, pp. 300-316. </w:t>
      </w:r>
    </w:p>
    <w:p w:rsidR="00A10F45" w:rsidRPr="00CC6237" w:rsidRDefault="00037BB1">
      <w:pPr>
        <w:spacing w:after="235" w:line="259" w:lineRule="auto"/>
        <w:ind w:left="0" w:right="0" w:firstLine="0"/>
        <w:jc w:val="left"/>
        <w:rPr>
          <w:sz w:val="22"/>
          <w:szCs w:val="22"/>
        </w:rPr>
      </w:pPr>
      <w:r w:rsidRPr="00CC6237">
        <w:rPr>
          <w:sz w:val="22"/>
          <w:szCs w:val="22"/>
        </w:rPr>
        <w:t xml:space="preserve"> </w:t>
      </w:r>
    </w:p>
    <w:p w:rsidR="00A10F45" w:rsidRDefault="00037BB1">
      <w:pPr>
        <w:spacing w:after="230" w:line="259" w:lineRule="auto"/>
        <w:ind w:left="0" w:right="0" w:firstLine="0"/>
        <w:jc w:val="left"/>
      </w:pPr>
      <w:r>
        <w:t xml:space="preserve"> </w:t>
      </w:r>
    </w:p>
    <w:p w:rsidR="00A10F45" w:rsidRDefault="00037BB1">
      <w:pPr>
        <w:spacing w:after="235" w:line="259" w:lineRule="auto"/>
        <w:ind w:left="0" w:right="0" w:firstLine="0"/>
        <w:jc w:val="left"/>
      </w:pPr>
      <w:r>
        <w:lastRenderedPageBreak/>
        <w:t xml:space="preserve"> </w:t>
      </w:r>
    </w:p>
    <w:p w:rsidR="00A10F45" w:rsidRDefault="00037BB1">
      <w:pPr>
        <w:spacing w:after="0" w:line="259" w:lineRule="auto"/>
        <w:ind w:left="0" w:right="0" w:firstLine="0"/>
        <w:jc w:val="left"/>
      </w:pPr>
      <w:r>
        <w:t xml:space="preserve"> </w:t>
      </w:r>
    </w:p>
    <w:sectPr w:rsidR="00A10F45">
      <w:headerReference w:type="default" r:id="rId55"/>
      <w:footerReference w:type="even" r:id="rId56"/>
      <w:footerReference w:type="default" r:id="rId57"/>
      <w:headerReference w:type="first" r:id="rId58"/>
      <w:footerReference w:type="first" r:id="rId59"/>
      <w:pgSz w:w="12240" w:h="15840"/>
      <w:pgMar w:top="1452" w:right="1431" w:bottom="713" w:left="144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37BB1" w:rsidRDefault="00037BB1">
      <w:pPr>
        <w:spacing w:after="0" w:line="240" w:lineRule="auto"/>
      </w:pPr>
      <w:r>
        <w:separator/>
      </w:r>
    </w:p>
  </w:endnote>
  <w:endnote w:type="continuationSeparator" w:id="0">
    <w:p w:rsidR="00037BB1" w:rsidRDefault="00037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10F45" w:rsidRDefault="00037BB1">
    <w:pPr>
      <w:spacing w:after="0" w:line="259" w:lineRule="auto"/>
      <w:ind w:left="0" w:right="4" w:firstLine="0"/>
      <w:jc w:val="right"/>
    </w:pPr>
    <w:r>
      <w:fldChar w:fldCharType="begin"/>
    </w:r>
    <w:r>
      <w:instrText xml:space="preserve"> PAGE   \* MERGEFORMAT </w:instrText>
    </w:r>
    <w:r>
      <w:fldChar w:fldCharType="separate"/>
    </w:r>
    <w:r>
      <w:t>2</w:t>
    </w:r>
    <w:r>
      <w:fldChar w:fldCharType="end"/>
    </w:r>
    <w:r>
      <w:t xml:space="preserve"> </w:t>
    </w:r>
  </w:p>
  <w:p w:rsidR="00A10F45" w:rsidRDefault="00037BB1">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10F45" w:rsidRDefault="00037BB1">
    <w:pPr>
      <w:spacing w:after="0" w:line="259" w:lineRule="auto"/>
      <w:ind w:left="0" w:right="4" w:firstLine="0"/>
      <w:jc w:val="right"/>
    </w:pPr>
    <w:r>
      <w:fldChar w:fldCharType="begin"/>
    </w:r>
    <w:r>
      <w:instrText xml:space="preserve"> PAGE   \* MERGEFORMAT </w:instrText>
    </w:r>
    <w:r>
      <w:fldChar w:fldCharType="separate"/>
    </w:r>
    <w:r>
      <w:t>2</w:t>
    </w:r>
    <w:r>
      <w:fldChar w:fldCharType="end"/>
    </w:r>
    <w:r>
      <w:t xml:space="preserve"> </w:t>
    </w:r>
  </w:p>
  <w:p w:rsidR="00A10F45" w:rsidRPr="00637593" w:rsidRDefault="00037BB1" w:rsidP="00637593">
    <w:pPr>
      <w:spacing w:after="160" w:line="259" w:lineRule="auto"/>
      <w:ind w:left="0" w:right="0" w:firstLine="0"/>
      <w:jc w:val="left"/>
      <w:rPr>
        <w:lang w:val="en-GB"/>
      </w:rPr>
    </w:pPr>
    <w:r>
      <w:t xml:space="preserve"> </w:t>
    </w:r>
    <w:proofErr w:type="spellStart"/>
    <w:r w:rsidR="00637593">
      <w:rPr>
        <w:lang w:val="en-GB"/>
      </w:rPr>
      <w:t>Claudiu-Calin</w:t>
    </w:r>
    <w:proofErr w:type="spellEnd"/>
    <w:r w:rsidR="00637593">
      <w:rPr>
        <w:lang w:val="en-GB"/>
      </w:rPr>
      <w:t xml:space="preserve"> Moldovan     ID: 2314831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F4AD1" w:rsidRPr="00BF4AD1" w:rsidRDefault="00BF4AD1">
    <w:pPr>
      <w:spacing w:after="160" w:line="259" w:lineRule="auto"/>
      <w:ind w:left="0" w:right="0" w:firstLine="0"/>
      <w:jc w:val="left"/>
      <w:rPr>
        <w:lang w:val="en-GB"/>
      </w:rPr>
    </w:pPr>
    <w:proofErr w:type="spellStart"/>
    <w:r>
      <w:rPr>
        <w:lang w:val="en-GB"/>
      </w:rPr>
      <w:t>Claudiu-Calin</w:t>
    </w:r>
    <w:proofErr w:type="spellEnd"/>
    <w:r>
      <w:rPr>
        <w:lang w:val="en-GB"/>
      </w:rPr>
      <w:t xml:space="preserve"> Moldovan     </w:t>
    </w:r>
    <w:r w:rsidR="00D47598">
      <w:rPr>
        <w:lang w:val="en-GB"/>
      </w:rPr>
      <w:t>ID: 2314831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37BB1" w:rsidRDefault="00037BB1">
      <w:pPr>
        <w:spacing w:after="0" w:line="240" w:lineRule="auto"/>
      </w:pPr>
      <w:r>
        <w:separator/>
      </w:r>
    </w:p>
  </w:footnote>
  <w:footnote w:type="continuationSeparator" w:id="0">
    <w:p w:rsidR="00037BB1" w:rsidRDefault="00037B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72539" w:rsidRDefault="00772539">
    <w:pPr>
      <w:pStyle w:val="Header"/>
    </w:pPr>
    <w:r>
      <w:rPr>
        <w:noProof/>
      </w:rPr>
      <w:drawing>
        <wp:anchor distT="0" distB="0" distL="114300" distR="114300" simplePos="0" relativeHeight="251660288" behindDoc="0" locked="0" layoutInCell="1" allowOverlap="1">
          <wp:simplePos x="0" y="0"/>
          <wp:positionH relativeFrom="column">
            <wp:posOffset>-943610</wp:posOffset>
          </wp:positionH>
          <wp:positionV relativeFrom="paragraph">
            <wp:posOffset>-426720</wp:posOffset>
          </wp:positionV>
          <wp:extent cx="1384300" cy="617220"/>
          <wp:effectExtent l="0" t="0" r="635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384300" cy="61722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27055" w:rsidRDefault="00227055">
    <w:pPr>
      <w:pStyle w:val="Header"/>
    </w:pPr>
    <w:r>
      <w:rPr>
        <w:noProof/>
      </w:rPr>
      <w:drawing>
        <wp:anchor distT="0" distB="0" distL="114300" distR="114300" simplePos="0" relativeHeight="251659264" behindDoc="0" locked="0" layoutInCell="1" allowOverlap="1">
          <wp:simplePos x="0" y="0"/>
          <wp:positionH relativeFrom="column">
            <wp:posOffset>-894080</wp:posOffset>
          </wp:positionH>
          <wp:positionV relativeFrom="paragraph">
            <wp:posOffset>-400050</wp:posOffset>
          </wp:positionV>
          <wp:extent cx="1452880" cy="6477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1452880" cy="64770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C46FE"/>
    <w:multiLevelType w:val="hybridMultilevel"/>
    <w:tmpl w:val="1038B008"/>
    <w:lvl w:ilvl="0" w:tplc="FFFFFFFF">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num w:numId="1" w16cid:durableId="950211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F45"/>
    <w:rsid w:val="00037BB1"/>
    <w:rsid w:val="0010746F"/>
    <w:rsid w:val="00227055"/>
    <w:rsid w:val="00227F5C"/>
    <w:rsid w:val="004E1695"/>
    <w:rsid w:val="00637593"/>
    <w:rsid w:val="0072341B"/>
    <w:rsid w:val="00772539"/>
    <w:rsid w:val="007A3FF3"/>
    <w:rsid w:val="008371F2"/>
    <w:rsid w:val="00A10F45"/>
    <w:rsid w:val="00BF4AD1"/>
    <w:rsid w:val="00CC6237"/>
    <w:rsid w:val="00D47598"/>
    <w:rsid w:val="00D703EF"/>
    <w:rsid w:val="00E0212F"/>
    <w:rsid w:val="00E90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65744C"/>
  <w15:docId w15:val="{F9F52FCB-BE2C-B24F-AC85-E9CF42605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8" w:line="358" w:lineRule="auto"/>
      <w:ind w:left="10" w:right="9" w:hanging="10"/>
      <w:jc w:val="both"/>
    </w:pPr>
    <w:rPr>
      <w:rFonts w:ascii="Times New Roman" w:eastAsia="Times New Roman" w:hAnsi="Times New Roman" w:cs="Times New Roman"/>
      <w:color w:val="000000"/>
      <w:lang w:val="en" w:eastAsia="en"/>
    </w:rPr>
  </w:style>
  <w:style w:type="paragraph" w:styleId="Heading1">
    <w:name w:val="heading 1"/>
    <w:next w:val="Normal"/>
    <w:link w:val="Heading1Char"/>
    <w:uiPriority w:val="9"/>
    <w:qFormat/>
    <w:pPr>
      <w:keepNext/>
      <w:keepLines/>
      <w:spacing w:after="195" w:line="259" w:lineRule="auto"/>
      <w:ind w:left="10" w:hanging="10"/>
      <w:outlineLvl w:val="0"/>
    </w:pPr>
    <w:rPr>
      <w:rFonts w:ascii="Times New Roman" w:eastAsia="Times New Roman" w:hAnsi="Times New Roman" w:cs="Times New Roman"/>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32"/>
    </w:rPr>
  </w:style>
  <w:style w:type="paragraph" w:styleId="Header">
    <w:name w:val="header"/>
    <w:basedOn w:val="Normal"/>
    <w:link w:val="HeaderChar"/>
    <w:uiPriority w:val="99"/>
    <w:unhideWhenUsed/>
    <w:rsid w:val="00227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055"/>
    <w:rPr>
      <w:rFonts w:ascii="Times New Roman" w:eastAsia="Times New Roman" w:hAnsi="Times New Roman" w:cs="Times New Roman"/>
      <w:color w:val="000000"/>
      <w:lang w:val="en" w:eastAsia="en"/>
    </w:rPr>
  </w:style>
  <w:style w:type="paragraph" w:styleId="ListParagraph">
    <w:name w:val="List Paragraph"/>
    <w:basedOn w:val="Normal"/>
    <w:uiPriority w:val="34"/>
    <w:qFormat/>
    <w:rsid w:val="00D703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theguardian.com/law/2017/sep/26/legal-aid-cuts-have-led-to-surge-in-diy-defence-says-charity" TargetMode="External" /><Relationship Id="rId18" Type="http://schemas.openxmlformats.org/officeDocument/2006/relationships/hyperlink" Target="https://www.theguardian.com/law/2017/sep/26/legal-aid-cuts-have-led-to-surge-in-diy-defence-says-charity" TargetMode="External" /><Relationship Id="rId26" Type="http://schemas.openxmlformats.org/officeDocument/2006/relationships/hyperlink" Target="https://www.theguardian.com/law/2017/sep/26/legal-aid-cuts-have-led-to-surge-in-diy-defence-says-charity" TargetMode="External" /><Relationship Id="rId39" Type="http://schemas.openxmlformats.org/officeDocument/2006/relationships/hyperlink" Target="http://www.legalservicesboard.org.uk/public_think.pdf" TargetMode="External" /><Relationship Id="rId21" Type="http://schemas.openxmlformats.org/officeDocument/2006/relationships/hyperlink" Target="https://www.theguardian.com/law/2017/sep/26/legal-aid-cuts-have-led-to-surge-in-diy-defence-says-charity" TargetMode="External" /><Relationship Id="rId34" Type="http://schemas.openxmlformats.org/officeDocument/2006/relationships/hyperlink" Target="https://www.gov.uk/government/collections/legal-aid-statistics" TargetMode="External" /><Relationship Id="rId42" Type="http://schemas.openxmlformats.org/officeDocument/2006/relationships/hyperlink" Target="https://www.gov.uk/government/publications/litigants-in-person-in-family-courts-evaluation" TargetMode="External" /><Relationship Id="rId47" Type="http://schemas.openxmlformats.org/officeDocument/2006/relationships/hyperlink" Target="https://www.gov.uk/government/publications/litigants-in-person-in-family-courts-evaluation" TargetMode="External" /><Relationship Id="rId50" Type="http://schemas.openxmlformats.org/officeDocument/2006/relationships/hyperlink" Target="https://www.gov.uk/government/publications/litigants-in-person-in-family-courts-evaluation" TargetMode="External" /><Relationship Id="rId55" Type="http://schemas.openxmlformats.org/officeDocument/2006/relationships/header" Target="header1.xml" /><Relationship Id="rId7" Type="http://schemas.openxmlformats.org/officeDocument/2006/relationships/hyperlink" Target="https://www.theguardian.com/law/2017/sep/26/legal-aid-cuts-have-led-to-surge-in-diy-defence-says-charity" TargetMode="External" /><Relationship Id="rId2" Type="http://schemas.openxmlformats.org/officeDocument/2006/relationships/styles" Target="styles.xml" /><Relationship Id="rId16" Type="http://schemas.openxmlformats.org/officeDocument/2006/relationships/hyperlink" Target="https://www.theguardian.com/law/2017/sep/26/legal-aid-cuts-have-led-to-surge-in-diy-defence-says-charity" TargetMode="External" /><Relationship Id="rId20" Type="http://schemas.openxmlformats.org/officeDocument/2006/relationships/hyperlink" Target="https://www.theguardian.com/law/2017/sep/26/legal-aid-cuts-have-led-to-surge-in-diy-defence-says-charity" TargetMode="External" /><Relationship Id="rId29" Type="http://schemas.openxmlformats.org/officeDocument/2006/relationships/hyperlink" Target="https://www.theguardian.com/law/2017/sep/26/legal-aid-cuts-have-led-to-surge-in-diy-defence-says-charity" TargetMode="External" /><Relationship Id="rId41" Type="http://schemas.openxmlformats.org/officeDocument/2006/relationships/hyperlink" Target="https://www.gov.uk/government/publications/litigants-in-person-in-family-courts-evaluation" TargetMode="External" /><Relationship Id="rId54" Type="http://schemas.openxmlformats.org/officeDocument/2006/relationships/hyperlink" Target="https://www.gov.uk/government/publications/litigants-in-person-in-family-courts-evaluation"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theguardian.com/law/2017/sep/26/legal-aid-cuts-have-led-to-surge-in-diy-defence-says-charity" TargetMode="External" /><Relationship Id="rId24" Type="http://schemas.openxmlformats.org/officeDocument/2006/relationships/hyperlink" Target="https://www.theguardian.com/law/2017/sep/26/legal-aid-cuts-have-led-to-surge-in-diy-defence-says-charity" TargetMode="External" /><Relationship Id="rId32" Type="http://schemas.openxmlformats.org/officeDocument/2006/relationships/hyperlink" Target="http://www.legalaffairs.com/legalaidcrisis" TargetMode="External" /><Relationship Id="rId37" Type="http://schemas.openxmlformats.org/officeDocument/2006/relationships/hyperlink" Target="https://www.gov.uk/government/collections/legal-aid-statistics" TargetMode="External" /><Relationship Id="rId40" Type="http://schemas.openxmlformats.org/officeDocument/2006/relationships/hyperlink" Target="http://www.legalservicesboard.org.uk/public_think.pdf" TargetMode="External" /><Relationship Id="rId45" Type="http://schemas.openxmlformats.org/officeDocument/2006/relationships/hyperlink" Target="https://www.gov.uk/government/publications/litigants-in-person-in-family-courts-evaluation" TargetMode="External" /><Relationship Id="rId53" Type="http://schemas.openxmlformats.org/officeDocument/2006/relationships/hyperlink" Target="https://www.gov.uk/government/publications/litigants-in-person-in-family-courts-evaluation" TargetMode="External" /><Relationship Id="rId58"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hyperlink" Target="https://www.theguardian.com/law/2017/sep/26/legal-aid-cuts-have-led-to-surge-in-diy-defence-says-charity" TargetMode="External" /><Relationship Id="rId23" Type="http://schemas.openxmlformats.org/officeDocument/2006/relationships/hyperlink" Target="https://www.theguardian.com/law/2017/sep/26/legal-aid-cuts-have-led-to-surge-in-diy-defence-says-charity" TargetMode="External" /><Relationship Id="rId28" Type="http://schemas.openxmlformats.org/officeDocument/2006/relationships/hyperlink" Target="https://www.theguardian.com/law/2017/sep/26/legal-aid-cuts-have-led-to-surge-in-diy-defence-says-charity" TargetMode="External" /><Relationship Id="rId36" Type="http://schemas.openxmlformats.org/officeDocument/2006/relationships/hyperlink" Target="https://www.gov.uk/government/collections/legal-aid-statistics" TargetMode="External" /><Relationship Id="rId49" Type="http://schemas.openxmlformats.org/officeDocument/2006/relationships/hyperlink" Target="https://www.gov.uk/government/publications/litigants-in-person-in-family-courts-evaluation" TargetMode="External" /><Relationship Id="rId57" Type="http://schemas.openxmlformats.org/officeDocument/2006/relationships/footer" Target="footer2.xml" /><Relationship Id="rId61" Type="http://schemas.openxmlformats.org/officeDocument/2006/relationships/theme" Target="theme/theme1.xml" /><Relationship Id="rId10" Type="http://schemas.openxmlformats.org/officeDocument/2006/relationships/hyperlink" Target="https://www.theguardian.com/law/2017/sep/26/legal-aid-cuts-have-led-to-surge-in-diy-defence-says-charity" TargetMode="External" /><Relationship Id="rId19" Type="http://schemas.openxmlformats.org/officeDocument/2006/relationships/hyperlink" Target="https://www.theguardian.com/law/2017/sep/26/legal-aid-cuts-have-led-to-surge-in-diy-defence-says-charity" TargetMode="External" /><Relationship Id="rId31" Type="http://schemas.openxmlformats.org/officeDocument/2006/relationships/hyperlink" Target="http://www.legalaffairs.com/legalaidcrisis" TargetMode="External" /><Relationship Id="rId44" Type="http://schemas.openxmlformats.org/officeDocument/2006/relationships/hyperlink" Target="https://www.gov.uk/government/publications/litigants-in-person-in-family-courts-evaluation" TargetMode="External" /><Relationship Id="rId52" Type="http://schemas.openxmlformats.org/officeDocument/2006/relationships/hyperlink" Target="https://www.gov.uk/government/publications/litigants-in-person-in-family-courts-evaluation" TargetMode="External" /><Relationship Id="rId6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theguardian.com/law/2017/sep/26/legal-aid-cuts-have-led-to-surge-in-diy-defence-says-charity" TargetMode="External" /><Relationship Id="rId14" Type="http://schemas.openxmlformats.org/officeDocument/2006/relationships/hyperlink" Target="https://www.theguardian.com/law/2017/sep/26/legal-aid-cuts-have-led-to-surge-in-diy-defence-says-charity" TargetMode="External" /><Relationship Id="rId22" Type="http://schemas.openxmlformats.org/officeDocument/2006/relationships/hyperlink" Target="https://www.theguardian.com/law/2017/sep/26/legal-aid-cuts-have-led-to-surge-in-diy-defence-says-charity" TargetMode="External" /><Relationship Id="rId27" Type="http://schemas.openxmlformats.org/officeDocument/2006/relationships/hyperlink" Target="https://www.theguardian.com/law/2017/sep/26/legal-aid-cuts-have-led-to-surge-in-diy-defence-says-charity" TargetMode="External" /><Relationship Id="rId30" Type="http://schemas.openxmlformats.org/officeDocument/2006/relationships/hyperlink" Target="https://www.theguardian.com/law/2017/sep/26/legal-aid-cuts-have-led-to-surge-in-diy-defence-says-charity" TargetMode="External" /><Relationship Id="rId35" Type="http://schemas.openxmlformats.org/officeDocument/2006/relationships/hyperlink" Target="https://www.gov.uk/government/collections/legal-aid-statistics" TargetMode="External" /><Relationship Id="rId43" Type="http://schemas.openxmlformats.org/officeDocument/2006/relationships/hyperlink" Target="https://www.gov.uk/government/publications/litigants-in-person-in-family-courts-evaluation" TargetMode="External" /><Relationship Id="rId48" Type="http://schemas.openxmlformats.org/officeDocument/2006/relationships/hyperlink" Target="https://www.gov.uk/government/publications/litigants-in-person-in-family-courts-evaluation" TargetMode="External" /><Relationship Id="rId56" Type="http://schemas.openxmlformats.org/officeDocument/2006/relationships/footer" Target="footer1.xml" /><Relationship Id="rId8" Type="http://schemas.openxmlformats.org/officeDocument/2006/relationships/hyperlink" Target="https://www.theguardian.com/law/2017/sep/26/legal-aid-cuts-have-led-to-surge-in-diy-defence-says-charity" TargetMode="External" /><Relationship Id="rId51" Type="http://schemas.openxmlformats.org/officeDocument/2006/relationships/hyperlink" Target="https://www.gov.uk/government/publications/litigants-in-person-in-family-courts-evaluation" TargetMode="External" /><Relationship Id="rId3" Type="http://schemas.openxmlformats.org/officeDocument/2006/relationships/settings" Target="settings.xml" /><Relationship Id="rId12" Type="http://schemas.openxmlformats.org/officeDocument/2006/relationships/hyperlink" Target="https://www.theguardian.com/law/2017/sep/26/legal-aid-cuts-have-led-to-surge-in-diy-defence-says-charity" TargetMode="External" /><Relationship Id="rId17" Type="http://schemas.openxmlformats.org/officeDocument/2006/relationships/hyperlink" Target="https://www.theguardian.com/law/2017/sep/26/legal-aid-cuts-have-led-to-surge-in-diy-defence-says-charity" TargetMode="External" /><Relationship Id="rId25" Type="http://schemas.openxmlformats.org/officeDocument/2006/relationships/hyperlink" Target="https://www.theguardian.com/law/2017/sep/26/legal-aid-cuts-have-led-to-surge-in-diy-defence-says-charity" TargetMode="External" /><Relationship Id="rId33" Type="http://schemas.openxmlformats.org/officeDocument/2006/relationships/hyperlink" Target="https://www.gov.uk/government/collections/legal-aid-statistics" TargetMode="External" /><Relationship Id="rId38" Type="http://schemas.openxmlformats.org/officeDocument/2006/relationships/hyperlink" Target="https://www.gov.uk/government/collections/legal-aid-statistics" TargetMode="External" /><Relationship Id="rId46" Type="http://schemas.openxmlformats.org/officeDocument/2006/relationships/hyperlink" Target="https://www.gov.uk/government/publications/litigants-in-person-in-family-courts-evaluation" TargetMode="External" /><Relationship Id="rId59" Type="http://schemas.openxmlformats.org/officeDocument/2006/relationships/footer" Target="footer3.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_rels/header2.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2871</Words>
  <Characters>16367</Characters>
  <Application>Microsoft Office Word</Application>
  <DocSecurity>0</DocSecurity>
  <Lines>136</Lines>
  <Paragraphs>38</Paragraphs>
  <ScaleCrop>false</ScaleCrop>
  <Company/>
  <LinksUpToDate>false</LinksUpToDate>
  <CharactersWithSpaces>19200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Claudiu Moldovan</cp:lastModifiedBy>
  <cp:revision>2</cp:revision>
  <dcterms:created xsi:type="dcterms:W3CDTF">2024-05-04T12:39:00Z</dcterms:created>
  <dcterms:modified xsi:type="dcterms:W3CDTF">2024-05-04T12:39:00Z</dcterms:modified>
</cp:coreProperties>
</file>