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67CCE" w14:textId="5141D579" w:rsidR="004C7502" w:rsidRDefault="004C7502" w:rsidP="00B42CCE">
      <w:pPr>
        <w:spacing w:line="360" w:lineRule="auto"/>
        <w:rPr>
          <w:rFonts w:ascii="Arial" w:hAnsi="Arial" w:cs="Arial"/>
          <w:b/>
          <w:bCs/>
          <w:sz w:val="36"/>
          <w:szCs w:val="36"/>
        </w:rPr>
      </w:pPr>
      <w:r>
        <w:rPr>
          <w:rFonts w:ascii="Arial" w:hAnsi="Arial" w:cs="Arial"/>
          <w:b/>
          <w:bCs/>
          <w:sz w:val="36"/>
          <w:szCs w:val="36"/>
        </w:rPr>
        <w:t>Mohammed Ashfaq - 2315557</w:t>
      </w:r>
    </w:p>
    <w:p w14:paraId="76DFD3F9" w14:textId="3D865CE4" w:rsidR="00DA0285" w:rsidRDefault="004E033D" w:rsidP="00B42CCE">
      <w:pPr>
        <w:spacing w:line="360" w:lineRule="auto"/>
        <w:rPr>
          <w:rFonts w:ascii="Arial" w:hAnsi="Arial" w:cs="Arial"/>
          <w:b/>
          <w:bCs/>
          <w:sz w:val="36"/>
          <w:szCs w:val="36"/>
        </w:rPr>
      </w:pPr>
      <w:r>
        <w:rPr>
          <w:rFonts w:ascii="Arial" w:hAnsi="Arial" w:cs="Arial"/>
          <w:b/>
          <w:bCs/>
          <w:sz w:val="36"/>
          <w:szCs w:val="36"/>
        </w:rPr>
        <w:t xml:space="preserve">Component 2 </w:t>
      </w:r>
      <w:r w:rsidR="009B4356">
        <w:rPr>
          <w:rFonts w:ascii="Arial" w:hAnsi="Arial" w:cs="Arial"/>
          <w:b/>
          <w:bCs/>
          <w:sz w:val="36"/>
          <w:szCs w:val="36"/>
        </w:rPr>
        <w:t>–</w:t>
      </w:r>
      <w:r>
        <w:rPr>
          <w:rFonts w:ascii="Arial" w:hAnsi="Arial" w:cs="Arial"/>
          <w:b/>
          <w:bCs/>
          <w:sz w:val="36"/>
          <w:szCs w:val="36"/>
        </w:rPr>
        <w:t xml:space="preserve"> </w:t>
      </w:r>
      <w:r w:rsidR="009B4356">
        <w:rPr>
          <w:rFonts w:ascii="Arial" w:hAnsi="Arial" w:cs="Arial"/>
          <w:b/>
          <w:bCs/>
          <w:sz w:val="36"/>
          <w:szCs w:val="36"/>
        </w:rPr>
        <w:t>LCHS7000</w:t>
      </w:r>
    </w:p>
    <w:p w14:paraId="6803CEE4" w14:textId="373745CA" w:rsidR="00CB236C" w:rsidRDefault="00CB236C" w:rsidP="00B42CCE">
      <w:pPr>
        <w:spacing w:line="360" w:lineRule="auto"/>
        <w:rPr>
          <w:rFonts w:ascii="Arial" w:hAnsi="Arial" w:cs="Arial"/>
          <w:b/>
          <w:bCs/>
          <w:sz w:val="36"/>
          <w:szCs w:val="36"/>
        </w:rPr>
      </w:pPr>
      <w:r>
        <w:rPr>
          <w:rFonts w:ascii="Arial" w:hAnsi="Arial" w:cs="Arial"/>
          <w:b/>
          <w:bCs/>
          <w:sz w:val="36"/>
          <w:szCs w:val="36"/>
        </w:rPr>
        <w:t xml:space="preserve">Social </w:t>
      </w:r>
      <w:r w:rsidR="00344950">
        <w:rPr>
          <w:rFonts w:ascii="Arial" w:hAnsi="Arial" w:cs="Arial"/>
          <w:b/>
          <w:bCs/>
          <w:sz w:val="36"/>
          <w:szCs w:val="36"/>
        </w:rPr>
        <w:t xml:space="preserve">Epidemiology </w:t>
      </w:r>
      <w:r w:rsidR="00323DEB">
        <w:rPr>
          <w:rFonts w:ascii="Arial" w:hAnsi="Arial" w:cs="Arial"/>
          <w:b/>
          <w:bCs/>
          <w:sz w:val="36"/>
          <w:szCs w:val="36"/>
        </w:rPr>
        <w:t xml:space="preserve">and </w:t>
      </w:r>
      <w:r w:rsidR="004C7502">
        <w:rPr>
          <w:rFonts w:ascii="Arial" w:hAnsi="Arial" w:cs="Arial"/>
          <w:b/>
          <w:bCs/>
          <w:sz w:val="36"/>
          <w:szCs w:val="36"/>
        </w:rPr>
        <w:t xml:space="preserve">Public Health Development </w:t>
      </w:r>
    </w:p>
    <w:p w14:paraId="6293F947" w14:textId="19A171E5" w:rsidR="004C7502" w:rsidRDefault="004C7502" w:rsidP="00B42CCE">
      <w:pPr>
        <w:spacing w:line="360" w:lineRule="auto"/>
        <w:rPr>
          <w:rFonts w:ascii="Arial" w:hAnsi="Arial" w:cs="Arial"/>
          <w:b/>
          <w:bCs/>
          <w:sz w:val="36"/>
          <w:szCs w:val="36"/>
        </w:rPr>
      </w:pPr>
      <w:r>
        <w:rPr>
          <w:rFonts w:ascii="Arial" w:hAnsi="Arial" w:cs="Arial"/>
          <w:b/>
          <w:bCs/>
          <w:sz w:val="36"/>
          <w:szCs w:val="36"/>
        </w:rPr>
        <w:t xml:space="preserve">Lecturer: </w:t>
      </w:r>
      <w:r w:rsidR="00FB4737">
        <w:rPr>
          <w:rFonts w:ascii="Arial" w:hAnsi="Arial" w:cs="Arial"/>
          <w:b/>
          <w:bCs/>
          <w:sz w:val="36"/>
          <w:szCs w:val="36"/>
        </w:rPr>
        <w:t xml:space="preserve">Ihinosen </w:t>
      </w:r>
      <w:r w:rsidR="001D489E">
        <w:rPr>
          <w:rFonts w:ascii="Arial" w:hAnsi="Arial" w:cs="Arial"/>
          <w:b/>
          <w:bCs/>
          <w:sz w:val="36"/>
          <w:szCs w:val="36"/>
        </w:rPr>
        <w:t>Ovbude</w:t>
      </w:r>
    </w:p>
    <w:p w14:paraId="15D0957C" w14:textId="0F162E61" w:rsidR="001D489E" w:rsidRDefault="00FB754F" w:rsidP="00B42CCE">
      <w:pPr>
        <w:spacing w:line="360" w:lineRule="auto"/>
        <w:rPr>
          <w:rFonts w:ascii="Arial" w:hAnsi="Arial" w:cs="Arial"/>
          <w:b/>
          <w:bCs/>
          <w:sz w:val="36"/>
          <w:szCs w:val="36"/>
        </w:rPr>
      </w:pPr>
      <w:r>
        <w:rPr>
          <w:rFonts w:ascii="Arial" w:hAnsi="Arial" w:cs="Arial"/>
          <w:b/>
          <w:bCs/>
          <w:sz w:val="36"/>
          <w:szCs w:val="36"/>
        </w:rPr>
        <w:t>18/10/2026</w:t>
      </w:r>
    </w:p>
    <w:p w14:paraId="7449F1BA" w14:textId="77777777" w:rsidR="00DA0285" w:rsidRDefault="00DA0285" w:rsidP="00B42CCE">
      <w:pPr>
        <w:spacing w:line="360" w:lineRule="auto"/>
        <w:rPr>
          <w:rFonts w:ascii="Arial" w:hAnsi="Arial" w:cs="Arial"/>
          <w:b/>
          <w:bCs/>
          <w:sz w:val="36"/>
          <w:szCs w:val="36"/>
        </w:rPr>
      </w:pPr>
    </w:p>
    <w:p w14:paraId="3CD3E837" w14:textId="77777777" w:rsidR="00DA0285" w:rsidRDefault="00DA0285" w:rsidP="00B42CCE">
      <w:pPr>
        <w:spacing w:line="360" w:lineRule="auto"/>
        <w:rPr>
          <w:rFonts w:ascii="Arial" w:hAnsi="Arial" w:cs="Arial"/>
          <w:b/>
          <w:bCs/>
          <w:sz w:val="36"/>
          <w:szCs w:val="36"/>
        </w:rPr>
      </w:pPr>
    </w:p>
    <w:p w14:paraId="177ADC0C" w14:textId="53CB644E" w:rsidR="00870478" w:rsidRPr="009E0EDC" w:rsidRDefault="00870478" w:rsidP="00B42CCE">
      <w:pPr>
        <w:spacing w:line="360" w:lineRule="auto"/>
        <w:rPr>
          <w:rFonts w:ascii="Arial" w:hAnsi="Arial" w:cs="Arial"/>
          <w:b/>
          <w:bCs/>
          <w:sz w:val="36"/>
          <w:szCs w:val="36"/>
        </w:rPr>
      </w:pPr>
      <w:r w:rsidRPr="009E0EDC">
        <w:rPr>
          <w:rFonts w:ascii="Arial" w:hAnsi="Arial" w:cs="Arial"/>
          <w:b/>
          <w:bCs/>
          <w:sz w:val="36"/>
          <w:szCs w:val="36"/>
        </w:rPr>
        <w:t>Task 1:</w:t>
      </w:r>
    </w:p>
    <w:p w14:paraId="5F586AB6" w14:textId="77777777" w:rsidR="00870478" w:rsidRPr="008E749B" w:rsidRDefault="00870478" w:rsidP="00B42CCE">
      <w:pPr>
        <w:spacing w:line="360" w:lineRule="auto"/>
        <w:rPr>
          <w:rFonts w:ascii="Arial" w:hAnsi="Arial" w:cs="Arial"/>
          <w:sz w:val="36"/>
          <w:szCs w:val="36"/>
        </w:rPr>
      </w:pPr>
    </w:p>
    <w:p w14:paraId="5E02A45A" w14:textId="77777777" w:rsidR="00870478" w:rsidRPr="0006256F" w:rsidRDefault="00870478" w:rsidP="00B42CCE">
      <w:pPr>
        <w:spacing w:line="360" w:lineRule="auto"/>
        <w:rPr>
          <w:rFonts w:ascii="Arial" w:hAnsi="Arial" w:cs="Arial"/>
          <w:b/>
          <w:bCs/>
          <w:sz w:val="36"/>
          <w:szCs w:val="36"/>
        </w:rPr>
      </w:pPr>
      <w:r w:rsidRPr="0006256F">
        <w:rPr>
          <w:rFonts w:ascii="Arial" w:hAnsi="Arial" w:cs="Arial"/>
          <w:b/>
          <w:bCs/>
          <w:sz w:val="36"/>
          <w:szCs w:val="36"/>
        </w:rPr>
        <w:t>Title: Ethnicity and Health Inequality in the United Kingdom: A Social Epidemiological Analysis</w:t>
      </w:r>
    </w:p>
    <w:p w14:paraId="2668018A" w14:textId="77777777" w:rsidR="00870478" w:rsidRPr="008E749B" w:rsidRDefault="00870478" w:rsidP="00B42CCE">
      <w:pPr>
        <w:spacing w:line="360" w:lineRule="auto"/>
        <w:rPr>
          <w:rFonts w:ascii="Arial" w:hAnsi="Arial" w:cs="Arial"/>
          <w:sz w:val="36"/>
          <w:szCs w:val="36"/>
        </w:rPr>
      </w:pPr>
    </w:p>
    <w:p w14:paraId="7F0FD3BC" w14:textId="49EDD129" w:rsidR="00870478" w:rsidRPr="00485ADD" w:rsidRDefault="00870478" w:rsidP="00B42CCE">
      <w:pPr>
        <w:spacing w:line="360" w:lineRule="auto"/>
        <w:rPr>
          <w:rFonts w:ascii="Arial" w:hAnsi="Arial" w:cs="Arial"/>
          <w:b/>
          <w:bCs/>
          <w:i/>
          <w:iCs/>
          <w:sz w:val="36"/>
          <w:szCs w:val="36"/>
          <w:u w:val="single"/>
        </w:rPr>
      </w:pPr>
      <w:r w:rsidRPr="00485ADD">
        <w:rPr>
          <w:rFonts w:ascii="Arial" w:hAnsi="Arial" w:cs="Arial"/>
          <w:b/>
          <w:bCs/>
          <w:i/>
          <w:iCs/>
          <w:sz w:val="36"/>
          <w:szCs w:val="36"/>
          <w:u w:val="single"/>
        </w:rPr>
        <w:t>Introduction</w:t>
      </w:r>
    </w:p>
    <w:p w14:paraId="1D3AD3E0" w14:textId="77777777" w:rsidR="00870478" w:rsidRPr="008E749B" w:rsidRDefault="00870478" w:rsidP="00B42CCE">
      <w:pPr>
        <w:spacing w:line="360" w:lineRule="auto"/>
        <w:rPr>
          <w:rFonts w:ascii="Arial" w:hAnsi="Arial" w:cs="Arial"/>
          <w:sz w:val="36"/>
          <w:szCs w:val="36"/>
        </w:rPr>
      </w:pPr>
    </w:p>
    <w:p w14:paraId="74DF0686" w14:textId="4F53ADC8"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The selected target group for this analysis comprises individuals from ethnic minority backgrounds in the United Kingdom, specifically focusing on Black, Asian, and Minority Ethnic communities. This population is at a significantly higher risk of experiencing health inequalities due to a complex interplay of socioeconomic deprivation, systemic racism, cultural barriers, and historical marginalisation (Nazroo, 2015). Health inequalities are unjust and avoidable differences in health status across populations. For ethnic minority groups, these disparities are largely driven by the broader social determinants of health, such as unequal access to high</w:t>
      </w:r>
      <w:r w:rsidR="0006256F">
        <w:rPr>
          <w:rFonts w:ascii="Arial" w:hAnsi="Arial" w:cs="Arial"/>
          <w:sz w:val="36"/>
          <w:szCs w:val="36"/>
        </w:rPr>
        <w:t xml:space="preserve"> </w:t>
      </w:r>
      <w:r w:rsidRPr="008E749B">
        <w:rPr>
          <w:rFonts w:ascii="Arial" w:hAnsi="Arial" w:cs="Arial"/>
          <w:sz w:val="36"/>
          <w:szCs w:val="36"/>
        </w:rPr>
        <w:t>quality education, employment, and housing, which collectively compound biological and genetic vulnerabilities (Marmot et al., 2020). Consequently, this group experiences disproportionate morbidity and mortality rates compared to the White British majority.</w:t>
      </w:r>
    </w:p>
    <w:p w14:paraId="2B0A2DD4" w14:textId="77777777" w:rsidR="00870478" w:rsidRPr="008E749B" w:rsidRDefault="00870478" w:rsidP="00B42CCE">
      <w:pPr>
        <w:spacing w:line="360" w:lineRule="auto"/>
        <w:rPr>
          <w:rFonts w:ascii="Arial" w:hAnsi="Arial" w:cs="Arial"/>
          <w:sz w:val="36"/>
          <w:szCs w:val="36"/>
        </w:rPr>
      </w:pPr>
    </w:p>
    <w:p w14:paraId="408CEE1D" w14:textId="77777777" w:rsidR="00870478" w:rsidRPr="00485ADD" w:rsidRDefault="00870478" w:rsidP="00B42CCE">
      <w:pPr>
        <w:spacing w:line="360" w:lineRule="auto"/>
        <w:rPr>
          <w:rFonts w:ascii="Arial" w:hAnsi="Arial" w:cs="Arial"/>
          <w:b/>
          <w:bCs/>
          <w:i/>
          <w:iCs/>
          <w:sz w:val="36"/>
          <w:szCs w:val="36"/>
          <w:u w:val="single"/>
        </w:rPr>
      </w:pPr>
      <w:r w:rsidRPr="00485ADD">
        <w:rPr>
          <w:rFonts w:ascii="Arial" w:hAnsi="Arial" w:cs="Arial"/>
          <w:b/>
          <w:bCs/>
          <w:i/>
          <w:iCs/>
          <w:sz w:val="36"/>
          <w:szCs w:val="36"/>
          <w:u w:val="single"/>
        </w:rPr>
        <w:t>Contextual Background and Underlying Factors</w:t>
      </w:r>
    </w:p>
    <w:p w14:paraId="7997AF0A" w14:textId="77777777" w:rsidR="00870478" w:rsidRPr="008E749B" w:rsidRDefault="00870478" w:rsidP="00B42CCE">
      <w:pPr>
        <w:spacing w:line="360" w:lineRule="auto"/>
        <w:rPr>
          <w:rFonts w:ascii="Arial" w:hAnsi="Arial" w:cs="Arial"/>
          <w:sz w:val="36"/>
          <w:szCs w:val="36"/>
        </w:rPr>
      </w:pPr>
    </w:p>
    <w:p w14:paraId="4B231109" w14:textId="26205157"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Higher Rates of Type 2 Diabetes Ethnic minority groups, particularly South Asian and Black African or Caribbean populations, experience a significantly higher prevalence of Type 2 diabetes. South Asian individuals in the UK are up to six times more likely to develop Type 2 diabetes than their White counterparts, often at a younger age and lower Body Mass Index threshold (Tillin et al., 2013). This inequality exists due to a combination of genetic predispositions, dietary transitions following migration, and socioeconomic deprivation that limits access to healthy food options. Solutions require culturally tailored prevention programmes, community</w:t>
      </w:r>
      <w:r w:rsidR="00E304F5">
        <w:rPr>
          <w:rFonts w:ascii="Arial" w:hAnsi="Arial" w:cs="Arial"/>
          <w:sz w:val="36"/>
          <w:szCs w:val="36"/>
        </w:rPr>
        <w:t xml:space="preserve"> </w:t>
      </w:r>
      <w:r w:rsidRPr="008E749B">
        <w:rPr>
          <w:rFonts w:ascii="Arial" w:hAnsi="Arial" w:cs="Arial"/>
          <w:sz w:val="36"/>
          <w:szCs w:val="36"/>
        </w:rPr>
        <w:t>led nutritional education, and earlier clinical screening protocols targeted specifically at these high-risk demographics (Goff, 2019).</w:t>
      </w:r>
    </w:p>
    <w:p w14:paraId="1B517098" w14:textId="77777777" w:rsidR="00870478" w:rsidRPr="008E749B" w:rsidRDefault="00870478" w:rsidP="00B42CCE">
      <w:pPr>
        <w:spacing w:line="360" w:lineRule="auto"/>
        <w:rPr>
          <w:rFonts w:ascii="Arial" w:hAnsi="Arial" w:cs="Arial"/>
          <w:sz w:val="36"/>
          <w:szCs w:val="36"/>
        </w:rPr>
      </w:pPr>
    </w:p>
    <w:p w14:paraId="6214AECD" w14:textId="777C00FC" w:rsidR="00870478" w:rsidRPr="00485ADD" w:rsidRDefault="00870478" w:rsidP="00B42CCE">
      <w:pPr>
        <w:spacing w:line="360" w:lineRule="auto"/>
        <w:rPr>
          <w:rFonts w:ascii="Arial" w:hAnsi="Arial" w:cs="Arial"/>
          <w:b/>
          <w:bCs/>
          <w:i/>
          <w:iCs/>
          <w:sz w:val="36"/>
          <w:szCs w:val="36"/>
          <w:u w:val="single"/>
        </w:rPr>
      </w:pPr>
      <w:r w:rsidRPr="00485ADD">
        <w:rPr>
          <w:rFonts w:ascii="Arial" w:hAnsi="Arial" w:cs="Arial"/>
          <w:b/>
          <w:bCs/>
          <w:i/>
          <w:iCs/>
          <w:sz w:val="36"/>
          <w:szCs w:val="36"/>
          <w:u w:val="single"/>
        </w:rPr>
        <w:t xml:space="preserve">Disproportionate Maternal and Perinatal Mortality </w:t>
      </w:r>
    </w:p>
    <w:p w14:paraId="5FF444FF" w14:textId="77777777" w:rsidR="00E304F5" w:rsidRPr="00E304F5" w:rsidRDefault="00E304F5" w:rsidP="00B42CCE">
      <w:pPr>
        <w:spacing w:line="360" w:lineRule="auto"/>
        <w:rPr>
          <w:rFonts w:ascii="Arial" w:hAnsi="Arial" w:cs="Arial"/>
          <w:i/>
          <w:iCs/>
          <w:sz w:val="36"/>
          <w:szCs w:val="36"/>
        </w:rPr>
      </w:pPr>
    </w:p>
    <w:p w14:paraId="4E82E8C1" w14:textId="2AA9EF2F"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A profound health inequality exists within maternity care. Black women in the UK are nearly four times more likely to die during pregnancy or childbirth compared to White women, while women from Asian backgrounds face a twofold increased risk (MBRRACE-UK, 2022). These disparities are driven by systemic biases, a lack of culturally competent care, and the physiological impact of chronic stress caused by structural racism, often referred to as the ‘weathering’ hypothesis (Geronimus et al., 2006). Overcoming this challenge requires mandatory implicit bias training for healthcare professionals, enhanced continuity of midwifery care for minority women, and robust, disaggregated data collection to monitor clinical outcomes (Knight et al., 2021).</w:t>
      </w:r>
    </w:p>
    <w:p w14:paraId="0F281EBD" w14:textId="77777777" w:rsidR="00870478" w:rsidRPr="008E749B" w:rsidRDefault="00870478" w:rsidP="00B42CCE">
      <w:pPr>
        <w:spacing w:line="360" w:lineRule="auto"/>
        <w:rPr>
          <w:rFonts w:ascii="Arial" w:hAnsi="Arial" w:cs="Arial"/>
          <w:sz w:val="36"/>
          <w:szCs w:val="36"/>
        </w:rPr>
      </w:pPr>
    </w:p>
    <w:p w14:paraId="112FFE59" w14:textId="77777777" w:rsidR="00870478" w:rsidRPr="00485ADD" w:rsidRDefault="00870478" w:rsidP="00B42CCE">
      <w:pPr>
        <w:spacing w:line="360" w:lineRule="auto"/>
        <w:rPr>
          <w:rFonts w:ascii="Arial" w:hAnsi="Arial" w:cs="Arial"/>
          <w:b/>
          <w:bCs/>
          <w:i/>
          <w:iCs/>
          <w:sz w:val="36"/>
          <w:szCs w:val="36"/>
          <w:u w:val="single"/>
        </w:rPr>
      </w:pPr>
      <w:r w:rsidRPr="00485ADD">
        <w:rPr>
          <w:rFonts w:ascii="Arial" w:hAnsi="Arial" w:cs="Arial"/>
          <w:b/>
          <w:bCs/>
          <w:i/>
          <w:iCs/>
          <w:sz w:val="36"/>
          <w:szCs w:val="36"/>
          <w:u w:val="single"/>
        </w:rPr>
        <w:t>Elevated Cardiovascular Disease Risk</w:t>
      </w:r>
    </w:p>
    <w:p w14:paraId="793D4CF5" w14:textId="77777777" w:rsidR="00870478" w:rsidRPr="008E749B" w:rsidRDefault="00870478" w:rsidP="00B42CCE">
      <w:pPr>
        <w:spacing w:line="360" w:lineRule="auto"/>
        <w:rPr>
          <w:rFonts w:ascii="Arial" w:hAnsi="Arial" w:cs="Arial"/>
          <w:sz w:val="36"/>
          <w:szCs w:val="36"/>
        </w:rPr>
      </w:pPr>
    </w:p>
    <w:p w14:paraId="3FBE4EC9" w14:textId="77777777"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Cardiovascular disease represents a major health burden for ethnic minorities. Men of South Asian descent have a 50% higher risk of mortality from coronary heart disease compared to the general population, while Black African and Caribbean groups exhibit significantly higher rates of severe hypertension and stroke (Bhopal, 2013). The risk is amplified by language barriers impeding health literacy, lower engagement with preventative statin therapies, and the psychological toll of racial discrimination (Kapadia et al., 2022). Solutions include multilingual public health campaigns, placing blood pressure monitoring stations in community hubs such as mosques or barbershops, and prescribing guidelines that specifically account for ethnic risk variations.</w:t>
      </w:r>
    </w:p>
    <w:p w14:paraId="02E1518F" w14:textId="77777777" w:rsidR="00870478" w:rsidRPr="008E749B" w:rsidRDefault="00870478" w:rsidP="00B42CCE">
      <w:pPr>
        <w:spacing w:line="360" w:lineRule="auto"/>
        <w:rPr>
          <w:rFonts w:ascii="Arial" w:hAnsi="Arial" w:cs="Arial"/>
          <w:sz w:val="36"/>
          <w:szCs w:val="36"/>
        </w:rPr>
      </w:pPr>
    </w:p>
    <w:p w14:paraId="19029AF1" w14:textId="77777777" w:rsidR="00870478" w:rsidRPr="009E0EDC" w:rsidRDefault="00870478" w:rsidP="00B42CCE">
      <w:pPr>
        <w:spacing w:line="360" w:lineRule="auto"/>
        <w:rPr>
          <w:rFonts w:ascii="Arial" w:hAnsi="Arial" w:cs="Arial"/>
          <w:b/>
          <w:bCs/>
          <w:i/>
          <w:iCs/>
          <w:sz w:val="36"/>
          <w:szCs w:val="36"/>
          <w:u w:val="single"/>
        </w:rPr>
      </w:pPr>
      <w:r w:rsidRPr="009E0EDC">
        <w:rPr>
          <w:rFonts w:ascii="Arial" w:hAnsi="Arial" w:cs="Arial"/>
          <w:b/>
          <w:bCs/>
          <w:i/>
          <w:iCs/>
          <w:sz w:val="36"/>
          <w:szCs w:val="36"/>
          <w:u w:val="single"/>
        </w:rPr>
        <w:t xml:space="preserve">Socioeconomic Deprivation and Poverty </w:t>
      </w:r>
    </w:p>
    <w:p w14:paraId="13FEC7AD" w14:textId="77777777" w:rsidR="00870478" w:rsidRPr="008E749B" w:rsidRDefault="00870478" w:rsidP="00B42CCE">
      <w:pPr>
        <w:spacing w:line="360" w:lineRule="auto"/>
        <w:rPr>
          <w:rFonts w:ascii="Arial" w:hAnsi="Arial" w:cs="Arial"/>
          <w:sz w:val="36"/>
          <w:szCs w:val="36"/>
        </w:rPr>
      </w:pPr>
    </w:p>
    <w:p w14:paraId="303F0433" w14:textId="52864D75"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Poverty is fundamentally linked to poor health. In the UK, households headed by individuals of Bangladeshi and Pakistani descent consistently report the highest rates of poverty, with over half of these populations living in low</w:t>
      </w:r>
      <w:r w:rsidR="009E0EDC">
        <w:rPr>
          <w:rFonts w:ascii="Arial" w:hAnsi="Arial" w:cs="Arial"/>
          <w:sz w:val="36"/>
          <w:szCs w:val="36"/>
        </w:rPr>
        <w:t xml:space="preserve"> </w:t>
      </w:r>
      <w:r w:rsidRPr="008E749B">
        <w:rPr>
          <w:rFonts w:ascii="Arial" w:hAnsi="Arial" w:cs="Arial"/>
          <w:sz w:val="36"/>
          <w:szCs w:val="36"/>
        </w:rPr>
        <w:t>income households (Joseph Rowntree Foundation, 2021). Poverty restricts the ability to afford nutritious food, heating, and recreational facilities, directly driving up rates of chronic disease. Addressing this socio</w:t>
      </w:r>
      <w:r w:rsidR="009E0EDC">
        <w:rPr>
          <w:rFonts w:ascii="Arial" w:hAnsi="Arial" w:cs="Arial"/>
          <w:sz w:val="36"/>
          <w:szCs w:val="36"/>
        </w:rPr>
        <w:t xml:space="preserve"> </w:t>
      </w:r>
      <w:r w:rsidRPr="008E749B">
        <w:rPr>
          <w:rFonts w:ascii="Arial" w:hAnsi="Arial" w:cs="Arial"/>
          <w:sz w:val="36"/>
          <w:szCs w:val="36"/>
        </w:rPr>
        <w:t>economic issue demands national policy interventions, including the implementation of a universal real living wage, enhanced welfare safety nets, and targeted economic investments in structurally deprived urban areas.</w:t>
      </w:r>
    </w:p>
    <w:p w14:paraId="7C90F5E2" w14:textId="77777777" w:rsidR="00870478" w:rsidRPr="008E749B" w:rsidRDefault="00870478" w:rsidP="00B42CCE">
      <w:pPr>
        <w:spacing w:line="360" w:lineRule="auto"/>
        <w:rPr>
          <w:rFonts w:ascii="Arial" w:hAnsi="Arial" w:cs="Arial"/>
          <w:sz w:val="36"/>
          <w:szCs w:val="36"/>
        </w:rPr>
      </w:pPr>
    </w:p>
    <w:p w14:paraId="6035EBBE" w14:textId="77777777" w:rsidR="00870478" w:rsidRPr="009E0EDC" w:rsidRDefault="00870478" w:rsidP="00B42CCE">
      <w:pPr>
        <w:spacing w:line="360" w:lineRule="auto"/>
        <w:rPr>
          <w:rFonts w:ascii="Arial" w:hAnsi="Arial" w:cs="Arial"/>
          <w:b/>
          <w:bCs/>
          <w:i/>
          <w:iCs/>
          <w:sz w:val="36"/>
          <w:szCs w:val="36"/>
          <w:u w:val="single"/>
        </w:rPr>
      </w:pPr>
      <w:r w:rsidRPr="009E0EDC">
        <w:rPr>
          <w:rFonts w:ascii="Arial" w:hAnsi="Arial" w:cs="Arial"/>
          <w:b/>
          <w:bCs/>
          <w:i/>
          <w:iCs/>
          <w:sz w:val="36"/>
          <w:szCs w:val="36"/>
          <w:u w:val="single"/>
        </w:rPr>
        <w:t>Housing Insecurity and Overcrowding</w:t>
      </w:r>
    </w:p>
    <w:p w14:paraId="0FA1AF9E" w14:textId="77777777" w:rsidR="00870478" w:rsidRPr="008E749B" w:rsidRDefault="00870478" w:rsidP="00B42CCE">
      <w:pPr>
        <w:spacing w:line="360" w:lineRule="auto"/>
        <w:rPr>
          <w:rFonts w:ascii="Arial" w:hAnsi="Arial" w:cs="Arial"/>
          <w:sz w:val="36"/>
          <w:szCs w:val="36"/>
        </w:rPr>
      </w:pPr>
    </w:p>
    <w:p w14:paraId="48DB00D6" w14:textId="0AA466CB"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Ethnic minority communities are disproportionately impacted by the housing crisis. Black and South Asian households are substantially more likely to live in overcrowded, damp, and poor</w:t>
      </w:r>
      <w:r w:rsidR="009E0EDC">
        <w:rPr>
          <w:rFonts w:ascii="Arial" w:hAnsi="Arial" w:cs="Arial"/>
          <w:sz w:val="36"/>
          <w:szCs w:val="36"/>
        </w:rPr>
        <w:t xml:space="preserve"> </w:t>
      </w:r>
      <w:r w:rsidRPr="008E749B">
        <w:rPr>
          <w:rFonts w:ascii="Arial" w:hAnsi="Arial" w:cs="Arial"/>
          <w:sz w:val="36"/>
          <w:szCs w:val="36"/>
        </w:rPr>
        <w:t>quality social housing compared to White British households (Ministry of Housing, Communities and Local Government, 2020). Poor housing conditions are directly linked to respiratory conditions, mental health deterioration, and the rapid transmission of infectious diseases. Resolving this requires significant governmental investment in building affordable social housing, stricter regulatory enforcement against negligent landlords, and policies that prevent discriminatory practices in the private rental sector.</w:t>
      </w:r>
    </w:p>
    <w:p w14:paraId="14BBF3AD" w14:textId="77777777" w:rsidR="00870478" w:rsidRPr="008E749B" w:rsidRDefault="00870478" w:rsidP="00B42CCE">
      <w:pPr>
        <w:spacing w:line="360" w:lineRule="auto"/>
        <w:rPr>
          <w:rFonts w:ascii="Arial" w:hAnsi="Arial" w:cs="Arial"/>
          <w:sz w:val="36"/>
          <w:szCs w:val="36"/>
        </w:rPr>
      </w:pPr>
    </w:p>
    <w:p w14:paraId="097FF6D6" w14:textId="77777777" w:rsidR="00870478" w:rsidRPr="009E0EDC" w:rsidRDefault="00870478" w:rsidP="00B42CCE">
      <w:pPr>
        <w:spacing w:line="360" w:lineRule="auto"/>
        <w:rPr>
          <w:rFonts w:ascii="Arial" w:hAnsi="Arial" w:cs="Arial"/>
          <w:b/>
          <w:bCs/>
          <w:i/>
          <w:iCs/>
          <w:sz w:val="36"/>
          <w:szCs w:val="36"/>
          <w:u w:val="single"/>
        </w:rPr>
      </w:pPr>
      <w:r w:rsidRPr="009E0EDC">
        <w:rPr>
          <w:rFonts w:ascii="Arial" w:hAnsi="Arial" w:cs="Arial"/>
          <w:b/>
          <w:bCs/>
          <w:i/>
          <w:iCs/>
          <w:sz w:val="36"/>
          <w:szCs w:val="36"/>
          <w:u w:val="single"/>
        </w:rPr>
        <w:t xml:space="preserve">Structural Racism and Discrimination in Healthcare </w:t>
      </w:r>
    </w:p>
    <w:p w14:paraId="0D2D320F" w14:textId="77777777" w:rsidR="00870478" w:rsidRPr="008E749B" w:rsidRDefault="00870478" w:rsidP="00B42CCE">
      <w:pPr>
        <w:spacing w:line="360" w:lineRule="auto"/>
        <w:rPr>
          <w:rFonts w:ascii="Arial" w:hAnsi="Arial" w:cs="Arial"/>
          <w:sz w:val="36"/>
          <w:szCs w:val="36"/>
        </w:rPr>
      </w:pPr>
    </w:p>
    <w:p w14:paraId="19E61369" w14:textId="542C36F8"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Systemic racism acts as a fundamental determinant of health. Reports indicate that ethnic minority patients frequently experience dismissive treatment, delayed diagnoses, and culturally insensitive care within the National Health Service (Kline, 2014). This social issue breeds a deep</w:t>
      </w:r>
      <w:r w:rsidR="009E0EDC">
        <w:rPr>
          <w:rFonts w:ascii="Arial" w:hAnsi="Arial" w:cs="Arial"/>
          <w:sz w:val="36"/>
          <w:szCs w:val="36"/>
        </w:rPr>
        <w:t xml:space="preserve"> </w:t>
      </w:r>
      <w:r w:rsidRPr="008E749B">
        <w:rPr>
          <w:rFonts w:ascii="Arial" w:hAnsi="Arial" w:cs="Arial"/>
          <w:sz w:val="36"/>
          <w:szCs w:val="36"/>
        </w:rPr>
        <w:t>seated mistrust of medical institutions, causing individuals to delay seeking necessary medical help until diseases reach advanced stages. Solutions must encompass decolonising medical curriculums, enforcing zero</w:t>
      </w:r>
      <w:r w:rsidR="009E0EDC">
        <w:rPr>
          <w:rFonts w:ascii="Arial" w:hAnsi="Arial" w:cs="Arial"/>
          <w:sz w:val="36"/>
          <w:szCs w:val="36"/>
        </w:rPr>
        <w:t xml:space="preserve"> </w:t>
      </w:r>
      <w:r w:rsidRPr="008E749B">
        <w:rPr>
          <w:rFonts w:ascii="Arial" w:hAnsi="Arial" w:cs="Arial"/>
          <w:sz w:val="36"/>
          <w:szCs w:val="36"/>
        </w:rPr>
        <w:t>tolerance anti</w:t>
      </w:r>
      <w:r w:rsidR="009E0EDC">
        <w:rPr>
          <w:rFonts w:ascii="Arial" w:hAnsi="Arial" w:cs="Arial"/>
          <w:sz w:val="36"/>
          <w:szCs w:val="36"/>
        </w:rPr>
        <w:t xml:space="preserve"> </w:t>
      </w:r>
      <w:r w:rsidRPr="008E749B">
        <w:rPr>
          <w:rFonts w:ascii="Arial" w:hAnsi="Arial" w:cs="Arial"/>
          <w:sz w:val="36"/>
          <w:szCs w:val="36"/>
        </w:rPr>
        <w:t>racism frameworks within NHS trusts, and ensuring diverse representation at executive leadership levels to foster inclusive policy-making (NHS Race and Health Observatory, 2021).</w:t>
      </w:r>
    </w:p>
    <w:p w14:paraId="2A837232" w14:textId="77777777" w:rsidR="00870478" w:rsidRPr="008E749B" w:rsidRDefault="00870478" w:rsidP="00B42CCE">
      <w:pPr>
        <w:spacing w:line="360" w:lineRule="auto"/>
        <w:rPr>
          <w:rFonts w:ascii="Arial" w:hAnsi="Arial" w:cs="Arial"/>
          <w:sz w:val="36"/>
          <w:szCs w:val="36"/>
        </w:rPr>
      </w:pPr>
    </w:p>
    <w:p w14:paraId="0FC0B3D8" w14:textId="77777777" w:rsidR="00870478" w:rsidRPr="009E0EDC" w:rsidRDefault="00870478" w:rsidP="00B42CCE">
      <w:pPr>
        <w:spacing w:line="360" w:lineRule="auto"/>
        <w:rPr>
          <w:rFonts w:ascii="Arial" w:hAnsi="Arial" w:cs="Arial"/>
          <w:b/>
          <w:bCs/>
          <w:i/>
          <w:iCs/>
          <w:sz w:val="36"/>
          <w:szCs w:val="36"/>
          <w:u w:val="single"/>
        </w:rPr>
      </w:pPr>
      <w:r w:rsidRPr="009E0EDC">
        <w:rPr>
          <w:rFonts w:ascii="Arial" w:hAnsi="Arial" w:cs="Arial"/>
          <w:b/>
          <w:bCs/>
          <w:i/>
          <w:iCs/>
          <w:sz w:val="36"/>
          <w:szCs w:val="36"/>
          <w:u w:val="single"/>
        </w:rPr>
        <w:t>National Response to Reduce Health Inequalities</w:t>
      </w:r>
    </w:p>
    <w:p w14:paraId="6EC02A7A" w14:textId="77777777" w:rsidR="00870478" w:rsidRPr="008E749B" w:rsidRDefault="00870478" w:rsidP="00B42CCE">
      <w:pPr>
        <w:spacing w:line="360" w:lineRule="auto"/>
        <w:rPr>
          <w:rFonts w:ascii="Arial" w:hAnsi="Arial" w:cs="Arial"/>
          <w:sz w:val="36"/>
          <w:szCs w:val="36"/>
        </w:rPr>
      </w:pPr>
    </w:p>
    <w:p w14:paraId="5D2A6F52" w14:textId="536EC6C8"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To address these profound injustices, the UK has implemented several national strategies. Firstly, NHS England introduced the Core20PLUS5 approach. This framework is specifically designed to support the reduction of health inequalities at both national and system levels. The ‘PLUS’ component specifically mandates local integrated care systems to identify and target ethnic minority populations who experience poorer access to care, focusing on five clinical areas including maternity and cardiovascular disease (NHS England, 2021). Secondly, the establishment of the NHS Race and Health Observatory in 2021 marks a pivotal national response. This independent body, hosted by the NHS Confederation, is tasked with identifying and tackling the specific health disparities affecting Black, Asian, and minority ethnic patients and staff. It commissions expert research, provides evidence-based policy recommendations to the government, and actively challenges systemic biases within national healthcare delivery (Habib, 2021).</w:t>
      </w:r>
    </w:p>
    <w:p w14:paraId="3FFD974C" w14:textId="77777777" w:rsidR="00870478" w:rsidRPr="008E749B" w:rsidRDefault="00870478" w:rsidP="00B42CCE">
      <w:pPr>
        <w:spacing w:line="360" w:lineRule="auto"/>
        <w:rPr>
          <w:rFonts w:ascii="Arial" w:hAnsi="Arial" w:cs="Arial"/>
          <w:sz w:val="36"/>
          <w:szCs w:val="36"/>
        </w:rPr>
      </w:pPr>
    </w:p>
    <w:p w14:paraId="7EA217C5" w14:textId="77777777" w:rsidR="00870478" w:rsidRPr="009E0EDC" w:rsidRDefault="00870478" w:rsidP="00B42CCE">
      <w:pPr>
        <w:spacing w:line="360" w:lineRule="auto"/>
        <w:rPr>
          <w:rFonts w:ascii="Arial" w:hAnsi="Arial" w:cs="Arial"/>
          <w:b/>
          <w:bCs/>
          <w:i/>
          <w:iCs/>
          <w:sz w:val="36"/>
          <w:szCs w:val="36"/>
          <w:u w:val="single"/>
        </w:rPr>
      </w:pPr>
      <w:r w:rsidRPr="009E0EDC">
        <w:rPr>
          <w:rFonts w:ascii="Arial" w:hAnsi="Arial" w:cs="Arial"/>
          <w:b/>
          <w:bCs/>
          <w:i/>
          <w:iCs/>
          <w:sz w:val="36"/>
          <w:szCs w:val="36"/>
          <w:u w:val="single"/>
        </w:rPr>
        <w:t>Organisations that Support the Chosen Group</w:t>
      </w:r>
    </w:p>
    <w:p w14:paraId="2B76E69D" w14:textId="77777777" w:rsidR="00870478" w:rsidRPr="008E749B" w:rsidRDefault="00870478" w:rsidP="00B42CCE">
      <w:pPr>
        <w:spacing w:line="360" w:lineRule="auto"/>
        <w:rPr>
          <w:rFonts w:ascii="Arial" w:hAnsi="Arial" w:cs="Arial"/>
          <w:sz w:val="36"/>
          <w:szCs w:val="36"/>
        </w:rPr>
      </w:pPr>
    </w:p>
    <w:p w14:paraId="0B79ED3B" w14:textId="24D2354E"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 xml:space="preserve">The Race Equality Foundation is a prominent UK charity dedicated to tackling racial inequality in public services, with a profound focus on health and social care. The organisation plays a critical wider role in raising awareness by bridging the gap between community experiences and national policy formulation. It acts as an advocate for </w:t>
      </w:r>
      <w:r w:rsidR="009E0EDC">
        <w:rPr>
          <w:rFonts w:ascii="Arial" w:hAnsi="Arial" w:cs="Arial"/>
          <w:sz w:val="36"/>
          <w:szCs w:val="36"/>
        </w:rPr>
        <w:t xml:space="preserve">marginalised </w:t>
      </w:r>
      <w:r w:rsidRPr="008E749B">
        <w:rPr>
          <w:rFonts w:ascii="Arial" w:hAnsi="Arial" w:cs="Arial"/>
          <w:sz w:val="36"/>
          <w:szCs w:val="36"/>
        </w:rPr>
        <w:t>voices, ensuring that the structural racism embedded within social systems is continuously challenged (Race Equality Foundation, 2022). The charity supports ethnic minority communities by directly providing evidence</w:t>
      </w:r>
      <w:r w:rsidR="009E0EDC">
        <w:rPr>
          <w:rFonts w:ascii="Arial" w:hAnsi="Arial" w:cs="Arial"/>
          <w:sz w:val="36"/>
          <w:szCs w:val="36"/>
        </w:rPr>
        <w:t xml:space="preserve"> </w:t>
      </w:r>
      <w:r w:rsidRPr="008E749B">
        <w:rPr>
          <w:rFonts w:ascii="Arial" w:hAnsi="Arial" w:cs="Arial"/>
          <w:sz w:val="36"/>
          <w:szCs w:val="36"/>
        </w:rPr>
        <w:t>based interventions. One of their key initiatives is the ‘Strengthening Families, Strengthening Communities’ programme, which promotes better health, educational, and social outcomes for marginali</w:t>
      </w:r>
      <w:r w:rsidR="009E0EDC">
        <w:rPr>
          <w:rFonts w:ascii="Arial" w:hAnsi="Arial" w:cs="Arial"/>
          <w:sz w:val="36"/>
          <w:szCs w:val="36"/>
        </w:rPr>
        <w:t>s</w:t>
      </w:r>
      <w:r w:rsidRPr="008E749B">
        <w:rPr>
          <w:rFonts w:ascii="Arial" w:hAnsi="Arial" w:cs="Arial"/>
          <w:sz w:val="36"/>
          <w:szCs w:val="36"/>
        </w:rPr>
        <w:t>ed families. They also facilitate workshops and provide resources that empower communities to navigate the complex NHS infrastructure. The core goals of the Race Equality Foundation are to promote race equality in social support and to dismantle the institutional barriers that cause health inequalities. To achieve this, the charity conducts extensive research. For example, they routinely publish briefings on the disproportionate impact of conditions like dementia and maternal mortality on ethnic minorities, using their research to lobby government bodies and shape equitable public health guidelines (Jayaweera et al., 2020).</w:t>
      </w:r>
    </w:p>
    <w:p w14:paraId="5F8E9BE4" w14:textId="77777777" w:rsidR="00870478" w:rsidRPr="008E749B" w:rsidRDefault="00870478" w:rsidP="00B42CCE">
      <w:pPr>
        <w:spacing w:line="360" w:lineRule="auto"/>
        <w:rPr>
          <w:rFonts w:ascii="Arial" w:hAnsi="Arial" w:cs="Arial"/>
          <w:sz w:val="36"/>
          <w:szCs w:val="36"/>
        </w:rPr>
      </w:pPr>
    </w:p>
    <w:p w14:paraId="7CFF6127" w14:textId="77777777" w:rsidR="00870478" w:rsidRPr="009E0EDC" w:rsidRDefault="00870478" w:rsidP="00B42CCE">
      <w:pPr>
        <w:spacing w:line="360" w:lineRule="auto"/>
        <w:rPr>
          <w:rFonts w:ascii="Arial" w:hAnsi="Arial" w:cs="Arial"/>
          <w:b/>
          <w:bCs/>
          <w:i/>
          <w:iCs/>
          <w:sz w:val="36"/>
          <w:szCs w:val="36"/>
          <w:u w:val="single"/>
        </w:rPr>
      </w:pPr>
      <w:r w:rsidRPr="009E0EDC">
        <w:rPr>
          <w:rFonts w:ascii="Arial" w:hAnsi="Arial" w:cs="Arial"/>
          <w:b/>
          <w:bCs/>
          <w:i/>
          <w:iCs/>
          <w:sz w:val="36"/>
          <w:szCs w:val="36"/>
          <w:u w:val="single"/>
        </w:rPr>
        <w:t xml:space="preserve">Conclusion </w:t>
      </w:r>
    </w:p>
    <w:p w14:paraId="6C3F0183" w14:textId="77777777" w:rsidR="00870478" w:rsidRPr="008E749B" w:rsidRDefault="00870478" w:rsidP="00B42CCE">
      <w:pPr>
        <w:spacing w:line="360" w:lineRule="auto"/>
        <w:rPr>
          <w:rFonts w:ascii="Arial" w:hAnsi="Arial" w:cs="Arial"/>
          <w:sz w:val="36"/>
          <w:szCs w:val="36"/>
        </w:rPr>
      </w:pPr>
    </w:p>
    <w:p w14:paraId="4829F174" w14:textId="77777777"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In summary, ethnic minority groups in the UK face severe and overlapping health inequalities, prominently manifested in higher rates of Type 2 diabetes, maternal mortality, and cardiovascular disease. These clinical disparities are inextricably linked to upstream social determinants, namely poverty, poor housing, and systemic discrimination. While national responses like the Core20PLUS5 framework and the advocacy of charities like the Race Equality Foundation offer crucial interventions, eradicating these inequalities requires sustained, cross-sector governmental commitment to dismantling structural racism and addressing the root socioeconomic drivers of poor health.</w:t>
      </w:r>
    </w:p>
    <w:p w14:paraId="0C20DA84" w14:textId="77777777" w:rsidR="00870478" w:rsidRPr="008E749B" w:rsidRDefault="00870478" w:rsidP="00B42CCE">
      <w:pPr>
        <w:spacing w:line="360" w:lineRule="auto"/>
        <w:rPr>
          <w:rFonts w:ascii="Arial" w:hAnsi="Arial" w:cs="Arial"/>
          <w:sz w:val="36"/>
          <w:szCs w:val="36"/>
        </w:rPr>
      </w:pPr>
    </w:p>
    <w:p w14:paraId="636BB897" w14:textId="77777777" w:rsidR="00870478" w:rsidRPr="009E0EDC" w:rsidRDefault="00870478" w:rsidP="00B42CCE">
      <w:pPr>
        <w:spacing w:line="360" w:lineRule="auto"/>
        <w:rPr>
          <w:rFonts w:ascii="Arial" w:hAnsi="Arial" w:cs="Arial"/>
          <w:b/>
          <w:bCs/>
          <w:sz w:val="36"/>
          <w:szCs w:val="36"/>
        </w:rPr>
      </w:pPr>
      <w:r w:rsidRPr="009E0EDC">
        <w:rPr>
          <w:rFonts w:ascii="Arial" w:hAnsi="Arial" w:cs="Arial"/>
          <w:b/>
          <w:bCs/>
          <w:sz w:val="36"/>
          <w:szCs w:val="36"/>
        </w:rPr>
        <w:t>Task 2: Epidemiological Analysis</w:t>
      </w:r>
    </w:p>
    <w:p w14:paraId="3695735D" w14:textId="77777777" w:rsidR="00870478" w:rsidRPr="008E749B" w:rsidRDefault="00870478" w:rsidP="00B42CCE">
      <w:pPr>
        <w:spacing w:line="360" w:lineRule="auto"/>
        <w:rPr>
          <w:rFonts w:ascii="Arial" w:hAnsi="Arial" w:cs="Arial"/>
          <w:sz w:val="36"/>
          <w:szCs w:val="36"/>
        </w:rPr>
      </w:pPr>
    </w:p>
    <w:p w14:paraId="1E778FF4" w14:textId="77777777" w:rsidR="00870478" w:rsidRPr="00A741DD" w:rsidRDefault="00870478" w:rsidP="00B42CCE">
      <w:pPr>
        <w:spacing w:line="360" w:lineRule="auto"/>
        <w:rPr>
          <w:rFonts w:ascii="Arial" w:hAnsi="Arial" w:cs="Arial"/>
          <w:b/>
          <w:bCs/>
          <w:i/>
          <w:iCs/>
          <w:sz w:val="36"/>
          <w:szCs w:val="36"/>
          <w:u w:val="single"/>
        </w:rPr>
      </w:pPr>
      <w:r w:rsidRPr="00A741DD">
        <w:rPr>
          <w:rFonts w:ascii="Arial" w:hAnsi="Arial" w:cs="Arial"/>
          <w:b/>
          <w:bCs/>
          <w:i/>
          <w:iCs/>
          <w:sz w:val="36"/>
          <w:szCs w:val="36"/>
          <w:u w:val="single"/>
        </w:rPr>
        <w:t xml:space="preserve">Introduction </w:t>
      </w:r>
    </w:p>
    <w:p w14:paraId="6BDA3CF5" w14:textId="77777777" w:rsidR="00870478" w:rsidRPr="008E749B" w:rsidRDefault="00870478" w:rsidP="00B42CCE">
      <w:pPr>
        <w:spacing w:line="360" w:lineRule="auto"/>
        <w:rPr>
          <w:rFonts w:ascii="Arial" w:hAnsi="Arial" w:cs="Arial"/>
          <w:sz w:val="36"/>
          <w:szCs w:val="36"/>
        </w:rPr>
      </w:pPr>
    </w:p>
    <w:p w14:paraId="2E61817C" w14:textId="6FAA5660"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Type 2 Diabetes Mellitus is a chronic metabolic disorder characterised by insulin resistance and relative insulin deficiency, leading to sustained hyperglycaemia. If poorly managed, the disease precipitates severe macrovascular and microvascular consequences, including cardiovascular disease, neuropathy, nephropathy, and diabetic retinopathy (World Health Organization, 2021). Beyond its clinical pathophysiology, Type 2 diabetes carries profound social and cultural consequences. In many communities, the disease induces significant psychological distress, loss of employment due to disability, and a pervasive stigma surrounding dietary habits and body weight. Economically, it places a crippling burden on healthcare systems and social services (Hex et al., 2012). Globally, the prevalence of diabetes has reached epidemic proportions. The International Diabetes Federation reports that approximately 537 million adults worldwide were living with diabetes in 2021, with projections indicating a rise to 783 million by 2045 (IDF, 2021). Within the UK, the severity of the issue is equally alarming. Diabetes UK (2022) estimates that over 4.3 million people currently live with the condition, with a further 2.4 million at high risk. To address this public health crisis on a manageable scale, this report focuses on the London Borough of Tower Hamlets. Tower Hamlets exhibits one of the highest prevalence rates of Type 2 diabetes in the country, deeply intertwined with the borough’s high levels of socio-economic deprivation and its large Bangladeshi population, who possess a genetic and cultural predisposition to the disease (Public Health England, 2020).</w:t>
      </w:r>
    </w:p>
    <w:p w14:paraId="6DB13CE6" w14:textId="77777777" w:rsidR="00870478" w:rsidRPr="008E749B" w:rsidRDefault="00870478" w:rsidP="00B42CCE">
      <w:pPr>
        <w:spacing w:line="360" w:lineRule="auto"/>
        <w:rPr>
          <w:rFonts w:ascii="Arial" w:hAnsi="Arial" w:cs="Arial"/>
          <w:sz w:val="36"/>
          <w:szCs w:val="36"/>
        </w:rPr>
      </w:pPr>
    </w:p>
    <w:p w14:paraId="437A2F01" w14:textId="77777777" w:rsidR="00870478" w:rsidRPr="00716FA5" w:rsidRDefault="00870478" w:rsidP="00B42CCE">
      <w:pPr>
        <w:spacing w:line="360" w:lineRule="auto"/>
        <w:rPr>
          <w:rFonts w:ascii="Arial" w:hAnsi="Arial" w:cs="Arial"/>
          <w:b/>
          <w:bCs/>
          <w:i/>
          <w:iCs/>
          <w:sz w:val="36"/>
          <w:szCs w:val="36"/>
          <w:u w:val="single"/>
        </w:rPr>
      </w:pPr>
      <w:r w:rsidRPr="00716FA5">
        <w:rPr>
          <w:rFonts w:ascii="Arial" w:hAnsi="Arial" w:cs="Arial"/>
          <w:b/>
          <w:bCs/>
          <w:i/>
          <w:iCs/>
          <w:sz w:val="36"/>
          <w:szCs w:val="36"/>
          <w:u w:val="single"/>
        </w:rPr>
        <w:t>Main Body</w:t>
      </w:r>
    </w:p>
    <w:p w14:paraId="4169FEF9" w14:textId="77777777" w:rsidR="00870478" w:rsidRPr="008E749B" w:rsidRDefault="00870478" w:rsidP="00B42CCE">
      <w:pPr>
        <w:spacing w:line="360" w:lineRule="auto"/>
        <w:rPr>
          <w:rFonts w:ascii="Arial" w:hAnsi="Arial" w:cs="Arial"/>
          <w:sz w:val="36"/>
          <w:szCs w:val="36"/>
        </w:rPr>
      </w:pPr>
    </w:p>
    <w:p w14:paraId="0BD3563A" w14:textId="4B8B4B26" w:rsidR="00870478" w:rsidRDefault="00870478" w:rsidP="00B42CCE">
      <w:pPr>
        <w:spacing w:line="360" w:lineRule="auto"/>
        <w:rPr>
          <w:rFonts w:ascii="Arial" w:hAnsi="Arial" w:cs="Arial"/>
          <w:sz w:val="36"/>
          <w:szCs w:val="36"/>
        </w:rPr>
      </w:pPr>
      <w:r w:rsidRPr="008E749B">
        <w:rPr>
          <w:rFonts w:ascii="Arial" w:hAnsi="Arial" w:cs="Arial"/>
          <w:sz w:val="36"/>
          <w:szCs w:val="36"/>
        </w:rPr>
        <w:t>Public Health Measures Drawing on the 3 P’s To contain and manage Type 2 diabetes in Tower Hamlets, public health measures must operate across three domains: Prevention, Protection, and Promotion.</w:t>
      </w:r>
    </w:p>
    <w:p w14:paraId="4C49B8BC" w14:textId="77777777" w:rsidR="00716FA5" w:rsidRPr="008E749B" w:rsidRDefault="00716FA5" w:rsidP="00B42CCE">
      <w:pPr>
        <w:spacing w:line="360" w:lineRule="auto"/>
        <w:rPr>
          <w:rFonts w:ascii="Arial" w:hAnsi="Arial" w:cs="Arial"/>
          <w:sz w:val="36"/>
          <w:szCs w:val="36"/>
        </w:rPr>
      </w:pPr>
    </w:p>
    <w:p w14:paraId="459FA4DE" w14:textId="77777777" w:rsidR="00870478" w:rsidRPr="008E749B" w:rsidRDefault="00870478" w:rsidP="00B42CCE">
      <w:pPr>
        <w:spacing w:line="360" w:lineRule="auto"/>
        <w:rPr>
          <w:rFonts w:ascii="Arial" w:hAnsi="Arial" w:cs="Arial"/>
          <w:sz w:val="36"/>
          <w:szCs w:val="36"/>
        </w:rPr>
      </w:pPr>
      <w:r w:rsidRPr="003B1269">
        <w:rPr>
          <w:rFonts w:ascii="Arial" w:hAnsi="Arial" w:cs="Arial"/>
          <w:i/>
          <w:iCs/>
          <w:sz w:val="36"/>
          <w:szCs w:val="36"/>
        </w:rPr>
        <w:t>Prevention</w:t>
      </w:r>
      <w:r w:rsidRPr="008E749B">
        <w:rPr>
          <w:rFonts w:ascii="Arial" w:hAnsi="Arial" w:cs="Arial"/>
          <w:sz w:val="36"/>
          <w:szCs w:val="36"/>
        </w:rPr>
        <w:t xml:space="preserve"> is operationalised through targeted primary interventions, notably the NHS Diabetes Prevention Programme. In Tower Hamlets, this involves identifying individuals with non-diabetic hyperglycaemia and enrolling them in behaviour change programmes that emphasise dietary modification and physical activity, adapted to local cultural contexts (Penn et al., 2018). </w:t>
      </w:r>
    </w:p>
    <w:p w14:paraId="1884C286" w14:textId="77777777" w:rsidR="00870478" w:rsidRPr="008E749B" w:rsidRDefault="00870478" w:rsidP="00B42CCE">
      <w:pPr>
        <w:spacing w:line="360" w:lineRule="auto"/>
        <w:rPr>
          <w:rFonts w:ascii="Arial" w:hAnsi="Arial" w:cs="Arial"/>
          <w:sz w:val="36"/>
          <w:szCs w:val="36"/>
        </w:rPr>
      </w:pPr>
    </w:p>
    <w:p w14:paraId="38275B68" w14:textId="274FBBCF" w:rsidR="00870478" w:rsidRPr="008E749B" w:rsidRDefault="00870478" w:rsidP="00B42CCE">
      <w:pPr>
        <w:spacing w:line="360" w:lineRule="auto"/>
        <w:rPr>
          <w:rFonts w:ascii="Arial" w:hAnsi="Arial" w:cs="Arial"/>
          <w:sz w:val="36"/>
          <w:szCs w:val="36"/>
        </w:rPr>
      </w:pPr>
      <w:r w:rsidRPr="003B1269">
        <w:rPr>
          <w:rFonts w:ascii="Arial" w:hAnsi="Arial" w:cs="Arial"/>
          <w:i/>
          <w:iCs/>
          <w:sz w:val="36"/>
          <w:szCs w:val="36"/>
        </w:rPr>
        <w:t>Protection</w:t>
      </w:r>
      <w:r w:rsidRPr="008E749B">
        <w:rPr>
          <w:rFonts w:ascii="Arial" w:hAnsi="Arial" w:cs="Arial"/>
          <w:sz w:val="36"/>
          <w:szCs w:val="36"/>
        </w:rPr>
        <w:t xml:space="preserve"> involves legislative and environmental interventions designed to shield the population from obesogenic environments. At a national level acting locally, the Soft Drinks Industry Levy has compelled manufacturers to reduce sugar content, thereby protecting the local population from hidden caloric intake (HM Treasury, 2016). Locally, the borough council has implemented urban planning policies restricting the proliferation of fast</w:t>
      </w:r>
      <w:r w:rsidR="003B1269">
        <w:rPr>
          <w:rFonts w:ascii="Arial" w:hAnsi="Arial" w:cs="Arial"/>
          <w:sz w:val="36"/>
          <w:szCs w:val="36"/>
        </w:rPr>
        <w:t xml:space="preserve"> </w:t>
      </w:r>
      <w:r w:rsidRPr="008E749B">
        <w:rPr>
          <w:rFonts w:ascii="Arial" w:hAnsi="Arial" w:cs="Arial"/>
          <w:sz w:val="36"/>
          <w:szCs w:val="36"/>
        </w:rPr>
        <w:t>food outlets near schools, protecting children from environments that foster early-onset obesity.</w:t>
      </w:r>
    </w:p>
    <w:p w14:paraId="58EA7E9E" w14:textId="77777777" w:rsidR="00870478" w:rsidRPr="008E749B" w:rsidRDefault="00870478" w:rsidP="00B42CCE">
      <w:pPr>
        <w:spacing w:line="360" w:lineRule="auto"/>
        <w:rPr>
          <w:rFonts w:ascii="Arial" w:hAnsi="Arial" w:cs="Arial"/>
          <w:sz w:val="36"/>
          <w:szCs w:val="36"/>
        </w:rPr>
      </w:pPr>
    </w:p>
    <w:p w14:paraId="37086B6F" w14:textId="77777777" w:rsidR="00870478" w:rsidRPr="008E749B" w:rsidRDefault="00870478" w:rsidP="00B42CCE">
      <w:pPr>
        <w:spacing w:line="360" w:lineRule="auto"/>
        <w:rPr>
          <w:rFonts w:ascii="Arial" w:hAnsi="Arial" w:cs="Arial"/>
          <w:sz w:val="36"/>
          <w:szCs w:val="36"/>
        </w:rPr>
      </w:pPr>
      <w:r w:rsidRPr="003B1269">
        <w:rPr>
          <w:rFonts w:ascii="Arial" w:hAnsi="Arial" w:cs="Arial"/>
          <w:i/>
          <w:iCs/>
          <w:sz w:val="36"/>
          <w:szCs w:val="36"/>
        </w:rPr>
        <w:t>Promotion</w:t>
      </w:r>
      <w:r w:rsidRPr="008E749B">
        <w:rPr>
          <w:rFonts w:ascii="Arial" w:hAnsi="Arial" w:cs="Arial"/>
          <w:sz w:val="36"/>
          <w:szCs w:val="36"/>
        </w:rPr>
        <w:t xml:space="preserve"> encompasses health education and the provision of resources to empower the community. This includes the deployment of bilingual community health champions who disseminate health literacy regarding diabetes in Sylheti and Bengali. Provision is also seen in the equitable distribution of culturally appropriate dietary advice and open access to green spaces like Victoria Park to encourage active lifestyles (South et al., 2015).</w:t>
      </w:r>
    </w:p>
    <w:p w14:paraId="590E5AB6" w14:textId="77777777" w:rsidR="00870478" w:rsidRPr="008E749B" w:rsidRDefault="00870478" w:rsidP="00B42CCE">
      <w:pPr>
        <w:spacing w:line="360" w:lineRule="auto"/>
        <w:rPr>
          <w:rFonts w:ascii="Arial" w:hAnsi="Arial" w:cs="Arial"/>
          <w:sz w:val="36"/>
          <w:szCs w:val="36"/>
        </w:rPr>
      </w:pPr>
    </w:p>
    <w:p w14:paraId="16BAECB5" w14:textId="77777777" w:rsidR="00870478" w:rsidRPr="00C527B1" w:rsidRDefault="00870478" w:rsidP="00B42CCE">
      <w:pPr>
        <w:spacing w:line="360" w:lineRule="auto"/>
        <w:rPr>
          <w:rFonts w:ascii="Arial" w:hAnsi="Arial" w:cs="Arial"/>
          <w:b/>
          <w:bCs/>
          <w:i/>
          <w:iCs/>
          <w:sz w:val="36"/>
          <w:szCs w:val="36"/>
          <w:u w:val="single"/>
        </w:rPr>
      </w:pPr>
      <w:r w:rsidRPr="00C527B1">
        <w:rPr>
          <w:rFonts w:ascii="Arial" w:hAnsi="Arial" w:cs="Arial"/>
          <w:b/>
          <w:bCs/>
          <w:i/>
          <w:iCs/>
          <w:sz w:val="36"/>
          <w:szCs w:val="36"/>
          <w:u w:val="single"/>
        </w:rPr>
        <w:t xml:space="preserve">Key Determinants and Risk Factors </w:t>
      </w:r>
    </w:p>
    <w:p w14:paraId="1C17A782" w14:textId="77777777" w:rsidR="00870478" w:rsidRPr="008E749B" w:rsidRDefault="00870478" w:rsidP="00B42CCE">
      <w:pPr>
        <w:spacing w:line="360" w:lineRule="auto"/>
        <w:rPr>
          <w:rFonts w:ascii="Arial" w:hAnsi="Arial" w:cs="Arial"/>
          <w:sz w:val="36"/>
          <w:szCs w:val="36"/>
        </w:rPr>
      </w:pPr>
    </w:p>
    <w:p w14:paraId="5281F234" w14:textId="1DC6B45D"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The aetiology of Type 2 diabetes in Tower Hamlets is driven by a convergence of biological, behavioural, and social determinants. Genetically, populations of South Asian descent possess a higher physiological susceptibility to insulin resistance, developing the condition at a lower Body Mass Index than White European populations (Sattar and Gill, 2015). However, the primary drivers are socio</w:t>
      </w:r>
      <w:r w:rsidR="00C527B1">
        <w:rPr>
          <w:rFonts w:ascii="Arial" w:hAnsi="Arial" w:cs="Arial"/>
          <w:sz w:val="36"/>
          <w:szCs w:val="36"/>
        </w:rPr>
        <w:t xml:space="preserve"> </w:t>
      </w:r>
      <w:r w:rsidRPr="008E749B">
        <w:rPr>
          <w:rFonts w:ascii="Arial" w:hAnsi="Arial" w:cs="Arial"/>
          <w:sz w:val="36"/>
          <w:szCs w:val="36"/>
        </w:rPr>
        <w:t>economic. Tower Hamlets suffers from intense social deprivation. Drawing on the principles established by Marmot (2020), this deprivation directly correlates with poor health outcomes. Financial constraints limit access to fresh, nutrient</w:t>
      </w:r>
      <w:r w:rsidR="00C527B1">
        <w:rPr>
          <w:rFonts w:ascii="Arial" w:hAnsi="Arial" w:cs="Arial"/>
          <w:sz w:val="36"/>
          <w:szCs w:val="36"/>
        </w:rPr>
        <w:t xml:space="preserve"> </w:t>
      </w:r>
      <w:r w:rsidRPr="008E749B">
        <w:rPr>
          <w:rFonts w:ascii="Arial" w:hAnsi="Arial" w:cs="Arial"/>
          <w:sz w:val="36"/>
          <w:szCs w:val="36"/>
        </w:rPr>
        <w:t>dense foods, forcing reliance on cheaper, highly processed alternatives. Furthermore, an obesogenic built environment, characterised by high housing density and safety concerns, acts as a barrier to regular physical activity (Egger and Swinburn, 1997).</w:t>
      </w:r>
    </w:p>
    <w:p w14:paraId="5E3595C5" w14:textId="77777777" w:rsidR="00870478" w:rsidRPr="008E749B" w:rsidRDefault="00870478" w:rsidP="00B42CCE">
      <w:pPr>
        <w:spacing w:line="360" w:lineRule="auto"/>
        <w:rPr>
          <w:rFonts w:ascii="Arial" w:hAnsi="Arial" w:cs="Arial"/>
          <w:sz w:val="36"/>
          <w:szCs w:val="36"/>
        </w:rPr>
      </w:pPr>
    </w:p>
    <w:p w14:paraId="48BFA173" w14:textId="77777777" w:rsidR="00870478" w:rsidRPr="00FD5036" w:rsidRDefault="00870478" w:rsidP="00B42CCE">
      <w:pPr>
        <w:spacing w:line="360" w:lineRule="auto"/>
        <w:rPr>
          <w:rFonts w:ascii="Arial" w:hAnsi="Arial" w:cs="Arial"/>
          <w:b/>
          <w:bCs/>
          <w:i/>
          <w:iCs/>
          <w:sz w:val="36"/>
          <w:szCs w:val="36"/>
          <w:u w:val="single"/>
        </w:rPr>
      </w:pPr>
      <w:r w:rsidRPr="00FD5036">
        <w:rPr>
          <w:rFonts w:ascii="Arial" w:hAnsi="Arial" w:cs="Arial"/>
          <w:b/>
          <w:bCs/>
          <w:i/>
          <w:iCs/>
          <w:sz w:val="36"/>
          <w:szCs w:val="36"/>
          <w:u w:val="single"/>
        </w:rPr>
        <w:t xml:space="preserve">Epidemiological Studies and Health Needs Assessment </w:t>
      </w:r>
    </w:p>
    <w:p w14:paraId="7AA18E6B" w14:textId="77777777" w:rsidR="00870478" w:rsidRPr="008E749B" w:rsidRDefault="00870478" w:rsidP="00B42CCE">
      <w:pPr>
        <w:spacing w:line="360" w:lineRule="auto"/>
        <w:rPr>
          <w:rFonts w:ascii="Arial" w:hAnsi="Arial" w:cs="Arial"/>
          <w:sz w:val="36"/>
          <w:szCs w:val="36"/>
        </w:rPr>
      </w:pPr>
    </w:p>
    <w:p w14:paraId="22E19051" w14:textId="77777777"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To identify those at risk within Tower Hamlets, epidemiologists rely on robust Health Needs Assessments and cross-sectional studies. The Tower Hamlets Joint Strategic Needs Assessment utilises primary care data to stratify population risk. By applying validated epidemiological tools such as the QDiabetes risk algorithm, public health professionals can analyse anonymised electronic health records to calculate the 10-year risk of developing diabetes for residents (Hippisley-Cox et al., 2017). This epidemiological approach identifies older adults, individuals with a family history of diabetes, women with previous gestational diabetes, and individuals residing in the most deprived quintiles of the borough as the primary at-risk cohorts. Studies specifically conducted within East London have demonstrated that the intersection of Bangladeshi ethnicity and high deprivation indices serves as the strongest predictor for disease onset (Robson et al., 2016).</w:t>
      </w:r>
    </w:p>
    <w:p w14:paraId="426A270D" w14:textId="77777777" w:rsidR="00870478" w:rsidRPr="008E749B" w:rsidRDefault="00870478" w:rsidP="00B42CCE">
      <w:pPr>
        <w:spacing w:line="360" w:lineRule="auto"/>
        <w:rPr>
          <w:rFonts w:ascii="Arial" w:hAnsi="Arial" w:cs="Arial"/>
          <w:sz w:val="36"/>
          <w:szCs w:val="36"/>
        </w:rPr>
      </w:pPr>
    </w:p>
    <w:p w14:paraId="7D68FD54" w14:textId="77777777" w:rsidR="00870478" w:rsidRPr="00FD5036" w:rsidRDefault="00870478" w:rsidP="00B42CCE">
      <w:pPr>
        <w:spacing w:line="360" w:lineRule="auto"/>
        <w:rPr>
          <w:rFonts w:ascii="Arial" w:hAnsi="Arial" w:cs="Arial"/>
          <w:b/>
          <w:bCs/>
          <w:i/>
          <w:iCs/>
          <w:sz w:val="36"/>
          <w:szCs w:val="36"/>
          <w:u w:val="single"/>
        </w:rPr>
      </w:pPr>
      <w:r w:rsidRPr="00FD5036">
        <w:rPr>
          <w:rFonts w:ascii="Arial" w:hAnsi="Arial" w:cs="Arial"/>
          <w:b/>
          <w:bCs/>
          <w:i/>
          <w:iCs/>
          <w:sz w:val="36"/>
          <w:szCs w:val="36"/>
          <w:u w:val="single"/>
        </w:rPr>
        <w:t xml:space="preserve">Monitoring and Surveillance Systems </w:t>
      </w:r>
    </w:p>
    <w:p w14:paraId="3FCB7707" w14:textId="77777777" w:rsidR="00870478" w:rsidRPr="008E749B" w:rsidRDefault="00870478" w:rsidP="00B42CCE">
      <w:pPr>
        <w:spacing w:line="360" w:lineRule="auto"/>
        <w:rPr>
          <w:rFonts w:ascii="Arial" w:hAnsi="Arial" w:cs="Arial"/>
          <w:sz w:val="36"/>
          <w:szCs w:val="36"/>
        </w:rPr>
      </w:pPr>
    </w:p>
    <w:p w14:paraId="7BA21697" w14:textId="77777777"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Effective disease management requires rigorous surveillance. In Tower Hamlets, the incidence and prevalence of Type 2 diabetes are monitored through a triangulation of systems. The foremost tool is the Quality and Outcomes Framework, a primary care incentive scheme that records the number of diagnosed patients on GP registers and monitors their HbA1c, blood pressure, and cholesterol levels (Dixon et al., 2011). Furthermore, the National Diabetes Audit provides a comprehensive, continuous surveillance system that benchmarks local clinical care against national NICE guidelines, highlighting gaps in service provision (NHS Digital, 2022). At a granular level, local clinical commissioning groups utilise real-time primary care dashboards. These digital epidemiological tools allow public health teams to monitor disease hotspots at the postcode level, facilitating rapid, targeted resource deployment.</w:t>
      </w:r>
    </w:p>
    <w:p w14:paraId="144990E6" w14:textId="77777777" w:rsidR="00870478" w:rsidRPr="008E749B" w:rsidRDefault="00870478" w:rsidP="00B42CCE">
      <w:pPr>
        <w:spacing w:line="360" w:lineRule="auto"/>
        <w:rPr>
          <w:rFonts w:ascii="Arial" w:hAnsi="Arial" w:cs="Arial"/>
          <w:sz w:val="36"/>
          <w:szCs w:val="36"/>
        </w:rPr>
      </w:pPr>
    </w:p>
    <w:p w14:paraId="65488C90" w14:textId="77777777" w:rsidR="00870478" w:rsidRPr="00016055" w:rsidRDefault="00870478" w:rsidP="00B42CCE">
      <w:pPr>
        <w:spacing w:line="360" w:lineRule="auto"/>
        <w:rPr>
          <w:rFonts w:ascii="Arial" w:hAnsi="Arial" w:cs="Arial"/>
          <w:b/>
          <w:bCs/>
          <w:i/>
          <w:iCs/>
          <w:sz w:val="36"/>
          <w:szCs w:val="36"/>
          <w:u w:val="single"/>
        </w:rPr>
      </w:pPr>
      <w:r w:rsidRPr="00016055">
        <w:rPr>
          <w:rFonts w:ascii="Arial" w:hAnsi="Arial" w:cs="Arial"/>
          <w:b/>
          <w:bCs/>
          <w:i/>
          <w:iCs/>
          <w:sz w:val="36"/>
          <w:szCs w:val="36"/>
          <w:u w:val="single"/>
        </w:rPr>
        <w:t xml:space="preserve">Public Health Impact and Consequences </w:t>
      </w:r>
    </w:p>
    <w:p w14:paraId="2B455551" w14:textId="77777777" w:rsidR="00870478" w:rsidRPr="008E749B" w:rsidRDefault="00870478" w:rsidP="00B42CCE">
      <w:pPr>
        <w:spacing w:line="360" w:lineRule="auto"/>
        <w:rPr>
          <w:rFonts w:ascii="Arial" w:hAnsi="Arial" w:cs="Arial"/>
          <w:sz w:val="36"/>
          <w:szCs w:val="36"/>
        </w:rPr>
      </w:pPr>
    </w:p>
    <w:p w14:paraId="1DE6D893" w14:textId="4F38C01E"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Using descriptive epidemiology, the public health impact of Type 2 diabetes on Tower Hamlets can be quantified. In the short term, poorly controlled diabetes leads to acute complications such as diabetic ketoacidosis and severe infections, resulting in increased emergency hospital admissions and significant strain on local acute hospital trusts (Holman et al., 2015). The long</w:t>
      </w:r>
      <w:r w:rsidR="00016055">
        <w:rPr>
          <w:rFonts w:ascii="Arial" w:hAnsi="Arial" w:cs="Arial"/>
          <w:sz w:val="36"/>
          <w:szCs w:val="36"/>
        </w:rPr>
        <w:t xml:space="preserve"> </w:t>
      </w:r>
      <w:r w:rsidRPr="008E749B">
        <w:rPr>
          <w:rFonts w:ascii="Arial" w:hAnsi="Arial" w:cs="Arial"/>
          <w:sz w:val="36"/>
          <w:szCs w:val="36"/>
        </w:rPr>
        <w:t>term consequences are devastating. Type 2 diabetes is the leading cause of preventable visual impairment and non-traumatic lower</w:t>
      </w:r>
      <w:r w:rsidR="00016055">
        <w:rPr>
          <w:rFonts w:ascii="Arial" w:hAnsi="Arial" w:cs="Arial"/>
          <w:sz w:val="36"/>
          <w:szCs w:val="36"/>
        </w:rPr>
        <w:t xml:space="preserve"> </w:t>
      </w:r>
      <w:r w:rsidRPr="008E749B">
        <w:rPr>
          <w:rFonts w:ascii="Arial" w:hAnsi="Arial" w:cs="Arial"/>
          <w:sz w:val="36"/>
          <w:szCs w:val="36"/>
        </w:rPr>
        <w:t>limb amputations in the borough. Cohort studies, such as the UK Prospective Diabetes Study, have conclusively proven that chronic hyperglycaemia severely accelerates cardiovascular disease, leading to premature mortality (Stratton et al., 2000). Furthermore, the economic effect is profound, diverting essential local authority funds away from other community services to cover the soaring costs of complex social care required by disabled residents (Hex et al., 2012).</w:t>
      </w:r>
    </w:p>
    <w:p w14:paraId="3C0F3234" w14:textId="77777777" w:rsidR="00870478" w:rsidRPr="008E749B" w:rsidRDefault="00870478" w:rsidP="00B42CCE">
      <w:pPr>
        <w:spacing w:line="360" w:lineRule="auto"/>
        <w:rPr>
          <w:rFonts w:ascii="Arial" w:hAnsi="Arial" w:cs="Arial"/>
          <w:sz w:val="36"/>
          <w:szCs w:val="36"/>
        </w:rPr>
      </w:pPr>
    </w:p>
    <w:p w14:paraId="2E05D493" w14:textId="77777777" w:rsidR="00870478" w:rsidRPr="008E749B" w:rsidRDefault="00870478" w:rsidP="00B42CCE">
      <w:pPr>
        <w:spacing w:line="360" w:lineRule="auto"/>
        <w:rPr>
          <w:rFonts w:ascii="Arial" w:hAnsi="Arial" w:cs="Arial"/>
          <w:sz w:val="36"/>
          <w:szCs w:val="36"/>
        </w:rPr>
      </w:pPr>
    </w:p>
    <w:p w14:paraId="30B8E385" w14:textId="77777777" w:rsidR="00870478" w:rsidRPr="00016055" w:rsidRDefault="00870478" w:rsidP="00B42CCE">
      <w:pPr>
        <w:spacing w:line="360" w:lineRule="auto"/>
        <w:rPr>
          <w:rFonts w:ascii="Arial" w:hAnsi="Arial" w:cs="Arial"/>
          <w:b/>
          <w:bCs/>
          <w:i/>
          <w:iCs/>
          <w:sz w:val="36"/>
          <w:szCs w:val="36"/>
          <w:u w:val="single"/>
        </w:rPr>
      </w:pPr>
      <w:r w:rsidRPr="00016055">
        <w:rPr>
          <w:rFonts w:ascii="Arial" w:hAnsi="Arial" w:cs="Arial"/>
          <w:b/>
          <w:bCs/>
          <w:i/>
          <w:iCs/>
          <w:sz w:val="36"/>
          <w:szCs w:val="36"/>
          <w:u w:val="single"/>
        </w:rPr>
        <w:t>Health Intervention Programme and Evaluation</w:t>
      </w:r>
    </w:p>
    <w:p w14:paraId="3FFD302C" w14:textId="77777777" w:rsidR="00870478" w:rsidRPr="008E749B" w:rsidRDefault="00870478" w:rsidP="00B42CCE">
      <w:pPr>
        <w:spacing w:line="360" w:lineRule="auto"/>
        <w:rPr>
          <w:rFonts w:ascii="Arial" w:hAnsi="Arial" w:cs="Arial"/>
          <w:sz w:val="36"/>
          <w:szCs w:val="36"/>
        </w:rPr>
      </w:pPr>
    </w:p>
    <w:p w14:paraId="6F2DCD11" w14:textId="2B80C810"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To address these challenges, I propose a culturally congruent, community-based intervention termed the “Tower Hamlets Healthy Halal Initiative”. This programme will integrate peer</w:t>
      </w:r>
      <w:r w:rsidR="00175A3D">
        <w:rPr>
          <w:rFonts w:ascii="Arial" w:hAnsi="Arial" w:cs="Arial"/>
          <w:sz w:val="36"/>
          <w:szCs w:val="36"/>
        </w:rPr>
        <w:t xml:space="preserve"> </w:t>
      </w:r>
      <w:r w:rsidRPr="008E749B">
        <w:rPr>
          <w:rFonts w:ascii="Arial" w:hAnsi="Arial" w:cs="Arial"/>
          <w:sz w:val="36"/>
          <w:szCs w:val="36"/>
        </w:rPr>
        <w:t>led lifestyle modification workshops with primary care network referrals. It will feature local Sylheti</w:t>
      </w:r>
      <w:r w:rsidR="00175A3D">
        <w:rPr>
          <w:rFonts w:ascii="Arial" w:hAnsi="Arial" w:cs="Arial"/>
          <w:sz w:val="36"/>
          <w:szCs w:val="36"/>
        </w:rPr>
        <w:t xml:space="preserve"> </w:t>
      </w:r>
      <w:r w:rsidRPr="008E749B">
        <w:rPr>
          <w:rFonts w:ascii="Arial" w:hAnsi="Arial" w:cs="Arial"/>
          <w:sz w:val="36"/>
          <w:szCs w:val="36"/>
        </w:rPr>
        <w:t>speaking dieticians conducting interactive cooking sessions that modify traditional South Asian recipes to reduce saturated fats and refined carbohydrates without compromising cultural identity. To evaluate the impact of this intervention, an epidemiological framework based on a cluster randomised controlled trial will be deployed. General practices within the borough will be randomised to either standard care or the intervention arm. The primary outcome measure will be the mean reduction in HbA1c levels at 6 and 12 months post</w:t>
      </w:r>
      <w:r w:rsidR="00175A3D">
        <w:rPr>
          <w:rFonts w:ascii="Arial" w:hAnsi="Arial" w:cs="Arial"/>
          <w:sz w:val="36"/>
          <w:szCs w:val="36"/>
        </w:rPr>
        <w:t xml:space="preserve"> </w:t>
      </w:r>
      <w:r w:rsidRPr="008E749B">
        <w:rPr>
          <w:rFonts w:ascii="Arial" w:hAnsi="Arial" w:cs="Arial"/>
          <w:sz w:val="36"/>
          <w:szCs w:val="36"/>
        </w:rPr>
        <w:t>intervention. Secondary outcomes will assess weight reduction and patient-reported psychological well-being. The evaluation will utilise the RE</w:t>
      </w:r>
      <w:r w:rsidR="00175A3D">
        <w:rPr>
          <w:rFonts w:ascii="Arial" w:hAnsi="Arial" w:cs="Arial"/>
          <w:sz w:val="36"/>
          <w:szCs w:val="36"/>
        </w:rPr>
        <w:t xml:space="preserve"> </w:t>
      </w:r>
      <w:r w:rsidRPr="008E749B">
        <w:rPr>
          <w:rFonts w:ascii="Arial" w:hAnsi="Arial" w:cs="Arial"/>
          <w:sz w:val="36"/>
          <w:szCs w:val="36"/>
        </w:rPr>
        <w:t>AIM framework to assess Reach, Effectiveness, Adoption, Implementation, and Maintenance, ensuring the intervention is both clinically effective and practically sustainable in a real</w:t>
      </w:r>
      <w:r w:rsidR="00175A3D">
        <w:rPr>
          <w:rFonts w:ascii="Arial" w:hAnsi="Arial" w:cs="Arial"/>
          <w:sz w:val="36"/>
          <w:szCs w:val="36"/>
        </w:rPr>
        <w:t xml:space="preserve"> </w:t>
      </w:r>
      <w:r w:rsidRPr="008E749B">
        <w:rPr>
          <w:rFonts w:ascii="Arial" w:hAnsi="Arial" w:cs="Arial"/>
          <w:sz w:val="36"/>
          <w:szCs w:val="36"/>
        </w:rPr>
        <w:t>world setting (Glasgow et al., 1999).</w:t>
      </w:r>
    </w:p>
    <w:p w14:paraId="4B20F126" w14:textId="77777777" w:rsidR="00870478" w:rsidRPr="008E749B" w:rsidRDefault="00870478" w:rsidP="00B42CCE">
      <w:pPr>
        <w:spacing w:line="360" w:lineRule="auto"/>
        <w:rPr>
          <w:rFonts w:ascii="Arial" w:hAnsi="Arial" w:cs="Arial"/>
          <w:sz w:val="36"/>
          <w:szCs w:val="36"/>
        </w:rPr>
      </w:pPr>
    </w:p>
    <w:p w14:paraId="49D00EE7" w14:textId="77777777" w:rsidR="00870478" w:rsidRPr="00175A3D" w:rsidRDefault="00870478" w:rsidP="00B42CCE">
      <w:pPr>
        <w:spacing w:line="360" w:lineRule="auto"/>
        <w:rPr>
          <w:rFonts w:ascii="Arial" w:hAnsi="Arial" w:cs="Arial"/>
          <w:b/>
          <w:bCs/>
          <w:i/>
          <w:iCs/>
          <w:sz w:val="36"/>
          <w:szCs w:val="36"/>
          <w:u w:val="single"/>
        </w:rPr>
      </w:pPr>
      <w:r w:rsidRPr="00175A3D">
        <w:rPr>
          <w:rFonts w:ascii="Arial" w:hAnsi="Arial" w:cs="Arial"/>
          <w:b/>
          <w:bCs/>
          <w:i/>
          <w:iCs/>
          <w:sz w:val="36"/>
          <w:szCs w:val="36"/>
          <w:u w:val="single"/>
        </w:rPr>
        <w:t xml:space="preserve">Strengths and Weaknesses of the Epidemiological Approach </w:t>
      </w:r>
    </w:p>
    <w:p w14:paraId="4DD8946D" w14:textId="77777777" w:rsidR="00870478" w:rsidRPr="008E749B" w:rsidRDefault="00870478" w:rsidP="00B42CCE">
      <w:pPr>
        <w:spacing w:line="360" w:lineRule="auto"/>
        <w:rPr>
          <w:rFonts w:ascii="Arial" w:hAnsi="Arial" w:cs="Arial"/>
          <w:sz w:val="36"/>
          <w:szCs w:val="36"/>
        </w:rPr>
      </w:pPr>
    </w:p>
    <w:p w14:paraId="08C2F1A4" w14:textId="77EE6B97" w:rsidR="00870478" w:rsidRPr="008E749B" w:rsidRDefault="00870478" w:rsidP="00B42CCE">
      <w:pPr>
        <w:spacing w:line="360" w:lineRule="auto"/>
        <w:rPr>
          <w:rFonts w:ascii="Arial" w:hAnsi="Arial" w:cs="Arial"/>
          <w:sz w:val="36"/>
          <w:szCs w:val="36"/>
        </w:rPr>
      </w:pPr>
      <w:r w:rsidRPr="008E749B">
        <w:rPr>
          <w:rFonts w:ascii="Arial" w:hAnsi="Arial" w:cs="Arial"/>
          <w:sz w:val="36"/>
          <w:szCs w:val="36"/>
        </w:rPr>
        <w:t>The epidemiological approach applied to this public health problem possesses distinct strengths and notable weaknesses. A primary strength is the utilisation of comprehensive primary care databases within Tower Hamlets, which provide a highly accurate, population</w:t>
      </w:r>
      <w:r w:rsidR="00175A3D">
        <w:rPr>
          <w:rFonts w:ascii="Arial" w:hAnsi="Arial" w:cs="Arial"/>
          <w:sz w:val="36"/>
          <w:szCs w:val="36"/>
        </w:rPr>
        <w:t xml:space="preserve"> </w:t>
      </w:r>
      <w:r w:rsidRPr="008E749B">
        <w:rPr>
          <w:rFonts w:ascii="Arial" w:hAnsi="Arial" w:cs="Arial"/>
          <w:sz w:val="36"/>
          <w:szCs w:val="36"/>
        </w:rPr>
        <w:t>based denominator for calculating true prevalence rates (Greenhalgh et al., 2015). Risk stratification tools like QDiabetes allow for precise, evidence</w:t>
      </w:r>
      <w:r w:rsidR="008A72E1">
        <w:rPr>
          <w:rFonts w:ascii="Arial" w:hAnsi="Arial" w:cs="Arial"/>
          <w:sz w:val="36"/>
          <w:szCs w:val="36"/>
        </w:rPr>
        <w:t xml:space="preserve"> </w:t>
      </w:r>
      <w:r w:rsidRPr="008E749B">
        <w:rPr>
          <w:rFonts w:ascii="Arial" w:hAnsi="Arial" w:cs="Arial"/>
          <w:sz w:val="36"/>
          <w:szCs w:val="36"/>
        </w:rPr>
        <w:t>based targeting of scarce public health resources. However, the approach is limited by the ecological fallacy, whereby population</w:t>
      </w:r>
      <w:r w:rsidR="008A72E1">
        <w:rPr>
          <w:rFonts w:ascii="Arial" w:hAnsi="Arial" w:cs="Arial"/>
          <w:sz w:val="36"/>
          <w:szCs w:val="36"/>
        </w:rPr>
        <w:t xml:space="preserve"> </w:t>
      </w:r>
      <w:r w:rsidRPr="008E749B">
        <w:rPr>
          <w:rFonts w:ascii="Arial" w:hAnsi="Arial" w:cs="Arial"/>
          <w:sz w:val="36"/>
          <w:szCs w:val="36"/>
        </w:rPr>
        <w:t>level data may not accurately reflect individual</w:t>
      </w:r>
      <w:r w:rsidR="008A72E1">
        <w:rPr>
          <w:rFonts w:ascii="Arial" w:hAnsi="Arial" w:cs="Arial"/>
          <w:sz w:val="36"/>
          <w:szCs w:val="36"/>
        </w:rPr>
        <w:t xml:space="preserve"> </w:t>
      </w:r>
      <w:r w:rsidRPr="008E749B">
        <w:rPr>
          <w:rFonts w:ascii="Arial" w:hAnsi="Arial" w:cs="Arial"/>
          <w:sz w:val="36"/>
          <w:szCs w:val="36"/>
        </w:rPr>
        <w:t>level behaviours. Furthermore, standard epidemiological metrics such as BMI are inherently flawed when applied universally, as they often underestimate visceral adiposity and subsequent diabetes risk in South Asian populations (Caleyachetty et al., 2021). Finally, surveillance systems like the Quality and Outcomes Framework only capture data from individuals engaged with the healthcare system, inevitably under</w:t>
      </w:r>
      <w:r w:rsidR="008A72E1">
        <w:rPr>
          <w:rFonts w:ascii="Arial" w:hAnsi="Arial" w:cs="Arial"/>
          <w:sz w:val="36"/>
          <w:szCs w:val="36"/>
        </w:rPr>
        <w:t xml:space="preserve"> </w:t>
      </w:r>
      <w:r w:rsidRPr="008E749B">
        <w:rPr>
          <w:rFonts w:ascii="Arial" w:hAnsi="Arial" w:cs="Arial"/>
          <w:sz w:val="36"/>
          <w:szCs w:val="36"/>
        </w:rPr>
        <w:t>reporting the prevalence among unregistered migrants or deeply marginalised groups within the borough, thereby skewing the true epidemiological picture.</w:t>
      </w:r>
    </w:p>
    <w:p w14:paraId="39BCE477" w14:textId="77777777" w:rsidR="00870478" w:rsidRPr="008E749B" w:rsidRDefault="00870478" w:rsidP="00B42CCE">
      <w:pPr>
        <w:spacing w:line="360" w:lineRule="auto"/>
        <w:rPr>
          <w:rFonts w:ascii="Arial" w:hAnsi="Arial" w:cs="Arial"/>
          <w:sz w:val="36"/>
          <w:szCs w:val="36"/>
        </w:rPr>
      </w:pPr>
    </w:p>
    <w:p w14:paraId="1E957270" w14:textId="77777777" w:rsidR="00870478" w:rsidRPr="008E749B" w:rsidRDefault="00870478" w:rsidP="00B42CCE">
      <w:pPr>
        <w:spacing w:line="360" w:lineRule="auto"/>
        <w:rPr>
          <w:rFonts w:ascii="Arial" w:hAnsi="Arial" w:cs="Arial"/>
          <w:sz w:val="36"/>
          <w:szCs w:val="36"/>
        </w:rPr>
      </w:pPr>
    </w:p>
    <w:p w14:paraId="6653F7EB" w14:textId="77777777" w:rsidR="00870478" w:rsidRDefault="00870478" w:rsidP="00B42CCE">
      <w:pPr>
        <w:spacing w:line="360" w:lineRule="auto"/>
        <w:rPr>
          <w:rFonts w:ascii="Arial" w:hAnsi="Arial" w:cs="Arial"/>
          <w:b/>
          <w:bCs/>
          <w:i/>
          <w:iCs/>
          <w:sz w:val="36"/>
          <w:szCs w:val="36"/>
          <w:u w:val="single"/>
        </w:rPr>
      </w:pPr>
      <w:r w:rsidRPr="008A72E1">
        <w:rPr>
          <w:rFonts w:ascii="Arial" w:hAnsi="Arial" w:cs="Arial"/>
          <w:b/>
          <w:bCs/>
          <w:i/>
          <w:iCs/>
          <w:sz w:val="36"/>
          <w:szCs w:val="36"/>
          <w:u w:val="single"/>
        </w:rPr>
        <w:t>References</w:t>
      </w:r>
    </w:p>
    <w:p w14:paraId="46A71F25" w14:textId="77777777" w:rsidR="008A72E1" w:rsidRDefault="008A72E1" w:rsidP="00B42CCE">
      <w:pPr>
        <w:spacing w:line="360" w:lineRule="auto"/>
        <w:rPr>
          <w:rFonts w:ascii="Arial" w:hAnsi="Arial" w:cs="Arial"/>
          <w:b/>
          <w:bCs/>
          <w:i/>
          <w:iCs/>
          <w:sz w:val="36"/>
          <w:szCs w:val="36"/>
          <w:u w:val="single"/>
        </w:rPr>
      </w:pPr>
    </w:p>
    <w:p w14:paraId="728B4BC6" w14:textId="26857C4A" w:rsidR="00870478" w:rsidRPr="00DA0285" w:rsidRDefault="00F032DD" w:rsidP="00B42CCE">
      <w:pPr>
        <w:spacing w:line="360" w:lineRule="auto"/>
        <w:rPr>
          <w:rFonts w:ascii="Arial" w:hAnsi="Arial" w:cs="Arial"/>
          <w:sz w:val="36"/>
          <w:szCs w:val="36"/>
        </w:rPr>
      </w:pPr>
      <w:r w:rsidRPr="00DA0285">
        <w:rPr>
          <w:rFonts w:ascii="Arial" w:eastAsia="Times New Roman" w:hAnsi="Arial" w:cs="Arial"/>
          <w:kern w:val="0"/>
          <w:sz w:val="36"/>
          <w:szCs w:val="36"/>
          <w14:ligatures w14:val="none"/>
        </w:rPr>
        <w:t xml:space="preserve">Bhopal, R.S. (2013) </w:t>
      </w:r>
      <w:r w:rsidRPr="00DA0285">
        <w:rPr>
          <w:rFonts w:ascii="Arial" w:eastAsia="Times New Roman" w:hAnsi="Arial" w:cs="Arial"/>
          <w:i/>
          <w:iCs/>
          <w:kern w:val="0"/>
          <w:sz w:val="36"/>
          <w:szCs w:val="36"/>
          <w14:ligatures w14:val="none"/>
        </w:rPr>
        <w:t>Ethnicity, race, and health in multicultural societies: foundations for better epidemiology, public health, and health care</w:t>
      </w:r>
      <w:r w:rsidRPr="00DA0285">
        <w:rPr>
          <w:rFonts w:ascii="Arial" w:eastAsia="Times New Roman" w:hAnsi="Arial" w:cs="Arial"/>
          <w:kern w:val="0"/>
          <w:sz w:val="36"/>
          <w:szCs w:val="36"/>
          <w14:ligatures w14:val="none"/>
        </w:rPr>
        <w:t>. Oxford: Oxford University Press.</w:t>
      </w:r>
      <w:r w:rsidRPr="00DA0285">
        <w:rPr>
          <w:rFonts w:ascii="Arial" w:eastAsia="Times New Roman" w:hAnsi="Arial" w:cs="Arial"/>
          <w:kern w:val="0"/>
          <w:sz w:val="36"/>
          <w:szCs w:val="36"/>
          <w14:ligatures w14:val="none"/>
        </w:rPr>
        <w:br/>
        <w:t xml:space="preserve">​Caleyachetty, R., Barber, T.M., Echouffo-Tcheugui, J.B.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(2021) 'Ethnicity-specific BMI cutoffs for obesity based on type 2 diabetes risk in England: a population-based cohort study', </w:t>
      </w:r>
      <w:r w:rsidRPr="00DA0285">
        <w:rPr>
          <w:rFonts w:ascii="Arial" w:eastAsia="Times New Roman" w:hAnsi="Arial" w:cs="Arial"/>
          <w:i/>
          <w:iCs/>
          <w:kern w:val="0"/>
          <w:sz w:val="36"/>
          <w:szCs w:val="36"/>
          <w14:ligatures w14:val="none"/>
        </w:rPr>
        <w:t>The Lancet Diabetes &amp; Endocrinology</w:t>
      </w:r>
      <w:r w:rsidRPr="00DA0285">
        <w:rPr>
          <w:rFonts w:ascii="Arial" w:eastAsia="Times New Roman" w:hAnsi="Arial" w:cs="Arial"/>
          <w:kern w:val="0"/>
          <w:sz w:val="36"/>
          <w:szCs w:val="36"/>
          <w14:ligatures w14:val="none"/>
        </w:rPr>
        <w:t>, 9(7), pp. 419-426.</w:t>
      </w:r>
      <w:r w:rsidRPr="00DA0285">
        <w:rPr>
          <w:rFonts w:ascii="Arial" w:eastAsia="Times New Roman" w:hAnsi="Arial" w:cs="Arial"/>
          <w:kern w:val="0"/>
          <w:sz w:val="36"/>
          <w:szCs w:val="36"/>
          <w14:ligatures w14:val="none"/>
        </w:rPr>
        <w:br/>
        <w:t xml:space="preserve">​Diabetes UK (2022) </w:t>
      </w:r>
      <w:r w:rsidRPr="00DA0285">
        <w:rPr>
          <w:rFonts w:ascii="Arial" w:eastAsia="Times New Roman" w:hAnsi="Arial" w:cs="Arial"/>
          <w:i/>
          <w:iCs/>
          <w:kern w:val="0"/>
          <w:sz w:val="36"/>
          <w:szCs w:val="36"/>
          <w14:ligatures w14:val="none"/>
        </w:rPr>
        <w:t>Diabetes statistics</w:t>
      </w:r>
      <w:r w:rsidRPr="00DA0285">
        <w:rPr>
          <w:rFonts w:ascii="Arial" w:eastAsia="Times New Roman" w:hAnsi="Arial" w:cs="Arial"/>
          <w:kern w:val="0"/>
          <w:sz w:val="36"/>
          <w:szCs w:val="36"/>
          <w14:ligatures w14:val="none"/>
        </w:rPr>
        <w:t>. Available at: https://www.diabetes.org.uk/professionals/position-statements-reports/statistics (Accessed: 1</w:t>
      </w:r>
      <w:r w:rsidR="00961437">
        <w:rPr>
          <w:rFonts w:ascii="Arial" w:eastAsia="Times New Roman" w:hAnsi="Arial" w:cs="Arial"/>
          <w:kern w:val="0"/>
          <w:sz w:val="36"/>
          <w:szCs w:val="36"/>
          <w14:ligatures w14:val="none"/>
        </w:rPr>
        <w:t>6</w:t>
      </w:r>
      <w:r w:rsidRPr="00DA0285">
        <w:rPr>
          <w:rFonts w:ascii="Arial" w:eastAsia="Times New Roman" w:hAnsi="Arial" w:cs="Arial"/>
          <w:kern w:val="0"/>
          <w:sz w:val="36"/>
          <w:szCs w:val="36"/>
          <w14:ligatures w14:val="none"/>
        </w:rPr>
        <w:t xml:space="preserve"> October 2026).</w:t>
      </w:r>
      <w:r w:rsidRPr="00DA0285">
        <w:rPr>
          <w:rFonts w:ascii="Arial" w:eastAsia="Times New Roman" w:hAnsi="Arial" w:cs="Arial"/>
          <w:kern w:val="0"/>
          <w:sz w:val="36"/>
          <w:szCs w:val="36"/>
          <w14:ligatures w14:val="none"/>
        </w:rPr>
        <w:br/>
        <w:t xml:space="preserve">​Dixon, A., Khachatryan, A., Wallace, A.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(2011) </w:t>
      </w:r>
      <w:r w:rsidRPr="00DA0285">
        <w:rPr>
          <w:rFonts w:ascii="Arial" w:eastAsia="Times New Roman" w:hAnsi="Arial" w:cs="Arial"/>
          <w:i/>
          <w:iCs/>
          <w:kern w:val="0"/>
          <w:sz w:val="36"/>
          <w:szCs w:val="36"/>
          <w14:ligatures w14:val="none"/>
        </w:rPr>
        <w:t>Impact of the Quality and Outcomes Framework on health inequalities</w:t>
      </w:r>
      <w:r w:rsidRPr="00DA0285">
        <w:rPr>
          <w:rFonts w:ascii="Arial" w:eastAsia="Times New Roman" w:hAnsi="Arial" w:cs="Arial"/>
          <w:kern w:val="0"/>
          <w:sz w:val="36"/>
          <w:szCs w:val="36"/>
          <w14:ligatures w14:val="none"/>
        </w:rPr>
        <w:t>. London: The King's Fund.</w:t>
      </w:r>
      <w:r w:rsidRPr="00DA0285">
        <w:rPr>
          <w:rFonts w:ascii="Arial" w:eastAsia="Times New Roman" w:hAnsi="Arial" w:cs="Arial"/>
          <w:kern w:val="0"/>
          <w:sz w:val="36"/>
          <w:szCs w:val="36"/>
          <w14:ligatures w14:val="none"/>
        </w:rPr>
        <w:br/>
        <w:t xml:space="preserve">​Egger, G. and Swinburn, B. (1997) 'An "ecological" approach to the obesity pandemic', </w:t>
      </w:r>
      <w:r w:rsidRPr="00DA0285">
        <w:rPr>
          <w:rFonts w:ascii="Arial" w:eastAsia="Times New Roman" w:hAnsi="Arial" w:cs="Arial"/>
          <w:i/>
          <w:iCs/>
          <w:kern w:val="0"/>
          <w:sz w:val="36"/>
          <w:szCs w:val="36"/>
          <w14:ligatures w14:val="none"/>
        </w:rPr>
        <w:t>BMJ</w:t>
      </w:r>
      <w:r w:rsidRPr="00DA0285">
        <w:rPr>
          <w:rFonts w:ascii="Arial" w:eastAsia="Times New Roman" w:hAnsi="Arial" w:cs="Arial"/>
          <w:kern w:val="0"/>
          <w:sz w:val="36"/>
          <w:szCs w:val="36"/>
          <w14:ligatures w14:val="none"/>
        </w:rPr>
        <w:t>, 315(7106), pp. 477-480.</w:t>
      </w:r>
      <w:r w:rsidRPr="00DA0285">
        <w:rPr>
          <w:rFonts w:ascii="Arial" w:eastAsia="Times New Roman" w:hAnsi="Arial" w:cs="Arial"/>
          <w:kern w:val="0"/>
          <w:sz w:val="36"/>
          <w:szCs w:val="36"/>
          <w14:ligatures w14:val="none"/>
        </w:rPr>
        <w:br/>
        <w:t xml:space="preserve">​Geronimus, A.T., Hicken, M., Keene, D. and Bound, J. (2006) '"Weathering" and age patterns of allostatic load scores among blacks and whites in the United States', </w:t>
      </w:r>
      <w:r w:rsidRPr="00DA0285">
        <w:rPr>
          <w:rFonts w:ascii="Arial" w:eastAsia="Times New Roman" w:hAnsi="Arial" w:cs="Arial"/>
          <w:i/>
          <w:iCs/>
          <w:kern w:val="0"/>
          <w:sz w:val="36"/>
          <w:szCs w:val="36"/>
          <w14:ligatures w14:val="none"/>
        </w:rPr>
        <w:t>American Journal of Public Health</w:t>
      </w:r>
      <w:r w:rsidRPr="00DA0285">
        <w:rPr>
          <w:rFonts w:ascii="Arial" w:eastAsia="Times New Roman" w:hAnsi="Arial" w:cs="Arial"/>
          <w:kern w:val="0"/>
          <w:sz w:val="36"/>
          <w:szCs w:val="36"/>
          <w14:ligatures w14:val="none"/>
        </w:rPr>
        <w:t>, 96(5), pp. 826-833.</w:t>
      </w:r>
      <w:r w:rsidRPr="00DA0285">
        <w:rPr>
          <w:rFonts w:ascii="Arial" w:eastAsia="Times New Roman" w:hAnsi="Arial" w:cs="Arial"/>
          <w:kern w:val="0"/>
          <w:sz w:val="36"/>
          <w:szCs w:val="36"/>
          <w14:ligatures w14:val="none"/>
        </w:rPr>
        <w:br/>
        <w:t xml:space="preserve">​Glasgow, R.E., Vogt, T.M. and Boles, S.M. (1999) 'Evaluating the public health impact of health promotion interventions: the RE-AIM framework', </w:t>
      </w:r>
      <w:r w:rsidRPr="00DA0285">
        <w:rPr>
          <w:rFonts w:ascii="Arial" w:eastAsia="Times New Roman" w:hAnsi="Arial" w:cs="Arial"/>
          <w:i/>
          <w:iCs/>
          <w:kern w:val="0"/>
          <w:sz w:val="36"/>
          <w:szCs w:val="36"/>
          <w14:ligatures w14:val="none"/>
        </w:rPr>
        <w:t>American Journal of Public Health</w:t>
      </w:r>
      <w:r w:rsidRPr="00DA0285">
        <w:rPr>
          <w:rFonts w:ascii="Arial" w:eastAsia="Times New Roman" w:hAnsi="Arial" w:cs="Arial"/>
          <w:kern w:val="0"/>
          <w:sz w:val="36"/>
          <w:szCs w:val="36"/>
          <w14:ligatures w14:val="none"/>
        </w:rPr>
        <w:t>, 89(9), pp. 1322-1327.</w:t>
      </w:r>
      <w:r w:rsidRPr="00DA0285">
        <w:rPr>
          <w:rFonts w:ascii="Arial" w:eastAsia="Times New Roman" w:hAnsi="Arial" w:cs="Arial"/>
          <w:kern w:val="0"/>
          <w:sz w:val="36"/>
          <w:szCs w:val="36"/>
          <w14:ligatures w14:val="none"/>
        </w:rPr>
        <w:br/>
        <w:t xml:space="preserve">​Goff, L.M. (2019) 'Ethnicity and Type 2 diabetes in the UK', </w:t>
      </w:r>
      <w:r w:rsidRPr="00DA0285">
        <w:rPr>
          <w:rFonts w:ascii="Arial" w:eastAsia="Times New Roman" w:hAnsi="Arial" w:cs="Arial"/>
          <w:i/>
          <w:iCs/>
          <w:kern w:val="0"/>
          <w:sz w:val="36"/>
          <w:szCs w:val="36"/>
          <w14:ligatures w14:val="none"/>
        </w:rPr>
        <w:t>Diabetic Medicine</w:t>
      </w:r>
      <w:r w:rsidRPr="00DA0285">
        <w:rPr>
          <w:rFonts w:ascii="Arial" w:eastAsia="Times New Roman" w:hAnsi="Arial" w:cs="Arial"/>
          <w:kern w:val="0"/>
          <w:sz w:val="36"/>
          <w:szCs w:val="36"/>
          <w14:ligatures w14:val="none"/>
        </w:rPr>
        <w:t>, 36(8), pp. 927-938.</w:t>
      </w:r>
      <w:r w:rsidRPr="00DA0285">
        <w:rPr>
          <w:rFonts w:ascii="Arial" w:eastAsia="Times New Roman" w:hAnsi="Arial" w:cs="Arial"/>
          <w:kern w:val="0"/>
          <w:sz w:val="36"/>
          <w:szCs w:val="36"/>
          <w14:ligatures w14:val="none"/>
        </w:rPr>
        <w:br/>
        <w:t xml:space="preserve">​Greenhalgh, T., Clinch, M., Afsar, N.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(2015) 'Socio-cultural influences on the behaviour of South Asian women with diabetes in pregnancy: qualitative study using a multi-level theoretical approach', </w:t>
      </w:r>
      <w:r w:rsidRPr="00DA0285">
        <w:rPr>
          <w:rFonts w:ascii="Arial" w:eastAsia="Times New Roman" w:hAnsi="Arial" w:cs="Arial"/>
          <w:i/>
          <w:iCs/>
          <w:kern w:val="0"/>
          <w:sz w:val="36"/>
          <w:szCs w:val="36"/>
          <w14:ligatures w14:val="none"/>
        </w:rPr>
        <w:t>BMC Medicine</w:t>
      </w:r>
      <w:r w:rsidRPr="00DA0285">
        <w:rPr>
          <w:rFonts w:ascii="Arial" w:eastAsia="Times New Roman" w:hAnsi="Arial" w:cs="Arial"/>
          <w:kern w:val="0"/>
          <w:sz w:val="36"/>
          <w:szCs w:val="36"/>
          <w14:ligatures w14:val="none"/>
        </w:rPr>
        <w:t>, 13(1), pp. 1-15.</w:t>
      </w:r>
      <w:r w:rsidRPr="00DA0285">
        <w:rPr>
          <w:rFonts w:ascii="Arial" w:eastAsia="Times New Roman" w:hAnsi="Arial" w:cs="Arial"/>
          <w:kern w:val="0"/>
          <w:sz w:val="36"/>
          <w:szCs w:val="36"/>
          <w14:ligatures w14:val="none"/>
        </w:rPr>
        <w:br/>
        <w:t xml:space="preserve">​Habib, M. (2021) 'Tackling racial inequalities in healthcare: the role of the NHS Race and Health Observatory', </w:t>
      </w:r>
      <w:r w:rsidRPr="00DA0285">
        <w:rPr>
          <w:rFonts w:ascii="Arial" w:eastAsia="Times New Roman" w:hAnsi="Arial" w:cs="Arial"/>
          <w:i/>
          <w:iCs/>
          <w:kern w:val="0"/>
          <w:sz w:val="36"/>
          <w:szCs w:val="36"/>
          <w14:ligatures w14:val="none"/>
        </w:rPr>
        <w:t>Journal of Public Health</w:t>
      </w:r>
      <w:r w:rsidRPr="00DA0285">
        <w:rPr>
          <w:rFonts w:ascii="Arial" w:eastAsia="Times New Roman" w:hAnsi="Arial" w:cs="Arial"/>
          <w:kern w:val="0"/>
          <w:sz w:val="36"/>
          <w:szCs w:val="36"/>
          <w14:ligatures w14:val="none"/>
        </w:rPr>
        <w:t>, 43(2), pp. 211-213.</w:t>
      </w:r>
      <w:r w:rsidRPr="00DA0285">
        <w:rPr>
          <w:rFonts w:ascii="Arial" w:eastAsia="Times New Roman" w:hAnsi="Arial" w:cs="Arial"/>
          <w:kern w:val="0"/>
          <w:sz w:val="36"/>
          <w:szCs w:val="36"/>
          <w14:ligatures w14:val="none"/>
        </w:rPr>
        <w:br/>
        <w:t xml:space="preserve">​Hex, N., Bartlett, C., Wright, D., Taylor, M. and Varley, D. (2012) 'Estimating the current and future costs of Type 1 and Type 2 diabetes in the UK', </w:t>
      </w:r>
      <w:r w:rsidRPr="00DA0285">
        <w:rPr>
          <w:rFonts w:ascii="Arial" w:eastAsia="Times New Roman" w:hAnsi="Arial" w:cs="Arial"/>
          <w:i/>
          <w:iCs/>
          <w:kern w:val="0"/>
          <w:sz w:val="36"/>
          <w:szCs w:val="36"/>
          <w14:ligatures w14:val="none"/>
        </w:rPr>
        <w:t>Diabetic Medicine</w:t>
      </w:r>
      <w:r w:rsidRPr="00DA0285">
        <w:rPr>
          <w:rFonts w:ascii="Arial" w:eastAsia="Times New Roman" w:hAnsi="Arial" w:cs="Arial"/>
          <w:kern w:val="0"/>
          <w:sz w:val="36"/>
          <w:szCs w:val="36"/>
          <w14:ligatures w14:val="none"/>
        </w:rPr>
        <w:t>, 29(7), pp. 855-862.</w:t>
      </w:r>
      <w:r w:rsidRPr="00DA0285">
        <w:rPr>
          <w:rFonts w:ascii="Arial" w:eastAsia="Times New Roman" w:hAnsi="Arial" w:cs="Arial"/>
          <w:kern w:val="0"/>
          <w:sz w:val="36"/>
          <w:szCs w:val="36"/>
          <w14:ligatures w14:val="none"/>
        </w:rPr>
        <w:br/>
        <w:t xml:space="preserve">​Hippisley-Cox, J., Coupland, C. and Brindle, P. (2017) 'Development and validation of QDiabetes-2018 risk algorithms to estimate future risk of type 2 diabetes: cohort study', </w:t>
      </w:r>
      <w:r w:rsidRPr="00DA0285">
        <w:rPr>
          <w:rFonts w:ascii="Arial" w:eastAsia="Times New Roman" w:hAnsi="Arial" w:cs="Arial"/>
          <w:i/>
          <w:iCs/>
          <w:kern w:val="0"/>
          <w:sz w:val="36"/>
          <w:szCs w:val="36"/>
          <w14:ligatures w14:val="none"/>
        </w:rPr>
        <w:t>BMJ</w:t>
      </w:r>
      <w:r w:rsidRPr="00DA0285">
        <w:rPr>
          <w:rFonts w:ascii="Arial" w:eastAsia="Times New Roman" w:hAnsi="Arial" w:cs="Arial"/>
          <w:kern w:val="0"/>
          <w:sz w:val="36"/>
          <w:szCs w:val="36"/>
          <w14:ligatures w14:val="none"/>
        </w:rPr>
        <w:t>, 359, p. j5019.</w:t>
      </w:r>
      <w:r w:rsidRPr="00DA0285">
        <w:rPr>
          <w:rFonts w:ascii="Arial" w:eastAsia="Times New Roman" w:hAnsi="Arial" w:cs="Arial"/>
          <w:kern w:val="0"/>
          <w:sz w:val="36"/>
          <w:szCs w:val="36"/>
          <w14:ligatures w14:val="none"/>
        </w:rPr>
        <w:br/>
        <w:t xml:space="preserve">​HM Treasury (2016) </w:t>
      </w:r>
      <w:r w:rsidRPr="00DA0285">
        <w:rPr>
          <w:rFonts w:ascii="Arial" w:eastAsia="Times New Roman" w:hAnsi="Arial" w:cs="Arial"/>
          <w:i/>
          <w:iCs/>
          <w:kern w:val="0"/>
          <w:sz w:val="36"/>
          <w:szCs w:val="36"/>
          <w14:ligatures w14:val="none"/>
        </w:rPr>
        <w:t>Soft Drinks Industry Levy</w:t>
      </w:r>
      <w:r w:rsidRPr="00DA0285">
        <w:rPr>
          <w:rFonts w:ascii="Arial" w:eastAsia="Times New Roman" w:hAnsi="Arial" w:cs="Arial"/>
          <w:kern w:val="0"/>
          <w:sz w:val="36"/>
          <w:szCs w:val="36"/>
          <w14:ligatures w14:val="none"/>
        </w:rPr>
        <w:t>. London: HM Government.</w:t>
      </w:r>
      <w:r w:rsidRPr="00DA0285">
        <w:rPr>
          <w:rFonts w:ascii="Arial" w:eastAsia="Times New Roman" w:hAnsi="Arial" w:cs="Arial"/>
          <w:kern w:val="0"/>
          <w:sz w:val="36"/>
          <w:szCs w:val="36"/>
          <w14:ligatures w14:val="none"/>
        </w:rPr>
        <w:br/>
        <w:t xml:space="preserve">​Holman, N., Young, B. and Gadsby, R. (2015) 'Current prevalence of Type 1 and Type 2 diabetes in adults and children in the UK', </w:t>
      </w:r>
      <w:r w:rsidRPr="00DA0285">
        <w:rPr>
          <w:rFonts w:ascii="Arial" w:eastAsia="Times New Roman" w:hAnsi="Arial" w:cs="Arial"/>
          <w:i/>
          <w:iCs/>
          <w:kern w:val="0"/>
          <w:sz w:val="36"/>
          <w:szCs w:val="36"/>
          <w14:ligatures w14:val="none"/>
        </w:rPr>
        <w:t>Diabetic Medicine</w:t>
      </w:r>
      <w:r w:rsidRPr="00DA0285">
        <w:rPr>
          <w:rFonts w:ascii="Arial" w:eastAsia="Times New Roman" w:hAnsi="Arial" w:cs="Arial"/>
          <w:kern w:val="0"/>
          <w:sz w:val="36"/>
          <w:szCs w:val="36"/>
          <w14:ligatures w14:val="none"/>
        </w:rPr>
        <w:t>, 32(9), pp. 1119-1120.</w:t>
      </w:r>
      <w:r w:rsidRPr="00DA0285">
        <w:rPr>
          <w:rFonts w:ascii="Arial" w:eastAsia="Times New Roman" w:hAnsi="Arial" w:cs="Arial"/>
          <w:kern w:val="0"/>
          <w:sz w:val="36"/>
          <w:szCs w:val="36"/>
          <w14:ligatures w14:val="none"/>
        </w:rPr>
        <w:br/>
        <w:t xml:space="preserve">​International Diabetes Federation (IDF) (2021) </w:t>
      </w:r>
      <w:r w:rsidRPr="00DA0285">
        <w:rPr>
          <w:rFonts w:ascii="Arial" w:eastAsia="Times New Roman" w:hAnsi="Arial" w:cs="Arial"/>
          <w:i/>
          <w:iCs/>
          <w:kern w:val="0"/>
          <w:sz w:val="36"/>
          <w:szCs w:val="36"/>
          <w14:ligatures w14:val="none"/>
        </w:rPr>
        <w:t>IDF Diabetes Atlas</w:t>
      </w:r>
      <w:r w:rsidRPr="00DA0285">
        <w:rPr>
          <w:rFonts w:ascii="Arial" w:eastAsia="Times New Roman" w:hAnsi="Arial" w:cs="Arial"/>
          <w:kern w:val="0"/>
          <w:sz w:val="36"/>
          <w:szCs w:val="36"/>
          <w14:ligatures w14:val="none"/>
        </w:rPr>
        <w:t>. 10th edn. Brussels: International Diabetes Federation.</w:t>
      </w:r>
      <w:r w:rsidRPr="00DA0285">
        <w:rPr>
          <w:rFonts w:ascii="Arial" w:eastAsia="Times New Roman" w:hAnsi="Arial" w:cs="Arial"/>
          <w:kern w:val="0"/>
          <w:sz w:val="36"/>
          <w:szCs w:val="36"/>
          <w14:ligatures w14:val="none"/>
        </w:rPr>
        <w:br/>
        <w:t xml:space="preserve">​Jayaweera, H., Quigley, M.A. and Macfarlane, A. (2020) </w:t>
      </w:r>
      <w:r w:rsidRPr="00DA0285">
        <w:rPr>
          <w:rFonts w:ascii="Arial" w:eastAsia="Times New Roman" w:hAnsi="Arial" w:cs="Arial"/>
          <w:i/>
          <w:iCs/>
          <w:kern w:val="0"/>
          <w:sz w:val="36"/>
          <w:szCs w:val="36"/>
          <w14:ligatures w14:val="none"/>
        </w:rPr>
        <w:t>Health and social care experiences of ethnic minority women</w:t>
      </w:r>
      <w:r w:rsidRPr="00DA0285">
        <w:rPr>
          <w:rFonts w:ascii="Arial" w:eastAsia="Times New Roman" w:hAnsi="Arial" w:cs="Arial"/>
          <w:kern w:val="0"/>
          <w:sz w:val="36"/>
          <w:szCs w:val="36"/>
          <w14:ligatures w14:val="none"/>
        </w:rPr>
        <w:t>. London: Race Equality Foundation.</w:t>
      </w:r>
      <w:r w:rsidRPr="00DA0285">
        <w:rPr>
          <w:rFonts w:ascii="Arial" w:eastAsia="Times New Roman" w:hAnsi="Arial" w:cs="Arial"/>
          <w:kern w:val="0"/>
          <w:sz w:val="36"/>
          <w:szCs w:val="36"/>
          <w14:ligatures w14:val="none"/>
        </w:rPr>
        <w:br/>
        <w:t xml:space="preserve">​Joseph Rowntree Foundation (2021) </w:t>
      </w:r>
      <w:r w:rsidRPr="00DA0285">
        <w:rPr>
          <w:rFonts w:ascii="Arial" w:eastAsia="Times New Roman" w:hAnsi="Arial" w:cs="Arial"/>
          <w:i/>
          <w:iCs/>
          <w:kern w:val="0"/>
          <w:sz w:val="36"/>
          <w:szCs w:val="36"/>
          <w14:ligatures w14:val="none"/>
        </w:rPr>
        <w:t>UK poverty 2020/21</w:t>
      </w:r>
      <w:r w:rsidRPr="00DA0285">
        <w:rPr>
          <w:rFonts w:ascii="Arial" w:eastAsia="Times New Roman" w:hAnsi="Arial" w:cs="Arial"/>
          <w:kern w:val="0"/>
          <w:sz w:val="36"/>
          <w:szCs w:val="36"/>
          <w14:ligatures w14:val="none"/>
        </w:rPr>
        <w:t>. York: JRF.</w:t>
      </w:r>
      <w:r w:rsidRPr="00DA0285">
        <w:rPr>
          <w:rFonts w:ascii="Arial" w:eastAsia="Times New Roman" w:hAnsi="Arial" w:cs="Arial"/>
          <w:kern w:val="0"/>
          <w:sz w:val="36"/>
          <w:szCs w:val="36"/>
          <w14:ligatures w14:val="none"/>
        </w:rPr>
        <w:br/>
        <w:t xml:space="preserve">​Kapadia, D., Zhang, J., Salway, S., Nazroo, J. and Booth, A. (2022) </w:t>
      </w:r>
      <w:r w:rsidRPr="00DA0285">
        <w:rPr>
          <w:rFonts w:ascii="Arial" w:eastAsia="Times New Roman" w:hAnsi="Arial" w:cs="Arial"/>
          <w:i/>
          <w:iCs/>
          <w:kern w:val="0"/>
          <w:sz w:val="36"/>
          <w:szCs w:val="36"/>
          <w14:ligatures w14:val="none"/>
        </w:rPr>
        <w:t>Ethnic inequalities in healthcare: a rapid evidence review</w:t>
      </w:r>
      <w:r w:rsidRPr="00DA0285">
        <w:rPr>
          <w:rFonts w:ascii="Arial" w:eastAsia="Times New Roman" w:hAnsi="Arial" w:cs="Arial"/>
          <w:kern w:val="0"/>
          <w:sz w:val="36"/>
          <w:szCs w:val="36"/>
          <w14:ligatures w14:val="none"/>
        </w:rPr>
        <w:t>. London: NHS Race and Health Observatory.</w:t>
      </w:r>
      <w:r w:rsidRPr="00DA0285">
        <w:rPr>
          <w:rFonts w:ascii="Arial" w:eastAsia="Times New Roman" w:hAnsi="Arial" w:cs="Arial"/>
          <w:kern w:val="0"/>
          <w:sz w:val="36"/>
          <w:szCs w:val="36"/>
          <w14:ligatures w14:val="none"/>
        </w:rPr>
        <w:br/>
        <w:t xml:space="preserve">​Kline, R. (2014) </w:t>
      </w:r>
      <w:r w:rsidRPr="00DA0285">
        <w:rPr>
          <w:rFonts w:ascii="Arial" w:eastAsia="Times New Roman" w:hAnsi="Arial" w:cs="Arial"/>
          <w:i/>
          <w:iCs/>
          <w:kern w:val="0"/>
          <w:sz w:val="36"/>
          <w:szCs w:val="36"/>
          <w14:ligatures w14:val="none"/>
        </w:rPr>
        <w:t>The "snowy white peaks" of the NHS: a survey of discrimination in governance and leadership</w:t>
      </w:r>
      <w:r w:rsidRPr="00DA0285">
        <w:rPr>
          <w:rFonts w:ascii="Arial" w:eastAsia="Times New Roman" w:hAnsi="Arial" w:cs="Arial"/>
          <w:kern w:val="0"/>
          <w:sz w:val="36"/>
          <w:szCs w:val="36"/>
          <w14:ligatures w14:val="none"/>
        </w:rPr>
        <w:t>. London: Middlesex University.</w:t>
      </w:r>
      <w:r w:rsidRPr="00DA0285">
        <w:rPr>
          <w:rFonts w:ascii="Arial" w:eastAsia="Times New Roman" w:hAnsi="Arial" w:cs="Arial"/>
          <w:kern w:val="0"/>
          <w:sz w:val="36"/>
          <w:szCs w:val="36"/>
          <w14:ligatures w14:val="none"/>
        </w:rPr>
        <w:br/>
        <w:t xml:space="preserve">​Knight, M., Bunch, K., Tuffnell, D.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(2021) </w:t>
      </w:r>
      <w:r w:rsidRPr="00DA0285">
        <w:rPr>
          <w:rFonts w:ascii="Arial" w:eastAsia="Times New Roman" w:hAnsi="Arial" w:cs="Arial"/>
          <w:i/>
          <w:iCs/>
          <w:kern w:val="0"/>
          <w:sz w:val="36"/>
          <w:szCs w:val="36"/>
          <w14:ligatures w14:val="none"/>
        </w:rPr>
        <w:t>Saving lives, improving mothers' care</w:t>
      </w:r>
      <w:r w:rsidRPr="00DA0285">
        <w:rPr>
          <w:rFonts w:ascii="Arial" w:eastAsia="Times New Roman" w:hAnsi="Arial" w:cs="Arial"/>
          <w:kern w:val="0"/>
          <w:sz w:val="36"/>
          <w:szCs w:val="36"/>
          <w14:ligatures w14:val="none"/>
        </w:rPr>
        <w:t>. Oxford: National Perinatal Epidemiology Unit.</w:t>
      </w:r>
      <w:r w:rsidRPr="00DA0285">
        <w:rPr>
          <w:rFonts w:ascii="Arial" w:eastAsia="Times New Roman" w:hAnsi="Arial" w:cs="Arial"/>
          <w:kern w:val="0"/>
          <w:sz w:val="36"/>
          <w:szCs w:val="36"/>
          <w14:ligatures w14:val="none"/>
        </w:rPr>
        <w:br/>
        <w:t xml:space="preserve">​Marmot, M., Allen, J., Goldblatt, P., Herd, E. and Morrison, J. (2020) </w:t>
      </w:r>
      <w:r w:rsidRPr="00DA0285">
        <w:rPr>
          <w:rFonts w:ascii="Arial" w:eastAsia="Times New Roman" w:hAnsi="Arial" w:cs="Arial"/>
          <w:i/>
          <w:iCs/>
          <w:kern w:val="0"/>
          <w:sz w:val="36"/>
          <w:szCs w:val="36"/>
          <w14:ligatures w14:val="none"/>
        </w:rPr>
        <w:t>Build back fairer: the COVID-19 Marmot review</w:t>
      </w:r>
      <w:r w:rsidRPr="00DA0285">
        <w:rPr>
          <w:rFonts w:ascii="Arial" w:eastAsia="Times New Roman" w:hAnsi="Arial" w:cs="Arial"/>
          <w:kern w:val="0"/>
          <w:sz w:val="36"/>
          <w:szCs w:val="36"/>
          <w14:ligatures w14:val="none"/>
        </w:rPr>
        <w:t>. London: The Health Foundation.</w:t>
      </w:r>
      <w:r w:rsidRPr="00DA0285">
        <w:rPr>
          <w:rFonts w:ascii="Arial" w:eastAsia="Times New Roman" w:hAnsi="Arial" w:cs="Arial"/>
          <w:kern w:val="0"/>
          <w:sz w:val="36"/>
          <w:szCs w:val="36"/>
          <w14:ligatures w14:val="none"/>
        </w:rPr>
        <w:br/>
        <w:t xml:space="preserve">​MBRRACE-UK (2022) </w:t>
      </w:r>
      <w:r w:rsidRPr="00DA0285">
        <w:rPr>
          <w:rFonts w:ascii="Arial" w:eastAsia="Times New Roman" w:hAnsi="Arial" w:cs="Arial"/>
          <w:i/>
          <w:iCs/>
          <w:kern w:val="0"/>
          <w:sz w:val="36"/>
          <w:szCs w:val="36"/>
          <w14:ligatures w14:val="none"/>
        </w:rPr>
        <w:t>Saving lives, improving mothers' care: lessons learned to inform maternity care from the UK and Ireland Confidential Enquiries into Maternal Deaths and Morbidity 2018-20</w:t>
      </w:r>
      <w:r w:rsidRPr="00DA0285">
        <w:rPr>
          <w:rFonts w:ascii="Arial" w:eastAsia="Times New Roman" w:hAnsi="Arial" w:cs="Arial"/>
          <w:kern w:val="0"/>
          <w:sz w:val="36"/>
          <w:szCs w:val="36"/>
          <w14:ligatures w14:val="none"/>
        </w:rPr>
        <w:t>. Oxford: NPEU.</w:t>
      </w:r>
      <w:r w:rsidRPr="00DA0285">
        <w:rPr>
          <w:rFonts w:ascii="Arial" w:eastAsia="Times New Roman" w:hAnsi="Arial" w:cs="Arial"/>
          <w:kern w:val="0"/>
          <w:sz w:val="36"/>
          <w:szCs w:val="36"/>
          <w14:ligatures w14:val="none"/>
        </w:rPr>
        <w:br/>
        <w:t xml:space="preserve">​Ministry of Housing, Communities and Local Government (2020) </w:t>
      </w:r>
      <w:r w:rsidRPr="00DA0285">
        <w:rPr>
          <w:rFonts w:ascii="Arial" w:eastAsia="Times New Roman" w:hAnsi="Arial" w:cs="Arial"/>
          <w:i/>
          <w:iCs/>
          <w:kern w:val="0"/>
          <w:sz w:val="36"/>
          <w:szCs w:val="36"/>
          <w14:ligatures w14:val="none"/>
        </w:rPr>
        <w:t>English housing survey: headline report</w:t>
      </w:r>
      <w:r w:rsidRPr="00DA0285">
        <w:rPr>
          <w:rFonts w:ascii="Arial" w:eastAsia="Times New Roman" w:hAnsi="Arial" w:cs="Arial"/>
          <w:kern w:val="0"/>
          <w:sz w:val="36"/>
          <w:szCs w:val="36"/>
          <w14:ligatures w14:val="none"/>
        </w:rPr>
        <w:t>. London: MHCLG.</w:t>
      </w:r>
      <w:r w:rsidRPr="00DA0285">
        <w:rPr>
          <w:rFonts w:ascii="Arial" w:eastAsia="Times New Roman" w:hAnsi="Arial" w:cs="Arial"/>
          <w:kern w:val="0"/>
          <w:sz w:val="36"/>
          <w:szCs w:val="36"/>
          <w14:ligatures w14:val="none"/>
        </w:rPr>
        <w:br/>
        <w:t xml:space="preserve">​Nazroo, J.Y. (2015) 'Health and health inequality in a diverse society', in </w:t>
      </w:r>
      <w:r w:rsidRPr="00DA0285">
        <w:rPr>
          <w:rFonts w:ascii="Arial" w:eastAsia="Times New Roman" w:hAnsi="Arial" w:cs="Arial"/>
          <w:i/>
          <w:iCs/>
          <w:kern w:val="0"/>
          <w:sz w:val="36"/>
          <w:szCs w:val="36"/>
          <w14:ligatures w14:val="none"/>
        </w:rPr>
        <w:t>Diversity in health and care</w:t>
      </w:r>
      <w:r w:rsidRPr="00DA0285">
        <w:rPr>
          <w:rFonts w:ascii="Arial" w:eastAsia="Times New Roman" w:hAnsi="Arial" w:cs="Arial"/>
          <w:kern w:val="0"/>
          <w:sz w:val="36"/>
          <w:szCs w:val="36"/>
          <w14:ligatures w14:val="none"/>
        </w:rPr>
        <w:t>. London: Routledge, pp. 21-35.</w:t>
      </w:r>
      <w:r w:rsidRPr="00DA0285">
        <w:rPr>
          <w:rFonts w:ascii="Arial" w:eastAsia="Times New Roman" w:hAnsi="Arial" w:cs="Arial"/>
          <w:kern w:val="0"/>
          <w:sz w:val="36"/>
          <w:szCs w:val="36"/>
          <w14:ligatures w14:val="none"/>
        </w:rPr>
        <w:br/>
        <w:t xml:space="preserve">​NHS Digital (2022) </w:t>
      </w:r>
      <w:r w:rsidRPr="00DA0285">
        <w:rPr>
          <w:rFonts w:ascii="Arial" w:eastAsia="Times New Roman" w:hAnsi="Arial" w:cs="Arial"/>
          <w:i/>
          <w:iCs/>
          <w:kern w:val="0"/>
          <w:sz w:val="36"/>
          <w:szCs w:val="36"/>
          <w14:ligatures w14:val="none"/>
        </w:rPr>
        <w:t>National diabetes audit, 2020-21</w:t>
      </w:r>
      <w:r w:rsidRPr="00DA0285">
        <w:rPr>
          <w:rFonts w:ascii="Arial" w:eastAsia="Times New Roman" w:hAnsi="Arial" w:cs="Arial"/>
          <w:kern w:val="0"/>
          <w:sz w:val="36"/>
          <w:szCs w:val="36"/>
          <w14:ligatures w14:val="none"/>
        </w:rPr>
        <w:t>. Leeds: NHS Digital.</w:t>
      </w:r>
      <w:r w:rsidRPr="00DA0285">
        <w:rPr>
          <w:rFonts w:ascii="Arial" w:eastAsia="Times New Roman" w:hAnsi="Arial" w:cs="Arial"/>
          <w:kern w:val="0"/>
          <w:sz w:val="36"/>
          <w:szCs w:val="36"/>
          <w14:ligatures w14:val="none"/>
        </w:rPr>
        <w:br/>
        <w:t xml:space="preserve">​NHS England (2021) </w:t>
      </w:r>
      <w:r w:rsidRPr="00DA0285">
        <w:rPr>
          <w:rFonts w:ascii="Arial" w:eastAsia="Times New Roman" w:hAnsi="Arial" w:cs="Arial"/>
          <w:i/>
          <w:iCs/>
          <w:kern w:val="0"/>
          <w:sz w:val="36"/>
          <w:szCs w:val="36"/>
          <w14:ligatures w14:val="none"/>
        </w:rPr>
        <w:t>Core20PLUS5: an approach to reducing healthcare inequalities</w:t>
      </w:r>
      <w:r w:rsidRPr="00DA0285">
        <w:rPr>
          <w:rFonts w:ascii="Arial" w:eastAsia="Times New Roman" w:hAnsi="Arial" w:cs="Arial"/>
          <w:kern w:val="0"/>
          <w:sz w:val="36"/>
          <w:szCs w:val="36"/>
          <w14:ligatures w14:val="none"/>
        </w:rPr>
        <w:t>. London: NHS England.</w:t>
      </w:r>
      <w:r w:rsidRPr="00DA0285">
        <w:rPr>
          <w:rFonts w:ascii="Arial" w:eastAsia="Times New Roman" w:hAnsi="Arial" w:cs="Arial"/>
          <w:kern w:val="0"/>
          <w:sz w:val="36"/>
          <w:szCs w:val="36"/>
          <w14:ligatures w14:val="none"/>
        </w:rPr>
        <w:br/>
        <w:t xml:space="preserve">​NHS Race and Health Observatory (2021) </w:t>
      </w:r>
      <w:r w:rsidRPr="00DA0285">
        <w:rPr>
          <w:rFonts w:ascii="Arial" w:eastAsia="Times New Roman" w:hAnsi="Arial" w:cs="Arial"/>
          <w:i/>
          <w:iCs/>
          <w:kern w:val="0"/>
          <w:sz w:val="36"/>
          <w:szCs w:val="36"/>
          <w14:ligatures w14:val="none"/>
        </w:rPr>
        <w:t>Rapid review of ethnic inequalities in healthcare</w:t>
      </w:r>
      <w:r w:rsidRPr="00DA0285">
        <w:rPr>
          <w:rFonts w:ascii="Arial" w:eastAsia="Times New Roman" w:hAnsi="Arial" w:cs="Arial"/>
          <w:kern w:val="0"/>
          <w:sz w:val="36"/>
          <w:szCs w:val="36"/>
          <w14:ligatures w14:val="none"/>
        </w:rPr>
        <w:t>. London: NHS Confederation.</w:t>
      </w:r>
      <w:r w:rsidRPr="00DA0285">
        <w:rPr>
          <w:rFonts w:ascii="Arial" w:eastAsia="Times New Roman" w:hAnsi="Arial" w:cs="Arial"/>
          <w:kern w:val="0"/>
          <w:sz w:val="36"/>
          <w:szCs w:val="36"/>
          <w14:ligatures w14:val="none"/>
        </w:rPr>
        <w:br/>
        <w:t xml:space="preserve">​Penn, L., Rodrigues, A., Haste, A.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(2018) 'NHS Diabetes Prevention Programme in England: formative evaluation of the programme in early phase implementation', </w:t>
      </w:r>
      <w:r w:rsidRPr="00DA0285">
        <w:rPr>
          <w:rFonts w:ascii="Arial" w:eastAsia="Times New Roman" w:hAnsi="Arial" w:cs="Arial"/>
          <w:i/>
          <w:iCs/>
          <w:kern w:val="0"/>
          <w:sz w:val="36"/>
          <w:szCs w:val="36"/>
          <w14:ligatures w14:val="none"/>
        </w:rPr>
        <w:t>BMJ Open</w:t>
      </w:r>
      <w:r w:rsidRPr="00DA0285">
        <w:rPr>
          <w:rFonts w:ascii="Arial" w:eastAsia="Times New Roman" w:hAnsi="Arial" w:cs="Arial"/>
          <w:kern w:val="0"/>
          <w:sz w:val="36"/>
          <w:szCs w:val="36"/>
          <w14:ligatures w14:val="none"/>
        </w:rPr>
        <w:t>, 8(2), p. e019467.</w:t>
      </w:r>
      <w:r w:rsidRPr="00DA0285">
        <w:rPr>
          <w:rFonts w:ascii="Arial" w:eastAsia="Times New Roman" w:hAnsi="Arial" w:cs="Arial"/>
          <w:kern w:val="0"/>
          <w:sz w:val="36"/>
          <w:szCs w:val="36"/>
          <w14:ligatures w14:val="none"/>
        </w:rPr>
        <w:br/>
        <w:t xml:space="preserve">​Public Health England (2020) </w:t>
      </w:r>
      <w:r w:rsidRPr="00DA0285">
        <w:rPr>
          <w:rFonts w:ascii="Arial" w:eastAsia="Times New Roman" w:hAnsi="Arial" w:cs="Arial"/>
          <w:i/>
          <w:iCs/>
          <w:kern w:val="0"/>
          <w:sz w:val="36"/>
          <w:szCs w:val="36"/>
          <w14:ligatures w14:val="none"/>
        </w:rPr>
        <w:t>Beyond the data: understanding the impact of COVID-19 on BAME groups</w:t>
      </w:r>
      <w:r w:rsidRPr="00DA0285">
        <w:rPr>
          <w:rFonts w:ascii="Arial" w:eastAsia="Times New Roman" w:hAnsi="Arial" w:cs="Arial"/>
          <w:kern w:val="0"/>
          <w:sz w:val="36"/>
          <w:szCs w:val="36"/>
          <w14:ligatures w14:val="none"/>
        </w:rPr>
        <w:t>. London: PHE.</w:t>
      </w:r>
      <w:r w:rsidRPr="00DA0285">
        <w:rPr>
          <w:rFonts w:ascii="Arial" w:eastAsia="Times New Roman" w:hAnsi="Arial" w:cs="Arial"/>
          <w:kern w:val="0"/>
          <w:sz w:val="36"/>
          <w:szCs w:val="36"/>
          <w14:ligatures w14:val="none"/>
        </w:rPr>
        <w:br/>
        <w:t xml:space="preserve">​Race Equality Foundation (2022) </w:t>
      </w:r>
      <w:r w:rsidRPr="00DA0285">
        <w:rPr>
          <w:rFonts w:ascii="Arial" w:eastAsia="Times New Roman" w:hAnsi="Arial" w:cs="Arial"/>
          <w:i/>
          <w:iCs/>
          <w:kern w:val="0"/>
          <w:sz w:val="36"/>
          <w:szCs w:val="36"/>
          <w14:ligatures w14:val="none"/>
        </w:rPr>
        <w:t>Annual report 2021-2022</w:t>
      </w:r>
      <w:r w:rsidRPr="00DA0285">
        <w:rPr>
          <w:rFonts w:ascii="Arial" w:eastAsia="Times New Roman" w:hAnsi="Arial" w:cs="Arial"/>
          <w:kern w:val="0"/>
          <w:sz w:val="36"/>
          <w:szCs w:val="36"/>
          <w14:ligatures w14:val="none"/>
        </w:rPr>
        <w:t>. London: Race Equality Foundation.</w:t>
      </w:r>
      <w:r w:rsidRPr="00DA0285">
        <w:rPr>
          <w:rFonts w:ascii="Arial" w:eastAsia="Times New Roman" w:hAnsi="Arial" w:cs="Arial"/>
          <w:kern w:val="0"/>
          <w:sz w:val="36"/>
          <w:szCs w:val="36"/>
          <w14:ligatures w14:val="none"/>
        </w:rPr>
        <w:br/>
        <w:t xml:space="preserve">​Robson, J., Dostal, I., Mathur, R.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(2016) 'Improving cardiovascular disease prevention in Tower Hamlets: a case study in using data to drive health improvement', </w:t>
      </w:r>
      <w:r w:rsidRPr="00DA0285">
        <w:rPr>
          <w:rFonts w:ascii="Arial" w:eastAsia="Times New Roman" w:hAnsi="Arial" w:cs="Arial"/>
          <w:i/>
          <w:iCs/>
          <w:kern w:val="0"/>
          <w:sz w:val="36"/>
          <w:szCs w:val="36"/>
          <w14:ligatures w14:val="none"/>
        </w:rPr>
        <w:t>Journal of Public Health</w:t>
      </w:r>
      <w:r w:rsidRPr="00DA0285">
        <w:rPr>
          <w:rFonts w:ascii="Arial" w:eastAsia="Times New Roman" w:hAnsi="Arial" w:cs="Arial"/>
          <w:kern w:val="0"/>
          <w:sz w:val="36"/>
          <w:szCs w:val="36"/>
          <w14:ligatures w14:val="none"/>
        </w:rPr>
        <w:t>, 38(4), pp. 795-802.</w:t>
      </w:r>
      <w:r w:rsidRPr="00DA0285">
        <w:rPr>
          <w:rFonts w:ascii="Arial" w:eastAsia="Times New Roman" w:hAnsi="Arial" w:cs="Arial"/>
          <w:kern w:val="0"/>
          <w:sz w:val="36"/>
          <w:szCs w:val="36"/>
          <w14:ligatures w14:val="none"/>
        </w:rPr>
        <w:br/>
        <w:t xml:space="preserve">​Sattar, N. and Gill, J.M. (2015) 'Type 2 diabetes in migrant South Asians: mechanisms, mitigation, and management', </w:t>
      </w:r>
      <w:r w:rsidRPr="00DA0285">
        <w:rPr>
          <w:rFonts w:ascii="Arial" w:eastAsia="Times New Roman" w:hAnsi="Arial" w:cs="Arial"/>
          <w:i/>
          <w:iCs/>
          <w:kern w:val="0"/>
          <w:sz w:val="36"/>
          <w:szCs w:val="36"/>
          <w14:ligatures w14:val="none"/>
        </w:rPr>
        <w:t>The Lancet Diabetes &amp; Endocrinology</w:t>
      </w:r>
      <w:r w:rsidRPr="00DA0285">
        <w:rPr>
          <w:rFonts w:ascii="Arial" w:eastAsia="Times New Roman" w:hAnsi="Arial" w:cs="Arial"/>
          <w:kern w:val="0"/>
          <w:sz w:val="36"/>
          <w:szCs w:val="36"/>
          <w14:ligatures w14:val="none"/>
        </w:rPr>
        <w:t>, 3(12), pp. 1004-1016.</w:t>
      </w:r>
      <w:r w:rsidRPr="00DA0285">
        <w:rPr>
          <w:rFonts w:ascii="Arial" w:eastAsia="Times New Roman" w:hAnsi="Arial" w:cs="Arial"/>
          <w:kern w:val="0"/>
          <w:sz w:val="36"/>
          <w:szCs w:val="36"/>
          <w14:ligatures w14:val="none"/>
        </w:rPr>
        <w:br/>
        <w:t xml:space="preserve">​South, J., Kinsella, K. and Meah, A. (2015) </w:t>
      </w:r>
      <w:r w:rsidRPr="00DA0285">
        <w:rPr>
          <w:rFonts w:ascii="Arial" w:eastAsia="Times New Roman" w:hAnsi="Arial" w:cs="Arial"/>
          <w:i/>
          <w:iCs/>
          <w:kern w:val="0"/>
          <w:sz w:val="36"/>
          <w:szCs w:val="36"/>
          <w14:ligatures w14:val="none"/>
        </w:rPr>
        <w:t>Lay perspectives on lay health worker roles, boundaries and participation within community-based health promotion</w:t>
      </w:r>
      <w:r w:rsidRPr="00DA0285">
        <w:rPr>
          <w:rFonts w:ascii="Arial" w:eastAsia="Times New Roman" w:hAnsi="Arial" w:cs="Arial"/>
          <w:kern w:val="0"/>
          <w:sz w:val="36"/>
          <w:szCs w:val="36"/>
          <w14:ligatures w14:val="none"/>
        </w:rPr>
        <w:t>. London: Health Education England.</w:t>
      </w:r>
      <w:r w:rsidRPr="00DA0285">
        <w:rPr>
          <w:rFonts w:ascii="Arial" w:eastAsia="Times New Roman" w:hAnsi="Arial" w:cs="Arial"/>
          <w:kern w:val="0"/>
          <w:sz w:val="36"/>
          <w:szCs w:val="36"/>
          <w14:ligatures w14:val="none"/>
        </w:rPr>
        <w:br/>
        <w:t xml:space="preserve">​Stratton, I.M., Adler, A.I., Neil, H.A.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(2000) 'Association of glycaemia with macrovascular and microvascular complications of type 2 diabetes (UKPDS 35): prospective observational study', </w:t>
      </w:r>
      <w:r w:rsidRPr="00DA0285">
        <w:rPr>
          <w:rFonts w:ascii="Arial" w:eastAsia="Times New Roman" w:hAnsi="Arial" w:cs="Arial"/>
          <w:i/>
          <w:iCs/>
          <w:kern w:val="0"/>
          <w:sz w:val="36"/>
          <w:szCs w:val="36"/>
          <w14:ligatures w14:val="none"/>
        </w:rPr>
        <w:t>BMJ</w:t>
      </w:r>
      <w:r w:rsidRPr="00DA0285">
        <w:rPr>
          <w:rFonts w:ascii="Arial" w:eastAsia="Times New Roman" w:hAnsi="Arial" w:cs="Arial"/>
          <w:kern w:val="0"/>
          <w:sz w:val="36"/>
          <w:szCs w:val="36"/>
          <w14:ligatures w14:val="none"/>
        </w:rPr>
        <w:t>, 321(7258), pp. 405-412.</w:t>
      </w:r>
      <w:r w:rsidRPr="00DA0285">
        <w:rPr>
          <w:rFonts w:ascii="Arial" w:eastAsia="Times New Roman" w:hAnsi="Arial" w:cs="Arial"/>
          <w:kern w:val="0"/>
          <w:sz w:val="36"/>
          <w:szCs w:val="36"/>
          <w14:ligatures w14:val="none"/>
        </w:rPr>
        <w:br/>
        <w:t xml:space="preserve">​Tillin, T., Hughes, A.D., Mayet, J. </w:t>
      </w:r>
      <w:r w:rsidRPr="00DA0285">
        <w:rPr>
          <w:rFonts w:ascii="Arial" w:eastAsia="Times New Roman" w:hAnsi="Arial" w:cs="Arial"/>
          <w:i/>
          <w:iCs/>
          <w:kern w:val="0"/>
          <w:sz w:val="36"/>
          <w:szCs w:val="36"/>
          <w14:ligatures w14:val="none"/>
        </w:rPr>
        <w:t>et al.</w:t>
      </w:r>
      <w:r w:rsidRPr="00DA0285">
        <w:rPr>
          <w:rFonts w:ascii="Arial" w:eastAsia="Times New Roman" w:hAnsi="Arial" w:cs="Arial"/>
          <w:kern w:val="0"/>
          <w:sz w:val="36"/>
          <w:szCs w:val="36"/>
          <w14:ligatures w14:val="none"/>
        </w:rPr>
        <w:t xml:space="preserve"> (2013) 'The relationship between metabolic risk factors and incident cardiovascular disease in Europeans, South Asians, and African Caribbeans: SABRE (Southall and Brent Revisited)', </w:t>
      </w:r>
      <w:r w:rsidRPr="00DA0285">
        <w:rPr>
          <w:rFonts w:ascii="Arial" w:eastAsia="Times New Roman" w:hAnsi="Arial" w:cs="Arial"/>
          <w:i/>
          <w:iCs/>
          <w:kern w:val="0"/>
          <w:sz w:val="36"/>
          <w:szCs w:val="36"/>
          <w14:ligatures w14:val="none"/>
        </w:rPr>
        <w:t>Journal of the American College of Cardiology</w:t>
      </w:r>
      <w:r w:rsidRPr="00DA0285">
        <w:rPr>
          <w:rFonts w:ascii="Arial" w:eastAsia="Times New Roman" w:hAnsi="Arial" w:cs="Arial"/>
          <w:kern w:val="0"/>
          <w:sz w:val="36"/>
          <w:szCs w:val="36"/>
          <w14:ligatures w14:val="none"/>
        </w:rPr>
        <w:t>, 61(17), pp. 1777-1786.</w:t>
      </w:r>
      <w:r w:rsidRPr="00DA0285">
        <w:rPr>
          <w:rFonts w:ascii="Arial" w:eastAsia="Times New Roman" w:hAnsi="Arial" w:cs="Arial"/>
          <w:kern w:val="0"/>
          <w:sz w:val="36"/>
          <w:szCs w:val="36"/>
          <w14:ligatures w14:val="none"/>
        </w:rPr>
        <w:br/>
        <w:t xml:space="preserve">​World Health Organization (2021) </w:t>
      </w:r>
      <w:r w:rsidRPr="00DA0285">
        <w:rPr>
          <w:rFonts w:ascii="Arial" w:eastAsia="Times New Roman" w:hAnsi="Arial" w:cs="Arial"/>
          <w:i/>
          <w:iCs/>
          <w:kern w:val="0"/>
          <w:sz w:val="36"/>
          <w:szCs w:val="36"/>
          <w14:ligatures w14:val="none"/>
        </w:rPr>
        <w:t>Diabetes fact sheet</w:t>
      </w:r>
      <w:r w:rsidRPr="00DA0285">
        <w:rPr>
          <w:rFonts w:ascii="Arial" w:eastAsia="Times New Roman" w:hAnsi="Arial" w:cs="Arial"/>
          <w:kern w:val="0"/>
          <w:sz w:val="36"/>
          <w:szCs w:val="36"/>
          <w14:ligatures w14:val="none"/>
        </w:rPr>
        <w:t>. Geneva: WHO.</w:t>
      </w:r>
      <w:r w:rsidRPr="00DA0285">
        <w:rPr>
          <w:rFonts w:ascii="Arial" w:eastAsia="Times New Roman" w:hAnsi="Arial" w:cs="Arial"/>
          <w:kern w:val="0"/>
          <w:sz w:val="36"/>
          <w:szCs w:val="36"/>
          <w14:ligatures w14:val="none"/>
        </w:rPr>
        <w:br/>
      </w:r>
    </w:p>
    <w:p w14:paraId="1C192D6F" w14:textId="77777777" w:rsidR="00870478" w:rsidRPr="008E749B" w:rsidRDefault="00870478" w:rsidP="00B42CCE">
      <w:pPr>
        <w:spacing w:line="360" w:lineRule="auto"/>
        <w:rPr>
          <w:rFonts w:ascii="Arial" w:hAnsi="Arial" w:cs="Arial"/>
          <w:sz w:val="36"/>
          <w:szCs w:val="36"/>
        </w:rPr>
      </w:pPr>
    </w:p>
    <w:sectPr w:rsidR="00870478" w:rsidRPr="008E749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478"/>
    <w:rsid w:val="00016055"/>
    <w:rsid w:val="0006256F"/>
    <w:rsid w:val="00175A3D"/>
    <w:rsid w:val="001D489E"/>
    <w:rsid w:val="00323DEB"/>
    <w:rsid w:val="00344950"/>
    <w:rsid w:val="003B1269"/>
    <w:rsid w:val="004608B4"/>
    <w:rsid w:val="00485ADD"/>
    <w:rsid w:val="004C7502"/>
    <w:rsid w:val="004E033D"/>
    <w:rsid w:val="006750E1"/>
    <w:rsid w:val="00716FA5"/>
    <w:rsid w:val="00870478"/>
    <w:rsid w:val="008A72E1"/>
    <w:rsid w:val="008E749B"/>
    <w:rsid w:val="00960772"/>
    <w:rsid w:val="00961437"/>
    <w:rsid w:val="009B4356"/>
    <w:rsid w:val="009E0EDC"/>
    <w:rsid w:val="00A741DD"/>
    <w:rsid w:val="00B42CCE"/>
    <w:rsid w:val="00B953E8"/>
    <w:rsid w:val="00C527B1"/>
    <w:rsid w:val="00C7087D"/>
    <w:rsid w:val="00CB236C"/>
    <w:rsid w:val="00DA0285"/>
    <w:rsid w:val="00E304F5"/>
    <w:rsid w:val="00F032DD"/>
    <w:rsid w:val="00FB4737"/>
    <w:rsid w:val="00FB754F"/>
    <w:rsid w:val="00FD5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D97F47"/>
  <w15:chartTrackingRefBased/>
  <w15:docId w15:val="{7C9FD8EC-5445-5D4D-9506-6F154FD1F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4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04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4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4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4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4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4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4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4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4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04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4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4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4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4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4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4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478"/>
    <w:rPr>
      <w:rFonts w:eastAsiaTheme="majorEastAsia" w:cstheme="majorBidi"/>
      <w:color w:val="272727" w:themeColor="text1" w:themeTint="D8"/>
    </w:rPr>
  </w:style>
  <w:style w:type="paragraph" w:styleId="Title">
    <w:name w:val="Title"/>
    <w:basedOn w:val="Normal"/>
    <w:next w:val="Normal"/>
    <w:link w:val="TitleChar"/>
    <w:uiPriority w:val="10"/>
    <w:qFormat/>
    <w:rsid w:val="008704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4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4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4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478"/>
    <w:pPr>
      <w:spacing w:before="160"/>
      <w:jc w:val="center"/>
    </w:pPr>
    <w:rPr>
      <w:i/>
      <w:iCs/>
      <w:color w:val="404040" w:themeColor="text1" w:themeTint="BF"/>
    </w:rPr>
  </w:style>
  <w:style w:type="character" w:customStyle="1" w:styleId="QuoteChar">
    <w:name w:val="Quote Char"/>
    <w:basedOn w:val="DefaultParagraphFont"/>
    <w:link w:val="Quote"/>
    <w:uiPriority w:val="29"/>
    <w:rsid w:val="00870478"/>
    <w:rPr>
      <w:i/>
      <w:iCs/>
      <w:color w:val="404040" w:themeColor="text1" w:themeTint="BF"/>
    </w:rPr>
  </w:style>
  <w:style w:type="paragraph" w:styleId="ListParagraph">
    <w:name w:val="List Paragraph"/>
    <w:basedOn w:val="Normal"/>
    <w:uiPriority w:val="34"/>
    <w:qFormat/>
    <w:rsid w:val="00870478"/>
    <w:pPr>
      <w:ind w:left="720"/>
      <w:contextualSpacing/>
    </w:pPr>
  </w:style>
  <w:style w:type="character" w:styleId="IntenseEmphasis">
    <w:name w:val="Intense Emphasis"/>
    <w:basedOn w:val="DefaultParagraphFont"/>
    <w:uiPriority w:val="21"/>
    <w:qFormat/>
    <w:rsid w:val="00870478"/>
    <w:rPr>
      <w:i/>
      <w:iCs/>
      <w:color w:val="0F4761" w:themeColor="accent1" w:themeShade="BF"/>
    </w:rPr>
  </w:style>
  <w:style w:type="paragraph" w:styleId="IntenseQuote">
    <w:name w:val="Intense Quote"/>
    <w:basedOn w:val="Normal"/>
    <w:next w:val="Normal"/>
    <w:link w:val="IntenseQuoteChar"/>
    <w:uiPriority w:val="30"/>
    <w:qFormat/>
    <w:rsid w:val="008704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478"/>
    <w:rPr>
      <w:i/>
      <w:iCs/>
      <w:color w:val="0F4761" w:themeColor="accent1" w:themeShade="BF"/>
    </w:rPr>
  </w:style>
  <w:style w:type="character" w:styleId="IntenseReference">
    <w:name w:val="Intense Reference"/>
    <w:basedOn w:val="DefaultParagraphFont"/>
    <w:uiPriority w:val="32"/>
    <w:qFormat/>
    <w:rsid w:val="00870478"/>
    <w:rPr>
      <w:b/>
      <w:bCs/>
      <w:smallCaps/>
      <w:color w:val="0F4761" w:themeColor="accent1" w:themeShade="BF"/>
      <w:spacing w:val="5"/>
    </w:rPr>
  </w:style>
  <w:style w:type="character" w:styleId="Hyperlink">
    <w:name w:val="Hyperlink"/>
    <w:basedOn w:val="DefaultParagraphFont"/>
    <w:uiPriority w:val="99"/>
    <w:unhideWhenUsed/>
    <w:rsid w:val="00870478"/>
    <w:rPr>
      <w:color w:val="467886" w:themeColor="hyperlink"/>
      <w:u w:val="single"/>
    </w:rPr>
  </w:style>
  <w:style w:type="character" w:styleId="UnresolvedMention">
    <w:name w:val="Unresolved Mention"/>
    <w:basedOn w:val="DefaultParagraphFont"/>
    <w:uiPriority w:val="99"/>
    <w:semiHidden/>
    <w:unhideWhenUsed/>
    <w:rsid w:val="00870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3631</Words>
  <Characters>20701</Characters>
  <Application>Microsoft Office Word</Application>
  <DocSecurity>0</DocSecurity>
  <Lines>172</Lines>
  <Paragraphs>48</Paragraphs>
  <ScaleCrop>false</ScaleCrop>
  <Company/>
  <LinksUpToDate>false</LinksUpToDate>
  <CharactersWithSpaces>24284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MR</dc:creator>
  <cp:keywords/>
  <dc:description/>
  <cp:lastModifiedBy>- MR</cp:lastModifiedBy>
  <cp:revision>2</cp:revision>
  <dcterms:created xsi:type="dcterms:W3CDTF">2026-10-18T22:13:00Z</dcterms:created>
  <dcterms:modified xsi:type="dcterms:W3CDTF">2026-10-18T22:13:00Z</dcterms:modified>
</cp:coreProperties>
</file>