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0549A" w14:textId="77777777" w:rsidR="00A74CE6" w:rsidRDefault="00A74CE6" w:rsidP="00A74CE6">
      <w:pPr>
        <w:pStyle w:val="NormalWeb"/>
        <w:spacing w:before="0" w:beforeAutospacing="0" w:after="0" w:afterAutospacing="0" w:line="276" w:lineRule="auto"/>
        <w:ind w:left="-180" w:right="-334"/>
      </w:pPr>
      <w:r>
        <w:rPr>
          <w:noProof/>
          <w:lang w:eastAsia="en-GB"/>
        </w:rPr>
        <w:drawing>
          <wp:inline distT="0" distB="0" distL="0" distR="0" wp14:anchorId="1BDC143C" wp14:editId="6501059B">
            <wp:extent cx="1906270" cy="638175"/>
            <wp:effectExtent l="19050" t="19050" r="17780" b="28575"/>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6270" cy="638175"/>
                    </a:xfrm>
                    <a:prstGeom prst="rect">
                      <a:avLst/>
                    </a:prstGeom>
                    <a:noFill/>
                    <a:ln w="19050" cmpd="sng">
                      <a:solidFill>
                        <a:srgbClr val="000000"/>
                      </a:solidFill>
                      <a:miter lim="800000"/>
                      <a:headEnd/>
                      <a:tailEnd/>
                    </a:ln>
                    <a:effectLst/>
                  </pic:spPr>
                </pic:pic>
              </a:graphicData>
            </a:graphic>
          </wp:inline>
        </w:drawing>
      </w:r>
    </w:p>
    <w:p w14:paraId="2F0A6220" w14:textId="77777777" w:rsidR="00A74CE6" w:rsidRDefault="00A74CE6" w:rsidP="00A74CE6">
      <w:pPr>
        <w:pStyle w:val="NormalWeb"/>
        <w:spacing w:before="0" w:beforeAutospacing="0" w:after="0" w:afterAutospacing="0" w:line="276" w:lineRule="auto"/>
        <w:ind w:left="-180" w:right="-334"/>
      </w:pPr>
    </w:p>
    <w:p w14:paraId="3C6338B9" w14:textId="77777777" w:rsidR="00A74CE6" w:rsidRDefault="00A74CE6" w:rsidP="00A74CE6">
      <w:pPr>
        <w:pStyle w:val="NormalWeb"/>
        <w:spacing w:before="0" w:beforeAutospacing="0" w:after="0" w:afterAutospacing="0" w:line="276" w:lineRule="auto"/>
        <w:ind w:left="-180" w:right="-334"/>
      </w:pPr>
    </w:p>
    <w:p w14:paraId="4583D58B" w14:textId="77777777" w:rsidR="00A74CE6" w:rsidRDefault="00A74CE6" w:rsidP="00A74CE6">
      <w:pPr>
        <w:pStyle w:val="NormalWeb"/>
        <w:spacing w:before="0" w:beforeAutospacing="0" w:after="0" w:afterAutospacing="0" w:line="276" w:lineRule="auto"/>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6DA40225" w14:textId="77777777" w:rsidR="00A74CE6" w:rsidRPr="00230F35" w:rsidRDefault="00A74CE6" w:rsidP="00A74CE6">
      <w:pPr>
        <w:pStyle w:val="NormalWeb"/>
        <w:spacing w:before="0" w:beforeAutospacing="0" w:after="0" w:afterAutospacing="0" w:line="276" w:lineRule="auto"/>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47F33EAD" w14:textId="77777777" w:rsidR="00A74CE6" w:rsidRPr="00230F35" w:rsidRDefault="00A74CE6" w:rsidP="00A74CE6">
      <w:pPr>
        <w:spacing w:line="276" w:lineRule="auto"/>
        <w:rPr>
          <w:rFonts w:ascii="Arial" w:hAnsi="Arial" w:cs="Arial"/>
          <w:sz w:val="28"/>
          <w:szCs w:val="28"/>
          <w:lang w:val="cy-GB"/>
        </w:rPr>
      </w:pPr>
    </w:p>
    <w:p w14:paraId="59B848CA" w14:textId="77777777" w:rsidR="00A74CE6" w:rsidRDefault="00A74CE6" w:rsidP="00A74CE6">
      <w:pPr>
        <w:pStyle w:val="Heading3"/>
        <w:spacing w:line="276" w:lineRule="auto"/>
        <w:jc w:val="center"/>
        <w:rPr>
          <w:lang w:val="cy-GB"/>
        </w:rPr>
      </w:pPr>
      <w:r>
        <w:rPr>
          <w:lang w:val="cy-GB"/>
        </w:rPr>
        <w:t>THIS SHEET MUST BE THE FIRST PAGE OF THE ASSIGNMENT YOU ARE SUBMITTING  (DO NOT SEND AS A SEPARATE FILE)</w:t>
      </w:r>
    </w:p>
    <w:p w14:paraId="0DCD5456" w14:textId="77777777" w:rsidR="00A74CE6" w:rsidRDefault="00A74CE6" w:rsidP="00A74CE6">
      <w:pPr>
        <w:pStyle w:val="Heading3"/>
        <w:spacing w:line="276" w:lineRule="auto"/>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74CE6" w:rsidRPr="00230F35" w14:paraId="5C3FF07E" w14:textId="77777777" w:rsidTr="00184510">
        <w:trPr>
          <w:trHeight w:val="614"/>
        </w:trPr>
        <w:tc>
          <w:tcPr>
            <w:tcW w:w="8856" w:type="dxa"/>
            <w:gridSpan w:val="5"/>
          </w:tcPr>
          <w:p w14:paraId="192930C0"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74CE6" w:rsidRPr="00230F35" w14:paraId="5E89A7D7" w14:textId="77777777" w:rsidTr="00184510">
        <w:trPr>
          <w:trHeight w:val="718"/>
        </w:trPr>
        <w:tc>
          <w:tcPr>
            <w:tcW w:w="8856" w:type="dxa"/>
            <w:gridSpan w:val="5"/>
          </w:tcPr>
          <w:p w14:paraId="1BF9FB33" w14:textId="77777777" w:rsidR="00A74CE6"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Olivia Hough</w:t>
            </w:r>
          </w:p>
          <w:p w14:paraId="60269CCE"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p>
          <w:p w14:paraId="445A7D67"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hyperlink r:id="rId9" w:history="1">
              <w:r w:rsidRPr="00985CA1">
                <w:rPr>
                  <w:rStyle w:val="Hyperlink"/>
                  <w:rFonts w:ascii="Arial" w:hAnsi="Arial" w:cs="Arial"/>
                  <w:sz w:val="22"/>
                  <w:szCs w:val="22"/>
                  <w:lang w:val="en-US"/>
                </w:rPr>
                <w:t>2329150@student.uwtsd.ac.uk</w:t>
              </w:r>
            </w:hyperlink>
          </w:p>
        </w:tc>
      </w:tr>
      <w:tr w:rsidR="00A74CE6" w:rsidRPr="00230F35" w14:paraId="4D8CCA09" w14:textId="77777777" w:rsidTr="00184510">
        <w:trPr>
          <w:trHeight w:val="849"/>
        </w:trPr>
        <w:tc>
          <w:tcPr>
            <w:tcW w:w="4788" w:type="dxa"/>
          </w:tcPr>
          <w:p w14:paraId="61F8D19F" w14:textId="77777777" w:rsidR="00A74CE6"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HPCA7014 </w:t>
            </w:r>
          </w:p>
          <w:p w14:paraId="218EBDE5"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p>
          <w:p w14:paraId="7C17BAB4" w14:textId="77777777" w:rsidR="00A74CE6"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Sacred Geography</w:t>
            </w:r>
          </w:p>
          <w:p w14:paraId="3562744B"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p>
        </w:tc>
        <w:tc>
          <w:tcPr>
            <w:tcW w:w="2266" w:type="dxa"/>
            <w:gridSpan w:val="3"/>
          </w:tcPr>
          <w:p w14:paraId="1D14201D"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Student ID number:</w:t>
            </w:r>
            <w:r>
              <w:rPr>
                <w:rFonts w:ascii="Arial" w:hAnsi="Arial" w:cs="Arial"/>
                <w:sz w:val="22"/>
                <w:szCs w:val="22"/>
              </w:rPr>
              <w:t xml:space="preserve"> </w:t>
            </w:r>
            <w:r w:rsidRPr="00985CA1">
              <w:rPr>
                <w:rFonts w:ascii="Arial" w:hAnsi="Arial" w:cs="Arial"/>
                <w:sz w:val="22"/>
                <w:szCs w:val="22"/>
              </w:rPr>
              <w:t>2329150</w:t>
            </w:r>
          </w:p>
        </w:tc>
        <w:tc>
          <w:tcPr>
            <w:tcW w:w="1802" w:type="dxa"/>
          </w:tcPr>
          <w:p w14:paraId="2820BB39"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Educational support needs:</w:t>
            </w:r>
          </w:p>
          <w:p w14:paraId="0ABB4683"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p>
        </w:tc>
      </w:tr>
      <w:tr w:rsidR="00A74CE6" w:rsidRPr="00230F35" w14:paraId="7DC9A3E4" w14:textId="77777777" w:rsidTr="00184510">
        <w:trPr>
          <w:trHeight w:val="1139"/>
        </w:trPr>
        <w:tc>
          <w:tcPr>
            <w:tcW w:w="8856" w:type="dxa"/>
            <w:gridSpan w:val="5"/>
          </w:tcPr>
          <w:p w14:paraId="2D2F88D2"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title:</w:t>
            </w:r>
            <w:r>
              <w:rPr>
                <w:rFonts w:ascii="Arial" w:hAnsi="Arial" w:cs="Arial"/>
                <w:sz w:val="22"/>
                <w:szCs w:val="22"/>
              </w:rPr>
              <w:t xml:space="preserve"> Assignment 2: Research Project</w:t>
            </w:r>
          </w:p>
          <w:p w14:paraId="13A0BA0E" w14:textId="77777777" w:rsidR="00A74CE6" w:rsidRDefault="00A74CE6" w:rsidP="00184510">
            <w:pPr>
              <w:pStyle w:val="NormalWeb"/>
              <w:spacing w:before="0" w:beforeAutospacing="0" w:after="0" w:afterAutospacing="0" w:line="276" w:lineRule="auto"/>
              <w:ind w:right="34"/>
              <w:rPr>
                <w:rFonts w:ascii="Arial" w:hAnsi="Arial" w:cs="Arial"/>
                <w:sz w:val="22"/>
                <w:szCs w:val="22"/>
              </w:rPr>
            </w:pPr>
          </w:p>
          <w:p w14:paraId="180E75CB"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5/1/2026</w:t>
            </w:r>
          </w:p>
        </w:tc>
      </w:tr>
      <w:tr w:rsidR="00A74CE6" w:rsidRPr="00230F35" w14:paraId="376EB359" w14:textId="77777777" w:rsidTr="00184510">
        <w:trPr>
          <w:trHeight w:val="978"/>
        </w:trPr>
        <w:tc>
          <w:tcPr>
            <w:tcW w:w="8856" w:type="dxa"/>
            <w:gridSpan w:val="5"/>
            <w:tcBorders>
              <w:bottom w:val="single" w:sz="4" w:space="0" w:color="000000"/>
            </w:tcBorders>
          </w:tcPr>
          <w:p w14:paraId="3BA1560B" w14:textId="77777777" w:rsidR="00A74CE6" w:rsidRPr="00230F35" w:rsidRDefault="00A74CE6" w:rsidP="00184510">
            <w:pPr>
              <w:spacing w:line="276" w:lineRule="auto"/>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Pr>
                <w:rFonts w:ascii="Arial" w:hAnsi="Arial" w:cs="Arial"/>
                <w:vertAlign w:val="superscript"/>
              </w:rPr>
              <w:t xml:space="preserve"> </w:t>
            </w:r>
            <w:r w:rsidRPr="00230F35">
              <w:rPr>
                <w:rFonts w:ascii="Arial" w:hAnsi="Arial" w:cs="Arial"/>
              </w:rPr>
              <w:fldChar w:fldCharType="begin">
                <w:ffData>
                  <w:name w:val="Check14"/>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0" w:name="Check15"/>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Pr>
                <w:rFonts w:ascii="Arial" w:hAnsi="Arial" w:cs="Arial"/>
              </w:rPr>
              <w:fldChar w:fldCharType="begin">
                <w:ffData>
                  <w:name w:val="Check16"/>
                  <w:enabled/>
                  <w:calcOnExit w:val="0"/>
                  <w:checkBox>
                    <w:sizeAuto/>
                    <w:default w:val="1"/>
                  </w:checkBox>
                </w:ffData>
              </w:fldChar>
            </w:r>
            <w:bookmarkStart w:id="1" w:name="Check16"/>
            <w:r>
              <w:rPr>
                <w:rFonts w:ascii="Arial" w:hAnsi="Arial" w:cs="Arial"/>
              </w:rPr>
              <w:instrText xml:space="preserve"> FORMCHECKBOX </w:instrText>
            </w:r>
            <w:r>
              <w:rPr>
                <w:rFonts w:ascii="Arial" w:hAnsi="Arial" w:cs="Arial"/>
              </w:rPr>
            </w:r>
            <w:r>
              <w:rPr>
                <w:rFonts w:ascii="Arial" w:hAnsi="Arial" w:cs="Arial"/>
              </w:rPr>
              <w:fldChar w:fldCharType="end"/>
            </w:r>
            <w:bookmarkEnd w:id="1"/>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2" w:name="Check17"/>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3" w:name="Check18"/>
            <w:r w:rsidRPr="00230F35">
              <w:rPr>
                <w:rFonts w:ascii="Arial" w:hAnsi="Arial" w:cs="Arial"/>
              </w:rPr>
              <w:instrText xml:space="preserve"> FORMCHECKBOX </w:instrText>
            </w:r>
            <w:r w:rsidRPr="00230F35">
              <w:rPr>
                <w:rFonts w:ascii="Arial" w:hAnsi="Arial" w:cs="Arial"/>
              </w:rPr>
            </w:r>
            <w:r w:rsidRPr="00230F35">
              <w:rPr>
                <w:rFonts w:ascii="Arial" w:hAnsi="Arial" w:cs="Arial"/>
              </w:rPr>
              <w:fldChar w:fldCharType="separate"/>
            </w:r>
            <w:r w:rsidRPr="00230F35">
              <w:rPr>
                <w:rFonts w:ascii="Arial" w:hAnsi="Arial" w:cs="Arial"/>
              </w:rPr>
              <w:fldChar w:fldCharType="end"/>
            </w:r>
            <w:bookmarkEnd w:id="3"/>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74CE6" w:rsidRPr="00230F35" w14:paraId="02BA6994" w14:textId="77777777" w:rsidTr="00184510">
        <w:trPr>
          <w:trHeight w:val="978"/>
        </w:trPr>
        <w:tc>
          <w:tcPr>
            <w:tcW w:w="8856" w:type="dxa"/>
            <w:gridSpan w:val="5"/>
            <w:shd w:val="clear" w:color="auto" w:fill="D9D9D9"/>
          </w:tcPr>
          <w:p w14:paraId="2CE31E85"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r w:rsidRPr="00B728EA">
              <w:rPr>
                <w:rFonts w:ascii="Arial" w:hAnsi="Arial" w:cs="Arial"/>
                <w:sz w:val="22"/>
                <w:szCs w:val="22"/>
              </w:rPr>
              <w:t>Plagiarism declaration</w:t>
            </w:r>
          </w:p>
          <w:p w14:paraId="2016AF35"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r w:rsidRPr="00B728EA">
              <w:rPr>
                <w:rFonts w:ascii="Arial" w:hAnsi="Arial" w:cs="Arial"/>
                <w:sz w:val="22"/>
                <w:szCs w:val="22"/>
              </w:rPr>
              <w:t>I confirm that this is my original work and that I have adhered to the University policy on plagiarism.</w:t>
            </w:r>
          </w:p>
          <w:p w14:paraId="214C4465"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p>
          <w:p w14:paraId="05E89CC1"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r w:rsidRPr="00B728EA">
              <w:rPr>
                <w:rFonts w:ascii="Arial" w:hAnsi="Arial" w:cs="Arial"/>
                <w:sz w:val="22"/>
                <w:szCs w:val="22"/>
              </w:rPr>
              <w:t>Artificial Intelligence (AI) declaration</w:t>
            </w:r>
          </w:p>
          <w:p w14:paraId="47D24538" w14:textId="77777777" w:rsidR="00A74CE6" w:rsidRPr="00B728EA" w:rsidRDefault="00A74CE6" w:rsidP="00184510">
            <w:pPr>
              <w:pStyle w:val="NormalWeb"/>
              <w:spacing w:before="0" w:beforeAutospacing="0" w:after="0" w:afterAutospacing="0" w:line="276" w:lineRule="auto"/>
              <w:ind w:right="34"/>
              <w:rPr>
                <w:rFonts w:ascii="Arial" w:hAnsi="Arial" w:cs="Arial"/>
                <w:color w:val="000000" w:themeColor="text1"/>
                <w:sz w:val="22"/>
                <w:szCs w:val="22"/>
              </w:rPr>
            </w:pPr>
            <w:r w:rsidRPr="00B728EA">
              <w:rPr>
                <w:rFonts w:ascii="Arial" w:hAnsi="Arial" w:cs="Arial"/>
                <w:sz w:val="22"/>
                <w:szCs w:val="22"/>
              </w:rPr>
              <w:t xml:space="preserve">For this assessment, you can use Generative AI to check your own text/creation for grammatical and syntactical mistakes, </w:t>
            </w:r>
            <w:r w:rsidRPr="00B728EA">
              <w:rPr>
                <w:rFonts w:ascii="Arial" w:hAnsi="Arial" w:cs="Arial"/>
                <w:color w:val="000000" w:themeColor="text1"/>
                <w:sz w:val="22"/>
                <w:szCs w:val="22"/>
              </w:rPr>
              <w:t xml:space="preserve">including rephrasing of your own work within specific </w:t>
            </w:r>
            <w:proofErr w:type="gramStart"/>
            <w:r w:rsidRPr="00B728EA">
              <w:rPr>
                <w:rFonts w:ascii="Arial" w:hAnsi="Arial" w:cs="Arial"/>
                <w:color w:val="000000" w:themeColor="text1"/>
                <w:sz w:val="22"/>
                <w:szCs w:val="22"/>
              </w:rPr>
              <w:t>standards.*</w:t>
            </w:r>
            <w:proofErr w:type="gramEnd"/>
          </w:p>
          <w:p w14:paraId="68B65C85" w14:textId="77777777" w:rsidR="00A74CE6" w:rsidRPr="00B728EA" w:rsidRDefault="00A74CE6" w:rsidP="00184510">
            <w:pPr>
              <w:pStyle w:val="NormalWeb"/>
              <w:spacing w:before="0" w:beforeAutospacing="0" w:after="0" w:afterAutospacing="0" w:line="276" w:lineRule="auto"/>
              <w:ind w:right="34"/>
              <w:rPr>
                <w:rFonts w:ascii="Arial" w:hAnsi="Arial" w:cs="Arial"/>
                <w:color w:val="000000" w:themeColor="text1"/>
                <w:sz w:val="22"/>
                <w:szCs w:val="22"/>
              </w:rPr>
            </w:pPr>
          </w:p>
          <w:p w14:paraId="370838BA" w14:textId="77777777" w:rsidR="00A74CE6" w:rsidRPr="00B728EA" w:rsidRDefault="00A74CE6" w:rsidP="00184510">
            <w:pPr>
              <w:pStyle w:val="NormalWeb"/>
              <w:spacing w:before="0" w:beforeAutospacing="0" w:after="0" w:afterAutospacing="0" w:line="276" w:lineRule="auto"/>
              <w:ind w:right="34"/>
              <w:rPr>
                <w:rFonts w:ascii="Times New Roman" w:hAnsi="Times New Roman"/>
                <w:color w:val="000000" w:themeColor="text1"/>
                <w:sz w:val="22"/>
                <w:szCs w:val="22"/>
              </w:rPr>
            </w:pPr>
            <w:r w:rsidRPr="00B728EA">
              <w:rPr>
                <w:rFonts w:ascii="Times New Roman" w:hAnsi="Times New Roman"/>
                <w:color w:val="000000" w:themeColor="text1"/>
                <w:sz w:val="22"/>
                <w:szCs w:val="22"/>
              </w:rPr>
              <w:t>*See separate guidance in the MA Writing Guidelines</w:t>
            </w:r>
          </w:p>
          <w:p w14:paraId="51750C50"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p>
          <w:p w14:paraId="1266439D"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r w:rsidRPr="00B728EA">
              <w:rPr>
                <w:rFonts w:ascii="Arial" w:hAnsi="Arial" w:cs="Arial"/>
                <w:sz w:val="22"/>
                <w:szCs w:val="22"/>
              </w:rPr>
              <w:t xml:space="preserve">I confirm that I have not used any AI tools in the research and creation of this assignment, </w:t>
            </w:r>
            <w:r w:rsidRPr="00B728EA">
              <w:rPr>
                <w:rFonts w:ascii="Arial" w:hAnsi="Arial" w:cs="Arial"/>
                <w:color w:val="000000" w:themeColor="text1"/>
                <w:sz w:val="22"/>
                <w:szCs w:val="22"/>
              </w:rPr>
              <w:t>except as permitted above.</w:t>
            </w:r>
            <w:r w:rsidRPr="00B728EA">
              <w:rPr>
                <w:rFonts w:ascii="Arial" w:hAnsi="Arial" w:cs="Arial"/>
                <w:color w:val="EE0000"/>
                <w:sz w:val="22"/>
                <w:szCs w:val="22"/>
              </w:rPr>
              <w:t xml:space="preserve"> </w:t>
            </w:r>
            <w:r w:rsidRPr="00B728EA">
              <w:rPr>
                <w:rFonts w:ascii="Arial" w:hAnsi="Arial" w:cs="Arial"/>
                <w:sz w:val="22"/>
                <w:szCs w:val="22"/>
              </w:rPr>
              <w:t xml:space="preserve">I confirm that I have not presented any AI </w:t>
            </w:r>
            <w:r w:rsidRPr="00B728EA">
              <w:rPr>
                <w:rFonts w:ascii="Arial" w:hAnsi="Arial" w:cs="Arial"/>
                <w:sz w:val="22"/>
                <w:szCs w:val="22"/>
              </w:rPr>
              <w:lastRenderedPageBreak/>
              <w:t>generated materials as my own work. I confirm I have copies of my drafts, notes, and other resources I used, which I may be asked to provide in evidence.</w:t>
            </w:r>
          </w:p>
          <w:p w14:paraId="783C9CBF" w14:textId="77777777" w:rsidR="00A74CE6" w:rsidRPr="00B728EA" w:rsidRDefault="00A74CE6" w:rsidP="00184510">
            <w:pPr>
              <w:pStyle w:val="NormalWeb"/>
              <w:spacing w:before="0" w:beforeAutospacing="0" w:after="0" w:afterAutospacing="0" w:line="276" w:lineRule="auto"/>
              <w:ind w:right="34"/>
              <w:rPr>
                <w:rFonts w:ascii="Arial" w:hAnsi="Arial" w:cs="Arial"/>
                <w:sz w:val="22"/>
                <w:szCs w:val="22"/>
              </w:rPr>
            </w:pPr>
          </w:p>
          <w:p w14:paraId="48564CDD" w14:textId="77777777" w:rsidR="00A74CE6" w:rsidRDefault="00A74CE6" w:rsidP="00184510">
            <w:pPr>
              <w:pStyle w:val="NormalWeb"/>
              <w:spacing w:before="0" w:beforeAutospacing="0" w:after="0" w:afterAutospacing="0" w:line="276" w:lineRule="auto"/>
              <w:ind w:right="34"/>
              <w:rPr>
                <w:rFonts w:ascii="Arial" w:hAnsi="Arial" w:cs="Arial"/>
                <w:sz w:val="22"/>
                <w:szCs w:val="22"/>
              </w:rPr>
            </w:pPr>
            <w:r w:rsidRPr="00B728EA">
              <w:rPr>
                <w:rFonts w:ascii="Arial" w:hAnsi="Arial" w:cs="Arial"/>
                <w:sz w:val="22"/>
                <w:szCs w:val="22"/>
              </w:rPr>
              <w:t>Signed:</w:t>
            </w:r>
            <w:r>
              <w:rPr>
                <w:rFonts w:ascii="Arial" w:hAnsi="Arial" w:cs="Arial"/>
                <w:sz w:val="22"/>
                <w:szCs w:val="22"/>
              </w:rPr>
              <w:t xml:space="preserve"> Olivia Hough</w:t>
            </w:r>
          </w:p>
          <w:p w14:paraId="31CF8F54" w14:textId="77777777" w:rsidR="00A74CE6" w:rsidRPr="00230F35" w:rsidRDefault="00A74CE6" w:rsidP="00184510">
            <w:pPr>
              <w:pStyle w:val="NormalWeb"/>
              <w:spacing w:before="0" w:beforeAutospacing="0" w:after="0" w:afterAutospacing="0" w:line="276" w:lineRule="auto"/>
              <w:ind w:right="34"/>
              <w:rPr>
                <w:rFonts w:ascii="Arial" w:hAnsi="Arial" w:cs="Arial"/>
                <w:sz w:val="22"/>
                <w:szCs w:val="22"/>
              </w:rPr>
            </w:pPr>
          </w:p>
        </w:tc>
      </w:tr>
      <w:tr w:rsidR="00A74CE6" w:rsidRPr="00230F35" w14:paraId="5542837A" w14:textId="77777777" w:rsidTr="00184510">
        <w:trPr>
          <w:trHeight w:val="3972"/>
        </w:trPr>
        <w:tc>
          <w:tcPr>
            <w:tcW w:w="8856" w:type="dxa"/>
            <w:gridSpan w:val="5"/>
          </w:tcPr>
          <w:p w14:paraId="447100FF" w14:textId="77777777" w:rsidR="00A74CE6" w:rsidRDefault="00A74CE6" w:rsidP="00184510">
            <w:pPr>
              <w:spacing w:line="276" w:lineRule="auto"/>
              <w:rPr>
                <w:rFonts w:ascii="Arial" w:hAnsi="Arial"/>
                <w:b/>
              </w:rPr>
            </w:pPr>
          </w:p>
          <w:p w14:paraId="3E401340" w14:textId="77777777" w:rsidR="00A74CE6" w:rsidRPr="00116CE6" w:rsidRDefault="00A74CE6" w:rsidP="00184510">
            <w:pPr>
              <w:spacing w:line="276" w:lineRule="auto"/>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74CE6" w:rsidRPr="00116CE6" w14:paraId="5F462733" w14:textId="77777777" w:rsidTr="00184510">
              <w:tc>
                <w:tcPr>
                  <w:tcW w:w="6970" w:type="dxa"/>
                </w:tcPr>
                <w:p w14:paraId="3B2F5C36" w14:textId="77777777" w:rsidR="00A74CE6" w:rsidRPr="00116CE6" w:rsidRDefault="00A74CE6" w:rsidP="00184510">
                  <w:pPr>
                    <w:spacing w:line="276" w:lineRule="auto"/>
                    <w:rPr>
                      <w:rFonts w:ascii="Arial" w:hAnsi="Arial"/>
                      <w:sz w:val="20"/>
                      <w:szCs w:val="20"/>
                    </w:rPr>
                  </w:pPr>
                </w:p>
                <w:p w14:paraId="22F154EB" w14:textId="77777777" w:rsidR="00A74CE6" w:rsidRPr="00116CE6" w:rsidRDefault="00A74CE6" w:rsidP="00184510">
                  <w:pPr>
                    <w:spacing w:line="276" w:lineRule="auto"/>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F5371EC" w14:textId="77777777" w:rsidR="00A74CE6" w:rsidRPr="00116CE6" w:rsidRDefault="00A74CE6" w:rsidP="00184510">
                  <w:pPr>
                    <w:spacing w:line="276" w:lineRule="auto"/>
                    <w:rPr>
                      <w:rFonts w:ascii="Arial" w:hAnsi="Arial"/>
                      <w:sz w:val="20"/>
                      <w:szCs w:val="20"/>
                    </w:rPr>
                  </w:pPr>
                </w:p>
              </w:tc>
            </w:tr>
            <w:tr w:rsidR="00A74CE6" w:rsidRPr="00116CE6" w14:paraId="2BDFA711" w14:textId="77777777" w:rsidTr="00184510">
              <w:tc>
                <w:tcPr>
                  <w:tcW w:w="6970" w:type="dxa"/>
                </w:tcPr>
                <w:p w14:paraId="215ABFC6" w14:textId="77777777" w:rsidR="00A74CE6" w:rsidRPr="00116CE6" w:rsidRDefault="00A74CE6" w:rsidP="00184510">
                  <w:pPr>
                    <w:spacing w:line="276" w:lineRule="auto"/>
                    <w:rPr>
                      <w:rFonts w:ascii="Arial" w:hAnsi="Arial"/>
                      <w:sz w:val="20"/>
                      <w:szCs w:val="20"/>
                    </w:rPr>
                  </w:pPr>
                </w:p>
                <w:p w14:paraId="317BC627" w14:textId="77777777" w:rsidR="00A74CE6" w:rsidRPr="00116CE6" w:rsidRDefault="00A74CE6" w:rsidP="00184510">
                  <w:pPr>
                    <w:spacing w:line="276" w:lineRule="auto"/>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746D9AFC" w14:textId="77777777" w:rsidR="00A74CE6" w:rsidRPr="00116CE6" w:rsidRDefault="00A74CE6" w:rsidP="00184510">
                  <w:pPr>
                    <w:spacing w:line="276" w:lineRule="auto"/>
                    <w:rPr>
                      <w:rFonts w:ascii="Arial" w:hAnsi="Arial"/>
                      <w:sz w:val="20"/>
                      <w:szCs w:val="20"/>
                    </w:rPr>
                  </w:pPr>
                </w:p>
              </w:tc>
            </w:tr>
            <w:tr w:rsidR="00A74CE6" w:rsidRPr="00116CE6" w14:paraId="7C3F5C53" w14:textId="77777777" w:rsidTr="00184510">
              <w:tc>
                <w:tcPr>
                  <w:tcW w:w="6970" w:type="dxa"/>
                </w:tcPr>
                <w:p w14:paraId="3E18F1D8" w14:textId="77777777" w:rsidR="00A74CE6" w:rsidRPr="00116CE6" w:rsidRDefault="00A74CE6" w:rsidP="00184510">
                  <w:pPr>
                    <w:spacing w:line="276" w:lineRule="auto"/>
                    <w:rPr>
                      <w:rFonts w:ascii="Arial" w:hAnsi="Arial"/>
                      <w:sz w:val="20"/>
                      <w:szCs w:val="20"/>
                    </w:rPr>
                  </w:pPr>
                </w:p>
                <w:p w14:paraId="5E02CDEC" w14:textId="77777777" w:rsidR="00A74CE6" w:rsidRPr="00116CE6" w:rsidRDefault="00A74CE6" w:rsidP="00184510">
                  <w:pPr>
                    <w:spacing w:line="276" w:lineRule="auto"/>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2CA2CA80" w14:textId="77777777" w:rsidR="00A74CE6" w:rsidRPr="00116CE6" w:rsidRDefault="00A74CE6" w:rsidP="00184510">
                  <w:pPr>
                    <w:spacing w:line="276" w:lineRule="auto"/>
                    <w:rPr>
                      <w:rFonts w:ascii="Arial" w:hAnsi="Arial"/>
                      <w:sz w:val="20"/>
                      <w:szCs w:val="20"/>
                    </w:rPr>
                  </w:pPr>
                </w:p>
              </w:tc>
            </w:tr>
            <w:tr w:rsidR="00A74CE6" w:rsidRPr="00116CE6" w14:paraId="74E4BC3E" w14:textId="77777777" w:rsidTr="00184510">
              <w:tc>
                <w:tcPr>
                  <w:tcW w:w="6970" w:type="dxa"/>
                </w:tcPr>
                <w:p w14:paraId="25C5D577" w14:textId="77777777" w:rsidR="00A74CE6" w:rsidRDefault="00A74CE6" w:rsidP="00184510">
                  <w:pPr>
                    <w:spacing w:line="276" w:lineRule="auto"/>
                    <w:rPr>
                      <w:rFonts w:ascii="Arial" w:hAnsi="Arial"/>
                      <w:sz w:val="20"/>
                      <w:szCs w:val="20"/>
                    </w:rPr>
                  </w:pPr>
                </w:p>
                <w:p w14:paraId="319AECB4" w14:textId="77777777" w:rsidR="00A74CE6" w:rsidRPr="00022345" w:rsidRDefault="00A74CE6" w:rsidP="00184510">
                  <w:pPr>
                    <w:spacing w:line="276" w:lineRule="auto"/>
                    <w:rPr>
                      <w:rFonts w:ascii="Arial" w:hAnsi="Arial"/>
                      <w:b/>
                      <w:sz w:val="20"/>
                      <w:szCs w:val="20"/>
                    </w:rPr>
                  </w:pPr>
                  <w:r w:rsidRPr="00022345">
                    <w:rPr>
                      <w:rFonts w:ascii="Arial" w:hAnsi="Arial"/>
                      <w:b/>
                      <w:sz w:val="20"/>
                      <w:szCs w:val="20"/>
                    </w:rPr>
                    <w:t>Final Mark</w:t>
                  </w:r>
                </w:p>
                <w:p w14:paraId="1F779141" w14:textId="77777777" w:rsidR="00A74CE6" w:rsidRPr="00116CE6" w:rsidRDefault="00A74CE6" w:rsidP="00184510">
                  <w:pPr>
                    <w:spacing w:line="276" w:lineRule="auto"/>
                    <w:rPr>
                      <w:rFonts w:ascii="Arial" w:hAnsi="Arial"/>
                      <w:sz w:val="20"/>
                      <w:szCs w:val="20"/>
                    </w:rPr>
                  </w:pPr>
                </w:p>
              </w:tc>
              <w:tc>
                <w:tcPr>
                  <w:tcW w:w="1660" w:type="dxa"/>
                </w:tcPr>
                <w:p w14:paraId="490C389D" w14:textId="77777777" w:rsidR="00A74CE6" w:rsidRPr="00116CE6" w:rsidRDefault="00A74CE6" w:rsidP="00184510">
                  <w:pPr>
                    <w:spacing w:line="276" w:lineRule="auto"/>
                    <w:rPr>
                      <w:rFonts w:ascii="Arial" w:hAnsi="Arial"/>
                      <w:sz w:val="20"/>
                      <w:szCs w:val="20"/>
                    </w:rPr>
                  </w:pPr>
                </w:p>
              </w:tc>
            </w:tr>
          </w:tbl>
          <w:p w14:paraId="0616953B" w14:textId="77777777" w:rsidR="00A74CE6" w:rsidRDefault="00A74CE6" w:rsidP="00184510">
            <w:pPr>
              <w:pStyle w:val="NormalWeb"/>
              <w:spacing w:before="0" w:beforeAutospacing="0" w:after="0" w:afterAutospacing="0" w:line="276" w:lineRule="auto"/>
              <w:ind w:left="142" w:right="34"/>
              <w:rPr>
                <w:rFonts w:ascii="Arial" w:hAnsi="Arial" w:cs="Arial"/>
                <w:b/>
                <w:sz w:val="22"/>
                <w:szCs w:val="22"/>
              </w:rPr>
            </w:pPr>
          </w:p>
          <w:p w14:paraId="2B67B1E8" w14:textId="77777777" w:rsidR="00A74CE6" w:rsidRPr="00230F35" w:rsidRDefault="00A74CE6" w:rsidP="00184510">
            <w:pPr>
              <w:pStyle w:val="NormalWeb"/>
              <w:spacing w:before="0" w:beforeAutospacing="0" w:after="0" w:afterAutospacing="0" w:line="276" w:lineRule="auto"/>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420D0F8" w14:textId="77777777" w:rsidR="00A74CE6" w:rsidRDefault="00A74CE6" w:rsidP="00184510">
            <w:pPr>
              <w:pStyle w:val="NormalWeb"/>
              <w:spacing w:before="0" w:beforeAutospacing="0" w:after="0" w:afterAutospacing="0" w:line="276" w:lineRule="auto"/>
              <w:rPr>
                <w:rFonts w:ascii="Arial" w:hAnsi="Arial" w:cs="Arial"/>
                <w:b/>
                <w:sz w:val="22"/>
                <w:szCs w:val="22"/>
              </w:rPr>
            </w:pPr>
          </w:p>
          <w:p w14:paraId="39FDA312" w14:textId="77777777" w:rsidR="00A74CE6" w:rsidRDefault="00A74CE6" w:rsidP="00184510">
            <w:pPr>
              <w:pStyle w:val="NormalWeb"/>
              <w:spacing w:before="0" w:beforeAutospacing="0" w:after="0" w:afterAutospacing="0" w:line="276" w:lineRule="auto"/>
              <w:rPr>
                <w:rFonts w:ascii="Arial" w:hAnsi="Arial" w:cs="Arial"/>
                <w:b/>
                <w:sz w:val="22"/>
                <w:szCs w:val="22"/>
              </w:rPr>
            </w:pPr>
          </w:p>
          <w:p w14:paraId="5265AF5F" w14:textId="77777777" w:rsidR="00A74CE6" w:rsidRDefault="00A74CE6" w:rsidP="00184510">
            <w:pPr>
              <w:pStyle w:val="NormalWeb"/>
              <w:spacing w:before="0" w:beforeAutospacing="0" w:after="0" w:afterAutospacing="0" w:line="276" w:lineRule="auto"/>
              <w:rPr>
                <w:rFonts w:ascii="Arial" w:hAnsi="Arial" w:cs="Arial"/>
                <w:b/>
                <w:sz w:val="22"/>
                <w:szCs w:val="22"/>
              </w:rPr>
            </w:pPr>
          </w:p>
          <w:p w14:paraId="2205B471" w14:textId="77777777" w:rsidR="00A74CE6" w:rsidRDefault="00A74CE6" w:rsidP="00184510">
            <w:pPr>
              <w:pStyle w:val="NormalWeb"/>
              <w:spacing w:before="0" w:beforeAutospacing="0" w:after="0" w:afterAutospacing="0" w:line="276" w:lineRule="auto"/>
              <w:rPr>
                <w:rFonts w:ascii="Arial" w:hAnsi="Arial" w:cs="Arial"/>
                <w:b/>
                <w:sz w:val="22"/>
                <w:szCs w:val="22"/>
              </w:rPr>
            </w:pPr>
          </w:p>
          <w:p w14:paraId="4FE8203A" w14:textId="77777777" w:rsidR="00A74CE6" w:rsidRDefault="00A74CE6" w:rsidP="00184510">
            <w:pPr>
              <w:pStyle w:val="NormalWeb"/>
              <w:spacing w:before="0" w:beforeAutospacing="0" w:after="0" w:afterAutospacing="0" w:line="276" w:lineRule="auto"/>
              <w:rPr>
                <w:rFonts w:ascii="Arial" w:hAnsi="Arial" w:cs="Arial"/>
                <w:b/>
                <w:sz w:val="22"/>
                <w:szCs w:val="22"/>
              </w:rPr>
            </w:pPr>
          </w:p>
          <w:p w14:paraId="17292E5C" w14:textId="77777777" w:rsidR="00A74CE6" w:rsidRPr="00230F35" w:rsidRDefault="00A74CE6" w:rsidP="00184510">
            <w:pPr>
              <w:pStyle w:val="NormalWeb"/>
              <w:spacing w:before="0" w:beforeAutospacing="0" w:after="0" w:afterAutospacing="0" w:line="276" w:lineRule="auto"/>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21E4385F" w14:textId="77777777" w:rsidR="00A74CE6" w:rsidRDefault="00A74CE6" w:rsidP="00184510">
            <w:pPr>
              <w:pStyle w:val="NormalWeb"/>
              <w:spacing w:line="276" w:lineRule="auto"/>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4B5349C9" w14:textId="77777777" w:rsidR="00A74CE6" w:rsidRPr="00001C3B" w:rsidRDefault="00A74CE6" w:rsidP="00184510">
            <w:pPr>
              <w:pStyle w:val="NormalWeb"/>
              <w:spacing w:line="276" w:lineRule="auto"/>
              <w:rPr>
                <w:rFonts w:ascii="Arial" w:hAnsi="Arial" w:cs="Arial"/>
                <w:sz w:val="22"/>
                <w:szCs w:val="22"/>
              </w:rPr>
            </w:pPr>
          </w:p>
        </w:tc>
      </w:tr>
      <w:tr w:rsidR="00A74CE6" w:rsidRPr="00230F35" w14:paraId="767D101A" w14:textId="77777777" w:rsidTr="00184510">
        <w:trPr>
          <w:trHeight w:val="492"/>
        </w:trPr>
        <w:tc>
          <w:tcPr>
            <w:tcW w:w="6768" w:type="dxa"/>
            <w:gridSpan w:val="3"/>
          </w:tcPr>
          <w:p w14:paraId="73BAC8E4" w14:textId="77777777" w:rsidR="00A74CE6" w:rsidRPr="00230F35" w:rsidRDefault="00A74CE6" w:rsidP="00184510">
            <w:pPr>
              <w:pStyle w:val="NormalWeb"/>
              <w:spacing w:line="276" w:lineRule="auto"/>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5FB9D068" w14:textId="77777777" w:rsidR="00A74CE6" w:rsidRPr="00230F35" w:rsidRDefault="00A74CE6" w:rsidP="00184510">
            <w:pPr>
              <w:pStyle w:val="NormalWeb"/>
              <w:spacing w:after="0" w:line="276" w:lineRule="auto"/>
              <w:ind w:left="142" w:right="34"/>
              <w:rPr>
                <w:rFonts w:ascii="Arial" w:hAnsi="Arial" w:cs="Arial"/>
                <w:sz w:val="22"/>
                <w:szCs w:val="22"/>
              </w:rPr>
            </w:pPr>
            <w:r w:rsidRPr="00230F35">
              <w:rPr>
                <w:rFonts w:ascii="Arial" w:hAnsi="Arial" w:cs="Arial"/>
                <w:sz w:val="22"/>
                <w:szCs w:val="22"/>
              </w:rPr>
              <w:t>Date:</w:t>
            </w:r>
          </w:p>
        </w:tc>
      </w:tr>
      <w:tr w:rsidR="00A74CE6" w:rsidRPr="002F467C" w14:paraId="424003A7" w14:textId="77777777" w:rsidTr="00184510">
        <w:tc>
          <w:tcPr>
            <w:tcW w:w="8856" w:type="dxa"/>
            <w:gridSpan w:val="5"/>
          </w:tcPr>
          <w:p w14:paraId="36DFABFC" w14:textId="77777777" w:rsidR="00A74CE6" w:rsidRPr="00230F35" w:rsidRDefault="00A74CE6" w:rsidP="00184510">
            <w:pPr>
              <w:pStyle w:val="NormalWeb"/>
              <w:spacing w:before="0" w:beforeAutospacing="0" w:after="0" w:afterAutospacing="0" w:line="276" w:lineRule="auto"/>
              <w:ind w:right="-334"/>
              <w:rPr>
                <w:rFonts w:ascii="Arial" w:hAnsi="Arial" w:cs="Arial"/>
                <w:bCs/>
                <w:i/>
                <w:sz w:val="22"/>
                <w:szCs w:val="22"/>
              </w:rPr>
            </w:pPr>
          </w:p>
          <w:p w14:paraId="3DD5A3CF" w14:textId="77777777" w:rsidR="00A74CE6" w:rsidRPr="00230F35" w:rsidRDefault="00A74CE6" w:rsidP="00184510">
            <w:pPr>
              <w:pStyle w:val="NormalWeb"/>
              <w:spacing w:before="0" w:beforeAutospacing="0" w:after="0" w:afterAutospacing="0" w:line="276" w:lineRule="auto"/>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7FA1E0E" w14:textId="77777777" w:rsidR="00A74CE6" w:rsidRPr="00230F35" w:rsidRDefault="00A74CE6" w:rsidP="00184510">
            <w:pPr>
              <w:pStyle w:val="NormalWeb"/>
              <w:spacing w:before="0" w:beforeAutospacing="0" w:after="0" w:afterAutospacing="0" w:line="276" w:lineRule="auto"/>
              <w:ind w:right="-334"/>
              <w:rPr>
                <w:rFonts w:ascii="Arial" w:hAnsi="Arial" w:cs="Arial"/>
                <w:b/>
                <w:bCs/>
                <w:sz w:val="22"/>
                <w:szCs w:val="22"/>
              </w:rPr>
            </w:pPr>
          </w:p>
          <w:p w14:paraId="615FE177"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Comments:</w:t>
            </w:r>
          </w:p>
          <w:p w14:paraId="36597F07"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226AFF7E"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7DD85757"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6F9BAB40"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42059FD3"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6CD138F1"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318266D8"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72B03885"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6D752E2A" w14:textId="77777777" w:rsidR="00A74CE6" w:rsidRDefault="00A74CE6" w:rsidP="00184510">
            <w:pPr>
              <w:pStyle w:val="NormalWeb"/>
              <w:spacing w:before="0" w:beforeAutospacing="0" w:after="0" w:afterAutospacing="0" w:line="276" w:lineRule="auto"/>
              <w:ind w:right="-334"/>
              <w:rPr>
                <w:rFonts w:ascii="Arial" w:hAnsi="Arial" w:cs="Arial"/>
                <w:bCs/>
                <w:sz w:val="22"/>
                <w:szCs w:val="22"/>
              </w:rPr>
            </w:pPr>
          </w:p>
          <w:p w14:paraId="4378F82B"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12D56DA7"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20DC65F4"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tc>
      </w:tr>
      <w:tr w:rsidR="00A74CE6" w:rsidRPr="002F467C" w14:paraId="087B3C87" w14:textId="77777777" w:rsidTr="00184510">
        <w:trPr>
          <w:trHeight w:val="720"/>
        </w:trPr>
        <w:tc>
          <w:tcPr>
            <w:tcW w:w="5211" w:type="dxa"/>
            <w:gridSpan w:val="2"/>
          </w:tcPr>
          <w:p w14:paraId="2CD8F87C"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lastRenderedPageBreak/>
              <w:t>Marker’s Signature</w:t>
            </w:r>
            <w:r>
              <w:rPr>
                <w:rFonts w:ascii="Arial" w:hAnsi="Arial" w:cs="Arial"/>
                <w:bCs/>
                <w:sz w:val="22"/>
                <w:szCs w:val="22"/>
              </w:rPr>
              <w:t>:</w:t>
            </w:r>
          </w:p>
        </w:tc>
        <w:tc>
          <w:tcPr>
            <w:tcW w:w="3645" w:type="dxa"/>
            <w:gridSpan w:val="3"/>
          </w:tcPr>
          <w:p w14:paraId="1AC16638"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r w:rsidRPr="00230F35">
              <w:rPr>
                <w:rFonts w:ascii="Arial" w:hAnsi="Arial" w:cs="Arial"/>
                <w:bCs/>
                <w:sz w:val="22"/>
                <w:szCs w:val="22"/>
              </w:rPr>
              <w:t>Date:</w:t>
            </w:r>
          </w:p>
        </w:tc>
      </w:tr>
      <w:tr w:rsidR="00A74CE6" w:rsidRPr="002F467C" w14:paraId="3F3BE1F2" w14:textId="77777777" w:rsidTr="00184510">
        <w:trPr>
          <w:trHeight w:val="720"/>
        </w:trPr>
        <w:tc>
          <w:tcPr>
            <w:tcW w:w="8856" w:type="dxa"/>
            <w:gridSpan w:val="5"/>
          </w:tcPr>
          <w:p w14:paraId="7ACDB3C6" w14:textId="77777777" w:rsidR="00A74CE6" w:rsidRPr="00B34964" w:rsidRDefault="00A74CE6" w:rsidP="00184510">
            <w:pPr>
              <w:spacing w:line="276" w:lineRule="auto"/>
              <w:rPr>
                <w:rFonts w:ascii="Arial" w:hAnsi="Arial" w:cs="Arial"/>
                <w:b/>
              </w:rPr>
            </w:pPr>
            <w:r w:rsidRPr="00B34964">
              <w:rPr>
                <w:rFonts w:ascii="Arial" w:hAnsi="Arial" w:cs="Arial"/>
                <w:b/>
              </w:rPr>
              <w:t>External Examiner’s comments (if relevant)</w:t>
            </w:r>
          </w:p>
          <w:p w14:paraId="40769DA1"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2189F624"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44B495F3"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5EE96112"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3A3DC88E"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6F43C155"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155CBA3D"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2161806B"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34883C93" w14:textId="77777777" w:rsidR="00A74CE6" w:rsidRDefault="00A74CE6" w:rsidP="00184510">
            <w:pPr>
              <w:pStyle w:val="NormalWeb"/>
              <w:spacing w:before="0" w:beforeAutospacing="0" w:after="0" w:afterAutospacing="0" w:line="276" w:lineRule="auto"/>
              <w:ind w:right="-334"/>
              <w:rPr>
                <w:rFonts w:ascii="Arial" w:hAnsi="Arial" w:cs="Arial"/>
                <w:bCs/>
                <w:sz w:val="22"/>
                <w:szCs w:val="22"/>
              </w:rPr>
            </w:pPr>
          </w:p>
          <w:p w14:paraId="6988939D"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p w14:paraId="3793E16D" w14:textId="77777777" w:rsidR="00A74CE6" w:rsidRPr="00230F35" w:rsidRDefault="00A74CE6" w:rsidP="00184510">
            <w:pPr>
              <w:pStyle w:val="NormalWeb"/>
              <w:spacing w:before="0" w:beforeAutospacing="0" w:after="0" w:afterAutospacing="0" w:line="276" w:lineRule="auto"/>
              <w:ind w:right="-334"/>
              <w:rPr>
                <w:rFonts w:ascii="Arial" w:hAnsi="Arial" w:cs="Arial"/>
                <w:bCs/>
                <w:sz w:val="22"/>
                <w:szCs w:val="22"/>
              </w:rPr>
            </w:pPr>
          </w:p>
        </w:tc>
      </w:tr>
      <w:tr w:rsidR="00A74CE6" w:rsidRPr="002F467C" w14:paraId="35A47D7A" w14:textId="77777777" w:rsidTr="00184510">
        <w:trPr>
          <w:trHeight w:val="720"/>
        </w:trPr>
        <w:tc>
          <w:tcPr>
            <w:tcW w:w="5211" w:type="dxa"/>
            <w:gridSpan w:val="2"/>
          </w:tcPr>
          <w:p w14:paraId="7757E876" w14:textId="77777777" w:rsidR="00A74CE6" w:rsidRPr="00230F35" w:rsidRDefault="00A74CE6" w:rsidP="00184510">
            <w:pPr>
              <w:spacing w:line="276" w:lineRule="auto"/>
              <w:rPr>
                <w:rFonts w:ascii="Arial" w:hAnsi="Arial" w:cs="Arial"/>
              </w:rPr>
            </w:pPr>
            <w:r w:rsidRPr="00230F35">
              <w:rPr>
                <w:rFonts w:ascii="Arial" w:hAnsi="Arial" w:cs="Arial"/>
              </w:rPr>
              <w:t>External Examiner’s Signature:</w:t>
            </w:r>
          </w:p>
        </w:tc>
        <w:tc>
          <w:tcPr>
            <w:tcW w:w="3645" w:type="dxa"/>
            <w:gridSpan w:val="3"/>
          </w:tcPr>
          <w:p w14:paraId="027DF81F" w14:textId="77777777" w:rsidR="00A74CE6" w:rsidRPr="00230F35" w:rsidRDefault="00A74CE6" w:rsidP="00184510">
            <w:pPr>
              <w:spacing w:line="276" w:lineRule="auto"/>
              <w:rPr>
                <w:rFonts w:ascii="Arial" w:hAnsi="Arial" w:cs="Arial"/>
              </w:rPr>
            </w:pPr>
            <w:r w:rsidRPr="00230F35">
              <w:rPr>
                <w:rFonts w:ascii="Arial" w:hAnsi="Arial" w:cs="Arial"/>
              </w:rPr>
              <w:t>Date:</w:t>
            </w:r>
          </w:p>
        </w:tc>
      </w:tr>
    </w:tbl>
    <w:p w14:paraId="026E7E5A" w14:textId="77777777" w:rsidR="00A74CE6" w:rsidRDefault="00A74CE6" w:rsidP="00A74CE6">
      <w:pPr>
        <w:spacing w:line="276" w:lineRule="auto"/>
      </w:pPr>
    </w:p>
    <w:p w14:paraId="63F202AF" w14:textId="77777777" w:rsidR="00A74CE6" w:rsidRDefault="00A74CE6" w:rsidP="00A74CE6">
      <w:pPr>
        <w:spacing w:line="276" w:lineRule="auto"/>
      </w:pPr>
    </w:p>
    <w:p w14:paraId="565DD20F" w14:textId="77777777" w:rsidR="00A74CE6" w:rsidRDefault="00A74CE6" w:rsidP="00A74CE6">
      <w:pPr>
        <w:spacing w:line="276" w:lineRule="auto"/>
      </w:pPr>
    </w:p>
    <w:p w14:paraId="68507C2A" w14:textId="77777777" w:rsidR="00A74CE6" w:rsidRDefault="00A74CE6" w:rsidP="00A74CE6">
      <w:pPr>
        <w:spacing w:line="276" w:lineRule="auto"/>
      </w:pPr>
    </w:p>
    <w:p w14:paraId="72B8349E" w14:textId="77777777" w:rsidR="00A74CE6" w:rsidRDefault="00A74CE6" w:rsidP="00A74CE6">
      <w:pPr>
        <w:spacing w:line="276" w:lineRule="auto"/>
      </w:pPr>
    </w:p>
    <w:p w14:paraId="1FC777AE" w14:textId="77777777" w:rsidR="00A74CE6" w:rsidRDefault="00A74CE6" w:rsidP="00A74CE6">
      <w:pPr>
        <w:spacing w:line="276" w:lineRule="auto"/>
      </w:pPr>
    </w:p>
    <w:p w14:paraId="4246FF70" w14:textId="77777777" w:rsidR="00A74CE6" w:rsidRDefault="00A74CE6" w:rsidP="00A74CE6">
      <w:pPr>
        <w:spacing w:line="276" w:lineRule="auto"/>
      </w:pPr>
    </w:p>
    <w:p w14:paraId="38C2527D" w14:textId="77777777" w:rsidR="00A74CE6" w:rsidRDefault="00A74CE6" w:rsidP="00A74CE6">
      <w:pPr>
        <w:spacing w:line="276" w:lineRule="auto"/>
      </w:pPr>
    </w:p>
    <w:p w14:paraId="11E36758" w14:textId="77777777" w:rsidR="00A74CE6" w:rsidRDefault="00A74CE6" w:rsidP="00A74CE6">
      <w:pPr>
        <w:spacing w:line="276" w:lineRule="auto"/>
      </w:pPr>
    </w:p>
    <w:p w14:paraId="5C005DF4" w14:textId="77777777" w:rsidR="00A74CE6" w:rsidRDefault="00A74CE6" w:rsidP="00A74CE6">
      <w:pPr>
        <w:spacing w:line="276" w:lineRule="auto"/>
      </w:pPr>
    </w:p>
    <w:p w14:paraId="15214252" w14:textId="77777777" w:rsidR="00A74CE6" w:rsidRDefault="00A74CE6" w:rsidP="00A74CE6">
      <w:pPr>
        <w:spacing w:line="276" w:lineRule="auto"/>
      </w:pPr>
    </w:p>
    <w:p w14:paraId="37F9EDC0" w14:textId="77777777" w:rsidR="00A74CE6" w:rsidRDefault="00A74CE6" w:rsidP="00A74CE6">
      <w:pPr>
        <w:spacing w:line="276" w:lineRule="auto"/>
      </w:pPr>
    </w:p>
    <w:p w14:paraId="0A22ADCE" w14:textId="77777777" w:rsidR="00A74CE6" w:rsidRPr="00FD14ED" w:rsidRDefault="00A74CE6" w:rsidP="00A74CE6">
      <w:pPr>
        <w:spacing w:line="276" w:lineRule="auto"/>
        <w:rPr>
          <w:b/>
          <w:bCs/>
          <w:sz w:val="24"/>
          <w:szCs w:val="24"/>
          <w:lang w:val="en-GB"/>
        </w:rPr>
      </w:pPr>
      <w:r w:rsidRPr="00FD14ED">
        <w:rPr>
          <w:b/>
          <w:bCs/>
          <w:sz w:val="24"/>
          <w:szCs w:val="24"/>
        </w:rPr>
        <w:lastRenderedPageBreak/>
        <w:t xml:space="preserve">Assignment Question: </w:t>
      </w:r>
      <w:r w:rsidRPr="00FD14ED">
        <w:rPr>
          <w:b/>
          <w:bCs/>
          <w:sz w:val="24"/>
          <w:szCs w:val="24"/>
          <w:lang w:val="en-GB"/>
        </w:rPr>
        <w:t>Is sacred space a human construct or a natural phenomenon? Discuss this question through a research project with reference to the work of at least three theorists.</w:t>
      </w:r>
    </w:p>
    <w:p w14:paraId="6F725D26" w14:textId="77777777" w:rsidR="00A74CE6" w:rsidRPr="009B41A1" w:rsidRDefault="00A74CE6" w:rsidP="00A74CE6">
      <w:pPr>
        <w:spacing w:line="276" w:lineRule="auto"/>
        <w:rPr>
          <w:bCs/>
          <w:sz w:val="28"/>
          <w:szCs w:val="28"/>
          <w:lang w:val="en-GB"/>
        </w:rPr>
      </w:pPr>
    </w:p>
    <w:p w14:paraId="116C662E" w14:textId="77777777" w:rsidR="00A74CE6" w:rsidRDefault="00A74CE6" w:rsidP="00A74CE6">
      <w:pPr>
        <w:spacing w:line="276" w:lineRule="auto"/>
        <w:ind w:firstLine="720"/>
      </w:pPr>
      <w:r w:rsidRPr="00353818">
        <w:t>Traditionally, sacred spaces are associated with physical locations</w:t>
      </w:r>
      <w:r>
        <w:t xml:space="preserve"> </w:t>
      </w:r>
      <w:r w:rsidRPr="00353818">
        <w:t xml:space="preserve">whose natural features or historical significance are thought to confer a sense of the divine. Yet, the rise of digital technology and online environments has challenged conventional notions of what it means for a </w:t>
      </w:r>
      <w:r>
        <w:t xml:space="preserve">given </w:t>
      </w:r>
      <w:r w:rsidRPr="00353818">
        <w:t>space to be sacred. This project examines whether sacred space is primarily a human construct or a natural phenomenon, arguing that the latter cannot fully account for the sanctity of a space. If a characteristic is purely the result of a space’s natural status, it should not be possible for the same characteristic to appear in a non-natural context. Virtual spaces, which exist digitally and are created through human intervention, are both real and non-natural, yet they can support meaningful religious practices and even be considered sacred. This demonstrates that sacredness does not derive solely from the natural features of space, but from human engagement</w:t>
      </w:r>
      <w:r>
        <w:t xml:space="preserve"> with and within the landscape</w:t>
      </w:r>
      <w:r w:rsidRPr="00353818">
        <w:t xml:space="preserve">. By exploring the work of theorists such as David Chalmers, Christopher Tilley, and Connie Hill-Smith, </w:t>
      </w:r>
      <w:r>
        <w:t>it will be seen that</w:t>
      </w:r>
      <w:r w:rsidRPr="00353818">
        <w:t xml:space="preserve"> </w:t>
      </w:r>
      <w:r>
        <w:t>sanctity</w:t>
      </w:r>
      <w:r w:rsidRPr="00353818">
        <w:t xml:space="preserve"> is not </w:t>
      </w:r>
      <w:r>
        <w:t>a</w:t>
      </w:r>
      <w:r w:rsidRPr="00353818">
        <w:t xml:space="preserve"> quality </w:t>
      </w:r>
      <w:r>
        <w:t>exclusive to</w:t>
      </w:r>
      <w:r w:rsidRPr="00353818">
        <w:t xml:space="preserve"> natur</w:t>
      </w:r>
      <w:r>
        <w:t>al landscapes,</w:t>
      </w:r>
      <w:r w:rsidRPr="00353818">
        <w:t xml:space="preserve"> but</w:t>
      </w:r>
      <w:r>
        <w:t xml:space="preserve"> rather</w:t>
      </w:r>
      <w:r w:rsidRPr="00353818">
        <w:t xml:space="preserve"> a relational property emerging from the interaction between conscious agents and the spaces they inhabit</w:t>
      </w:r>
      <w:r>
        <w:t>.</w:t>
      </w:r>
    </w:p>
    <w:p w14:paraId="0698B16E" w14:textId="77777777" w:rsidR="00A74CE6" w:rsidRDefault="00A74CE6" w:rsidP="00A74CE6">
      <w:pPr>
        <w:spacing w:line="276" w:lineRule="auto"/>
      </w:pPr>
    </w:p>
    <w:p w14:paraId="2ADB7DB6" w14:textId="77777777" w:rsidR="00A74CE6" w:rsidRPr="00443EF5" w:rsidRDefault="00A74CE6" w:rsidP="00A74CE6">
      <w:pPr>
        <w:spacing w:line="276" w:lineRule="auto"/>
        <w:rPr>
          <w:b/>
          <w:bCs/>
        </w:rPr>
      </w:pPr>
      <w:r>
        <w:rPr>
          <w:b/>
          <w:bCs/>
        </w:rPr>
        <w:t>The Nature of Virtual Spaces</w:t>
      </w:r>
    </w:p>
    <w:p w14:paraId="41728429" w14:textId="77777777" w:rsidR="00A74CE6" w:rsidRPr="00327EA3" w:rsidRDefault="00A74CE6" w:rsidP="00A74CE6">
      <w:pPr>
        <w:spacing w:line="276" w:lineRule="auto"/>
        <w:ind w:firstLine="720"/>
      </w:pPr>
      <w:r>
        <w:t xml:space="preserve">Historically, the term ‘virtual’ was used in a similar way to the word ‘almost’, denoting that the subject </w:t>
      </w:r>
      <w:r w:rsidRPr="00C70C84">
        <w:t xml:space="preserve">nearly </w:t>
      </w:r>
      <w:r>
        <w:t>possessed a</w:t>
      </w:r>
      <w:r w:rsidRPr="00C70C84">
        <w:t xml:space="preserve"> described</w:t>
      </w:r>
      <w:r>
        <w:t xml:space="preserve"> quality</w:t>
      </w:r>
      <w:r w:rsidRPr="00C70C84">
        <w:t xml:space="preserve">, but not completely or </w:t>
      </w:r>
      <w:r>
        <w:t>formally recognized as having it</w:t>
      </w:r>
      <w:r>
        <w:rPr>
          <w:rStyle w:val="FootnoteReference"/>
        </w:rPr>
        <w:footnoteReference w:id="1"/>
      </w:r>
      <w:r w:rsidRPr="00C70C84">
        <w:t>.</w:t>
      </w:r>
      <w:r>
        <w:t xml:space="preserve"> For example, you could describe a leader as a ‘virtual dictator’ if they possessed the tyrannical qualities of a dictator, without being officially recognized as such by international officials. However, in the modern world the term ‘virtual’ is more often used to denote that the subject is computer-based and occurs primarily online</w:t>
      </w:r>
      <w:r>
        <w:rPr>
          <w:rStyle w:val="FootnoteReference"/>
        </w:rPr>
        <w:footnoteReference w:id="2"/>
      </w:r>
      <w:r>
        <w:t xml:space="preserve">.  The latter conception of ‘virtual’ is the one that this work is concerned with. </w:t>
      </w:r>
      <w:proofErr w:type="gramStart"/>
      <w:r>
        <w:t>By definition, something</w:t>
      </w:r>
      <w:proofErr w:type="gramEnd"/>
      <w:r>
        <w:t xml:space="preserve"> can be considered as natural if its existence is not predicated upon</w:t>
      </w:r>
      <w:r w:rsidRPr="00A16B4C">
        <w:t xml:space="preserve"> </w:t>
      </w:r>
      <w:r>
        <w:t>human action or intervention</w:t>
      </w:r>
      <w:r>
        <w:rPr>
          <w:rStyle w:val="FootnoteReference"/>
        </w:rPr>
        <w:footnoteReference w:id="3"/>
      </w:r>
      <w:r>
        <w:t xml:space="preserve">. Virtual objects and spaces, therefore, cannot qualify as natural, as there is no conceivable way that computer-based technology could exist without humans </w:t>
      </w:r>
      <w:proofErr w:type="gramStart"/>
      <w:r>
        <w:t>to invent</w:t>
      </w:r>
      <w:proofErr w:type="gramEnd"/>
      <w:r>
        <w:t xml:space="preserve"> and </w:t>
      </w:r>
      <w:proofErr w:type="gramStart"/>
      <w:r>
        <w:t>build</w:t>
      </w:r>
      <w:proofErr w:type="gramEnd"/>
      <w:r>
        <w:t xml:space="preserve"> them. Therefore, it can be confidently held that virtual spaces are indeed non-natural.</w:t>
      </w:r>
    </w:p>
    <w:p w14:paraId="6144F8F3" w14:textId="77777777" w:rsidR="00A74CE6" w:rsidRPr="00CD5EFC" w:rsidRDefault="00A74CE6" w:rsidP="00A74CE6">
      <w:pPr>
        <w:spacing w:line="276" w:lineRule="auto"/>
        <w:ind w:firstLine="720"/>
      </w:pPr>
      <w:r>
        <w:t xml:space="preserve">The question of whether virtual spaces can be considered real, however, is more contentious. There are two opposing schools of thought as to the nature of virtual objects and </w:t>
      </w:r>
      <w:r>
        <w:lastRenderedPageBreak/>
        <w:t>spaces: Virtual realism, and virtual irrealism</w:t>
      </w:r>
      <w:r>
        <w:rPr>
          <w:rStyle w:val="FootnoteReference"/>
        </w:rPr>
        <w:footnoteReference w:id="4"/>
      </w:r>
      <w:r>
        <w:t xml:space="preserve">. Virtual realism attests that virtual objects and spaces are real, and that events and experiences in these virtual spaces are both grounded </w:t>
      </w:r>
      <w:proofErr w:type="gramStart"/>
      <w:r>
        <w:t>in reality and</w:t>
      </w:r>
      <w:proofErr w:type="gramEnd"/>
      <w:r>
        <w:t xml:space="preserve"> are as valuable as non-virtual events and experiences. Virtual irrealism, on the other hand, is the view that virtual objects and spaces do not really exist, and that events and experiences in these virtual spaces are illusory and less valuable than non-virtual events and experiences. Many contemporary philosophers hold the virtual irrealist position that virtual worlds have the same metaphysical status as fictional worlds, also known as virtual fictionalism</w:t>
      </w:r>
      <w:r>
        <w:rPr>
          <w:rStyle w:val="FootnoteReference"/>
        </w:rPr>
        <w:footnoteReference w:id="5"/>
      </w:r>
      <w:r>
        <w:t xml:space="preserve">. This position contends that virtual spaces and objects are created by humans, either as recreations of or inspired by real-world referents, and since they are </w:t>
      </w:r>
      <w:r w:rsidRPr="008059CD">
        <w:t xml:space="preserve">not </w:t>
      </w:r>
      <w:r>
        <w:t>identical to</w:t>
      </w:r>
      <w:r w:rsidRPr="008059CD">
        <w:t xml:space="preserve"> their </w:t>
      </w:r>
      <w:r>
        <w:t>physical</w:t>
      </w:r>
      <w:r w:rsidRPr="008059CD">
        <w:t xml:space="preserve"> referents</w:t>
      </w:r>
      <w:r>
        <w:t>, then</w:t>
      </w:r>
      <w:r w:rsidRPr="008059CD">
        <w:t xml:space="preserve"> they must not be real</w:t>
      </w:r>
      <w:r>
        <w:t xml:space="preserve"> and are instead forms of fiction</w:t>
      </w:r>
      <w:r>
        <w:rPr>
          <w:rStyle w:val="FootnoteReference"/>
        </w:rPr>
        <w:footnoteReference w:id="6"/>
      </w:r>
      <w:r w:rsidRPr="008059CD">
        <w:t>.</w:t>
      </w:r>
      <w:r w:rsidRPr="008610A2">
        <w:t xml:space="preserve"> </w:t>
      </w:r>
      <w:r>
        <w:t xml:space="preserve">For example, virtual fictionalists would contend that virtual spaces such as Second Life are as real as C.S Lewis’ imagined world of Narnia. </w:t>
      </w:r>
      <w:r w:rsidRPr="00394027">
        <w:t>However, this position fails to account for how virtual reality functions</w:t>
      </w:r>
      <w:r>
        <w:t xml:space="preserve">. Multiple users can log into the same virtual space and interact with the same virtual objects concurrently. However, multiple readers of </w:t>
      </w:r>
      <w:r w:rsidRPr="00CD5EFC">
        <w:rPr>
          <w:i/>
          <w:iCs/>
        </w:rPr>
        <w:t xml:space="preserve">The Lion, The Witch and The Wardrobe </w:t>
      </w:r>
      <w:r>
        <w:t>cannot ‘log into’ Narnia, throw snowballs at each other or converse with Aslan. The ability for multiple users to have meaningful impact on virtual space and the objects within shows the virtual fictionalist viewpoint to be flawed.</w:t>
      </w:r>
    </w:p>
    <w:p w14:paraId="2E0F7D3C" w14:textId="77777777" w:rsidR="00A74CE6" w:rsidRDefault="00A74CE6" w:rsidP="00A74CE6">
      <w:pPr>
        <w:spacing w:line="276" w:lineRule="auto"/>
        <w:ind w:firstLine="720"/>
        <w:rPr>
          <w:b/>
          <w:bCs/>
        </w:rPr>
      </w:pPr>
      <w:r>
        <w:t>To overcome the above problem, Philosopher David Chalmers argues towards a modified version of virtual realism, which he has dubbed ‘Virtual digitalism’</w:t>
      </w:r>
      <w:r>
        <w:rPr>
          <w:rStyle w:val="FootnoteReference"/>
        </w:rPr>
        <w:footnoteReference w:id="7"/>
      </w:r>
      <w:r>
        <w:t>. The virtual digitalist view argues towards the following theses:</w:t>
      </w:r>
    </w:p>
    <w:p w14:paraId="23444369" w14:textId="77777777" w:rsidR="00A74CE6" w:rsidRPr="004965D6" w:rsidRDefault="00A74CE6" w:rsidP="00A74CE6">
      <w:pPr>
        <w:pStyle w:val="ListParagraph"/>
        <w:numPr>
          <w:ilvl w:val="0"/>
          <w:numId w:val="12"/>
        </w:numPr>
        <w:spacing w:line="276" w:lineRule="auto"/>
        <w:rPr>
          <w:b/>
          <w:bCs/>
        </w:rPr>
      </w:pPr>
      <w:r w:rsidRPr="004965D6">
        <w:t>Virtual</w:t>
      </w:r>
      <w:r w:rsidRPr="00FC6820">
        <w:t xml:space="preserve"> objects really exist and are digital </w:t>
      </w:r>
      <w:proofErr w:type="gramStart"/>
      <w:r w:rsidRPr="00FC6820">
        <w:t>objects;</w:t>
      </w:r>
      <w:proofErr w:type="gramEnd"/>
      <w:r w:rsidRPr="00FC6820">
        <w:t xml:space="preserve"> </w:t>
      </w:r>
    </w:p>
    <w:p w14:paraId="0CDADA1B" w14:textId="77777777" w:rsidR="00A74CE6" w:rsidRPr="004965D6" w:rsidRDefault="00A74CE6" w:rsidP="00A74CE6">
      <w:pPr>
        <w:pStyle w:val="ListParagraph"/>
        <w:numPr>
          <w:ilvl w:val="0"/>
          <w:numId w:val="12"/>
        </w:numPr>
        <w:spacing w:line="276" w:lineRule="auto"/>
        <w:rPr>
          <w:b/>
          <w:bCs/>
        </w:rPr>
      </w:pPr>
      <w:r w:rsidRPr="00FC6820">
        <w:t xml:space="preserve">Events in virtual worlds are largely digital events that really take </w:t>
      </w:r>
      <w:proofErr w:type="gramStart"/>
      <w:r w:rsidRPr="00FC6820">
        <w:t>place;</w:t>
      </w:r>
      <w:proofErr w:type="gramEnd"/>
      <w:r w:rsidRPr="00FC6820">
        <w:t xml:space="preserve"> </w:t>
      </w:r>
    </w:p>
    <w:p w14:paraId="42EDF1CF" w14:textId="77777777" w:rsidR="00A74CE6" w:rsidRPr="004965D6" w:rsidRDefault="00A74CE6" w:rsidP="00A74CE6">
      <w:pPr>
        <w:pStyle w:val="ListParagraph"/>
        <w:numPr>
          <w:ilvl w:val="0"/>
          <w:numId w:val="12"/>
        </w:numPr>
        <w:spacing w:line="276" w:lineRule="auto"/>
        <w:rPr>
          <w:b/>
          <w:bCs/>
        </w:rPr>
      </w:pPr>
      <w:r w:rsidRPr="00FC6820">
        <w:t xml:space="preserve">Experiences in virtual reality involve non-illusory perception of a digital </w:t>
      </w:r>
      <w:proofErr w:type="gramStart"/>
      <w:r w:rsidRPr="00FC6820">
        <w:t>world;</w:t>
      </w:r>
      <w:proofErr w:type="gramEnd"/>
      <w:r w:rsidRPr="00FC6820">
        <w:t xml:space="preserve"> </w:t>
      </w:r>
    </w:p>
    <w:p w14:paraId="3D626E49" w14:textId="77777777" w:rsidR="00A74CE6" w:rsidRPr="004965D6" w:rsidRDefault="00A74CE6" w:rsidP="00A74CE6">
      <w:pPr>
        <w:pStyle w:val="ListParagraph"/>
        <w:numPr>
          <w:ilvl w:val="0"/>
          <w:numId w:val="12"/>
        </w:numPr>
        <w:spacing w:line="276" w:lineRule="auto"/>
        <w:rPr>
          <w:b/>
          <w:bCs/>
        </w:rPr>
      </w:pPr>
      <w:r w:rsidRPr="00FC6820">
        <w:t>Virtual experiences of a digital world can be as valuable as non-virtual experiences of a</w:t>
      </w:r>
      <w:r>
        <w:t xml:space="preserve"> </w:t>
      </w:r>
      <w:r w:rsidRPr="00FC6820">
        <w:t>non-digital world.</w:t>
      </w:r>
    </w:p>
    <w:p w14:paraId="042DC96E" w14:textId="77777777" w:rsidR="00A74CE6" w:rsidRDefault="00A74CE6" w:rsidP="00A74CE6">
      <w:pPr>
        <w:spacing w:line="276" w:lineRule="auto"/>
        <w:ind w:firstLine="720"/>
        <w:jc w:val="right"/>
        <w:rPr>
          <w:b/>
          <w:bCs/>
        </w:rPr>
      </w:pPr>
      <w:r>
        <w:t xml:space="preserve"> </w:t>
      </w:r>
      <w:sdt>
        <w:sdtPr>
          <w:id w:val="61762536"/>
          <w:citation/>
        </w:sdtPr>
        <w:sdtContent>
          <w:r>
            <w:fldChar w:fldCharType="begin"/>
          </w:r>
          <w:r>
            <w:rPr>
              <w:lang w:val="en-GB"/>
            </w:rPr>
            <w:instrText xml:space="preserve"> CITATION Cha17 \l 2057 </w:instrText>
          </w:r>
          <w:r>
            <w:fldChar w:fldCharType="separate"/>
          </w:r>
          <w:r w:rsidRPr="00662A60">
            <w:rPr>
              <w:noProof/>
              <w:lang w:val="en-GB"/>
            </w:rPr>
            <w:t>(Chalmers, 2017)</w:t>
          </w:r>
          <w:r>
            <w:fldChar w:fldCharType="end"/>
          </w:r>
        </w:sdtContent>
      </w:sdt>
    </w:p>
    <w:p w14:paraId="6B952B71" w14:textId="77777777" w:rsidR="00A74CE6" w:rsidRPr="00533A90" w:rsidRDefault="00A74CE6" w:rsidP="00A74CE6">
      <w:pPr>
        <w:spacing w:line="276" w:lineRule="auto"/>
        <w:ind w:firstLine="720"/>
        <w:rPr>
          <w:highlight w:val="yellow"/>
        </w:rPr>
      </w:pPr>
      <w:r>
        <w:t xml:space="preserve">Chalmers’ framework for virtual digitalism </w:t>
      </w:r>
      <w:r w:rsidRPr="00394027">
        <w:t>is</w:t>
      </w:r>
      <w:r>
        <w:t xml:space="preserve"> built upon</w:t>
      </w:r>
      <w:r w:rsidRPr="00394027">
        <w:t xml:space="preserve"> the idea that virtual objects are digital objects</w:t>
      </w:r>
      <w:r>
        <w:rPr>
          <w:rStyle w:val="FootnoteReference"/>
        </w:rPr>
        <w:footnoteReference w:id="8"/>
      </w:r>
      <w:r w:rsidRPr="00394027">
        <w:t xml:space="preserve">. </w:t>
      </w:r>
      <w:r w:rsidRPr="00047BC9">
        <w:t xml:space="preserve">Objects in virtual worlds, such as avatars, tools, buildings, and landscapes, are made of data structures running on real computers. These data structures are not imaginary; they exist physically as computational processes grounded in hardware. They also hold causal power, as they affect other virtual objects, shape user behavior, and generate perceptual experiences. </w:t>
      </w:r>
      <w:r w:rsidRPr="008424E9">
        <w:t xml:space="preserve">When users engage with virtual spaces, their experiences are systematically caused by digital objects. The size, colour, and location of a virtual object depends directly on the structure and state of the underlying data. As such, </w:t>
      </w:r>
      <w:r>
        <w:t>it is unfounded to say that virtual objects are not real.</w:t>
      </w:r>
    </w:p>
    <w:p w14:paraId="54B08DE1" w14:textId="77777777" w:rsidR="00A74CE6" w:rsidRPr="00904A20" w:rsidRDefault="00A74CE6" w:rsidP="00A74CE6">
      <w:pPr>
        <w:spacing w:line="276" w:lineRule="auto"/>
        <w:ind w:firstLine="720"/>
      </w:pPr>
      <w:r w:rsidRPr="002B5AFC">
        <w:lastRenderedPageBreak/>
        <w:t>A common objection to this is that virtual objects lack ordinary physical properties and therefore cannot be real in the same way that material objects are. For example, a virtual ball is not physically round, and an avatar is not physically six feet tall. However, Chalmers attests that this misunderstands the nature of properties in virtual worlds</w:t>
      </w:r>
      <w:r w:rsidRPr="002B5AFC">
        <w:rPr>
          <w:rStyle w:val="FootnoteReference"/>
        </w:rPr>
        <w:footnoteReference w:id="9"/>
      </w:r>
      <w:r w:rsidRPr="002B5AFC">
        <w:t>. According to Chalmers, Virtual objects possess virtual properties, such as being virtually round or virtually tall. These properties are defined functionally: an object is virtually red if it normally produces red experiences.  This mirrors how we understand ordinary properties like color and shape in the physical world, which are also defined by their typical effects on perceivers. Virtual properties are therefore no less real than physical ones; they are simply realised digitally rather than materially.</w:t>
      </w:r>
    </w:p>
    <w:p w14:paraId="143FC616" w14:textId="77777777" w:rsidR="00A74CE6" w:rsidRDefault="00A74CE6" w:rsidP="00A74CE6">
      <w:pPr>
        <w:spacing w:line="276" w:lineRule="auto"/>
      </w:pPr>
      <w:r w:rsidRPr="002B5AFC">
        <w:t>In conclusion, digital realism offers a comprehensive framework for understanding the ontology of virtual worlds. Virtual objects are real digital entities, and experiences in virtual spaces are illusory and can be meaningful. As such, we have shown that virtual worlds are both non-natural and real.</w:t>
      </w:r>
    </w:p>
    <w:p w14:paraId="6D9EE932" w14:textId="77777777" w:rsidR="00A74CE6" w:rsidRDefault="00A74CE6" w:rsidP="00A74CE6">
      <w:pPr>
        <w:spacing w:line="276" w:lineRule="auto"/>
      </w:pPr>
    </w:p>
    <w:p w14:paraId="04650DA4" w14:textId="77777777" w:rsidR="00A74CE6" w:rsidRDefault="00A74CE6" w:rsidP="00A74CE6">
      <w:pPr>
        <w:spacing w:line="276" w:lineRule="auto"/>
        <w:rPr>
          <w:b/>
          <w:bCs/>
        </w:rPr>
      </w:pPr>
      <w:r w:rsidRPr="00452188">
        <w:rPr>
          <w:b/>
          <w:bCs/>
        </w:rPr>
        <w:t xml:space="preserve">History of the Internet and Religion </w:t>
      </w:r>
    </w:p>
    <w:p w14:paraId="33C90467" w14:textId="77777777" w:rsidR="00A74CE6" w:rsidRDefault="00A74CE6" w:rsidP="00A74CE6">
      <w:pPr>
        <w:spacing w:line="276" w:lineRule="auto"/>
        <w:ind w:firstLine="720"/>
        <w:rPr>
          <w:b/>
          <w:bCs/>
        </w:rPr>
      </w:pPr>
      <w:r>
        <w:t>Discourse on religion has been present in online spaces f</w:t>
      </w:r>
      <w:r w:rsidRPr="0092572B">
        <w:t>rom the earliest moments of public internet access via modem-based systems</w:t>
      </w:r>
      <w:r>
        <w:rPr>
          <w:rStyle w:val="FootnoteReference"/>
        </w:rPr>
        <w:footnoteReference w:id="10"/>
      </w:r>
      <w:r>
        <w:t xml:space="preserve">. Sociologist of religion Christopher Helland notes that this was striking </w:t>
      </w:r>
      <w:r w:rsidRPr="00732E03">
        <w:t>given the prevailing academic consensus of the time, which held that</w:t>
      </w:r>
      <w:r>
        <w:t xml:space="preserve"> interest in religion was on the decline, especially within social spheres that were considered more ‘technological’ or ‘modern’</w:t>
      </w:r>
      <w:r>
        <w:rPr>
          <w:rStyle w:val="FootnoteReference"/>
        </w:rPr>
        <w:footnoteReference w:id="11"/>
      </w:r>
      <w:r>
        <w:t xml:space="preserve">. </w:t>
      </w:r>
      <w:r w:rsidRPr="00F073E8">
        <w:t>The fact that early computer hobbyist</w:t>
      </w:r>
      <w:r>
        <w:t xml:space="preserve">s, who were arguably the most technological and modern social group of the time, were </w:t>
      </w:r>
      <w:r w:rsidRPr="00F073E8">
        <w:t xml:space="preserve">actively </w:t>
      </w:r>
      <w:r>
        <w:t>discussing</w:t>
      </w:r>
      <w:r w:rsidRPr="00F073E8">
        <w:t xml:space="preserve"> religion online therefore posed a significant challenge to</w:t>
      </w:r>
      <w:r>
        <w:t xml:space="preserve"> the secularist academic narrative</w:t>
      </w:r>
      <w:r w:rsidRPr="00F073E8">
        <w:t>.</w:t>
      </w:r>
      <w:r>
        <w:t xml:space="preserve"> Religious discourse was so prevalent in the early stages of the internet that by 1983 complaints were made by users of the UseNet discussion board platform </w:t>
      </w:r>
      <w:r w:rsidRPr="0092572B">
        <w:t>that religion was crowding out other topics</w:t>
      </w:r>
      <w:r>
        <w:rPr>
          <w:rStyle w:val="FootnoteReference"/>
        </w:rPr>
        <w:footnoteReference w:id="12"/>
      </w:r>
      <w:r>
        <w:t xml:space="preserve">. </w:t>
      </w:r>
      <w:r w:rsidRPr="0092572B">
        <w:t xml:space="preserve">This led to the creation of </w:t>
      </w:r>
      <w:proofErr w:type="spellStart"/>
      <w:proofErr w:type="gramStart"/>
      <w:r w:rsidRPr="0092572B">
        <w:rPr>
          <w:i/>
          <w:iCs/>
        </w:rPr>
        <w:t>net.religion</w:t>
      </w:r>
      <w:proofErr w:type="spellEnd"/>
      <w:proofErr w:type="gramEnd"/>
      <w:r w:rsidRPr="0092572B">
        <w:t xml:space="preserve"> in 1983 as a dedicated space for religious debate.</w:t>
      </w:r>
      <w:r>
        <w:rPr>
          <w:b/>
          <w:bCs/>
        </w:rPr>
        <w:t xml:space="preserve"> </w:t>
      </w:r>
      <w:r w:rsidRPr="0092572B">
        <w:t>However, Helland argues that this forum did not constitute a sacred space, as expressions of belief or personal religious commitment were frequently met with ridicule and hostility</w:t>
      </w:r>
      <w:r>
        <w:rPr>
          <w:rStyle w:val="FootnoteReference"/>
        </w:rPr>
        <w:footnoteReference w:id="13"/>
      </w:r>
      <w:r>
        <w:t xml:space="preserve">. </w:t>
      </w:r>
      <w:r w:rsidRPr="0092572B">
        <w:t xml:space="preserve">In this sense, </w:t>
      </w:r>
      <w:proofErr w:type="spellStart"/>
      <w:proofErr w:type="gramStart"/>
      <w:r w:rsidRPr="0092572B">
        <w:rPr>
          <w:i/>
          <w:iCs/>
        </w:rPr>
        <w:t>net.religion</w:t>
      </w:r>
      <w:proofErr w:type="spellEnd"/>
      <w:proofErr w:type="gramEnd"/>
      <w:r w:rsidRPr="0092572B">
        <w:t xml:space="preserve"> functioned as a discursive arena for debating religion</w:t>
      </w:r>
      <w:r>
        <w:t>,</w:t>
      </w:r>
      <w:r w:rsidRPr="0092572B">
        <w:t xml:space="preserve"> rather than a space in which religion could be practiced.</w:t>
      </w:r>
    </w:p>
    <w:p w14:paraId="41BAA342" w14:textId="77777777" w:rsidR="00A74CE6" w:rsidRDefault="00A74CE6" w:rsidP="00A74CE6">
      <w:pPr>
        <w:spacing w:line="276" w:lineRule="auto"/>
        <w:ind w:firstLine="720"/>
        <w:rPr>
          <w:b/>
          <w:bCs/>
        </w:rPr>
      </w:pPr>
      <w:r>
        <w:t xml:space="preserve">Moving into 1984, several Jewish members of </w:t>
      </w:r>
      <w:proofErr w:type="spellStart"/>
      <w:proofErr w:type="gramStart"/>
      <w:r w:rsidRPr="006D2C33">
        <w:rPr>
          <w:i/>
          <w:iCs/>
        </w:rPr>
        <w:t>net.religion</w:t>
      </w:r>
      <w:proofErr w:type="spellEnd"/>
      <w:proofErr w:type="gramEnd"/>
      <w:r>
        <w:t xml:space="preserve"> then to argue for their own separate space to freely discuss their beliefs, where criticism of Jewish people simply for being Jewish would not be welcome or tolerated</w:t>
      </w:r>
      <w:r>
        <w:rPr>
          <w:rStyle w:val="FootnoteReference"/>
        </w:rPr>
        <w:footnoteReference w:id="14"/>
      </w:r>
      <w:r>
        <w:t xml:space="preserve">. These arguments led to the creation of </w:t>
      </w:r>
      <w:proofErr w:type="spellStart"/>
      <w:proofErr w:type="gramStart"/>
      <w:r w:rsidRPr="0092572B">
        <w:rPr>
          <w:i/>
          <w:iCs/>
        </w:rPr>
        <w:t>net.religion</w:t>
      </w:r>
      <w:proofErr w:type="gramEnd"/>
      <w:r w:rsidRPr="0092572B">
        <w:rPr>
          <w:i/>
          <w:iCs/>
        </w:rPr>
        <w:t>.jewish</w:t>
      </w:r>
      <w:proofErr w:type="spellEnd"/>
      <w:r>
        <w:t xml:space="preserve">. </w:t>
      </w:r>
      <w:r w:rsidRPr="003850CB">
        <w:t xml:space="preserve">Helland interprets this move as a </w:t>
      </w:r>
      <w:r>
        <w:t>pivotal</w:t>
      </w:r>
      <w:r w:rsidRPr="003850CB">
        <w:t xml:space="preserve"> in the construction of online religious identity: by petitioning for and sustaining a separate community</w:t>
      </w:r>
      <w:r>
        <w:t xml:space="preserve">, the Jewish UseNet users were arguing towards and indeed establishing their own online religious identity. The resulting space was </w:t>
      </w:r>
      <w:r>
        <w:lastRenderedPageBreak/>
        <w:t>a more engaging and dynamic environment, where people were much freer to discuss and share their beliefs</w:t>
      </w:r>
      <w:r>
        <w:rPr>
          <w:rStyle w:val="FootnoteReference"/>
        </w:rPr>
        <w:footnoteReference w:id="15"/>
      </w:r>
      <w:r>
        <w:t xml:space="preserve">. This was then followed by </w:t>
      </w:r>
      <w:r w:rsidRPr="0092572B">
        <w:t xml:space="preserve">the creation of </w:t>
      </w:r>
      <w:proofErr w:type="spellStart"/>
      <w:proofErr w:type="gramStart"/>
      <w:r w:rsidRPr="0092572B">
        <w:rPr>
          <w:i/>
          <w:iCs/>
        </w:rPr>
        <w:t>net.religion</w:t>
      </w:r>
      <w:proofErr w:type="gramEnd"/>
      <w:r w:rsidRPr="0092572B">
        <w:rPr>
          <w:i/>
          <w:iCs/>
        </w:rPr>
        <w:t>.christian</w:t>
      </w:r>
      <w:proofErr w:type="spellEnd"/>
      <w:r w:rsidRPr="0092572B">
        <w:t xml:space="preserve"> in 1985, indicating a broader pattern of religious groups claiming distinct digital territories</w:t>
      </w:r>
      <w:r>
        <w:rPr>
          <w:rStyle w:val="FootnoteReference"/>
        </w:rPr>
        <w:footnoteReference w:id="16"/>
      </w:r>
      <w:r>
        <w:t xml:space="preserve">. </w:t>
      </w:r>
    </w:p>
    <w:p w14:paraId="3015EB87" w14:textId="77777777" w:rsidR="00A74CE6" w:rsidRPr="00452188" w:rsidRDefault="00A74CE6" w:rsidP="00A74CE6">
      <w:pPr>
        <w:spacing w:line="276" w:lineRule="auto"/>
        <w:ind w:firstLine="720"/>
        <w:rPr>
          <w:b/>
          <w:bCs/>
        </w:rPr>
      </w:pPr>
      <w:r w:rsidRPr="0092572B">
        <w:t xml:space="preserve">Importantly, these forums extended beyond theological debate. Users increasingly requested prayers, sought spiritual guidance, and engaged in forms of religious support, marking a shift from talking </w:t>
      </w:r>
      <w:r w:rsidRPr="0092572B">
        <w:rPr>
          <w:i/>
          <w:iCs/>
        </w:rPr>
        <w:t>about</w:t>
      </w:r>
      <w:r w:rsidRPr="0092572B">
        <w:t xml:space="preserve"> religion to actively </w:t>
      </w:r>
      <w:r w:rsidRPr="0092572B">
        <w:rPr>
          <w:i/>
          <w:iCs/>
        </w:rPr>
        <w:t>doing</w:t>
      </w:r>
      <w:r w:rsidRPr="0092572B">
        <w:t xml:space="preserve"> religion online</w:t>
      </w:r>
      <w:r>
        <w:rPr>
          <w:rStyle w:val="FootnoteReference"/>
        </w:rPr>
        <w:footnoteReference w:id="17"/>
      </w:r>
      <w:r>
        <w:t xml:space="preserve">. However, as Helland notes, these forums were text based only, limiting the range of religious expression that was available to users. Despite this, engagement in religion via the internet sustained through the 1990’s, </w:t>
      </w:r>
      <w:r w:rsidRPr="0092572B">
        <w:t xml:space="preserve">even though accessing the internet via dial-up modems </w:t>
      </w:r>
      <w:r>
        <w:t>continued to be</w:t>
      </w:r>
      <w:r w:rsidRPr="0092572B">
        <w:t xml:space="preserve"> time-consuming and cumbersome</w:t>
      </w:r>
      <w:r>
        <w:rPr>
          <w:rStyle w:val="FootnoteReference"/>
        </w:rPr>
        <w:footnoteReference w:id="18"/>
      </w:r>
      <w:r>
        <w:t>. This interest in talking about and doing religion online has continued to grow into the present, hitting its peak during the COVID-19 pandemic of 2020 when lockdown necessitated that most religious contact globally was had remotely</w:t>
      </w:r>
      <w:r>
        <w:rPr>
          <w:rStyle w:val="FootnoteReference"/>
        </w:rPr>
        <w:footnoteReference w:id="19"/>
      </w:r>
      <w:r>
        <w:t>. As such, religious discourse has a long and proven history within the online space.</w:t>
      </w:r>
    </w:p>
    <w:p w14:paraId="53F957A2" w14:textId="77777777" w:rsidR="00A74CE6" w:rsidRDefault="00A74CE6" w:rsidP="00A74CE6">
      <w:pPr>
        <w:spacing w:line="276" w:lineRule="auto"/>
      </w:pPr>
    </w:p>
    <w:p w14:paraId="1FA3C788" w14:textId="77777777" w:rsidR="00A74CE6" w:rsidRDefault="00A74CE6" w:rsidP="00A74CE6">
      <w:pPr>
        <w:spacing w:line="276" w:lineRule="auto"/>
        <w:rPr>
          <w:b/>
          <w:bCs/>
        </w:rPr>
      </w:pPr>
      <w:r>
        <w:rPr>
          <w:b/>
          <w:bCs/>
        </w:rPr>
        <w:t>Cyber-</w:t>
      </w:r>
      <w:r w:rsidRPr="00C36C8D">
        <w:rPr>
          <w:b/>
          <w:bCs/>
        </w:rPr>
        <w:t>religiosity</w:t>
      </w:r>
    </w:p>
    <w:p w14:paraId="692A7289" w14:textId="77777777" w:rsidR="00A74CE6" w:rsidRDefault="00A74CE6" w:rsidP="00A74CE6">
      <w:pPr>
        <w:spacing w:line="276" w:lineRule="auto"/>
        <w:ind w:firstLine="720"/>
      </w:pPr>
      <w:r>
        <w:t xml:space="preserve">Whilst there is a proven history of religious discussion online, this alone does not constitute as proof of sacred virtual spaces.  </w:t>
      </w:r>
      <w:r w:rsidRPr="00202F52">
        <w:t>Daniele</w:t>
      </w:r>
      <w:r>
        <w:rPr>
          <w:b/>
          <w:bCs/>
        </w:rPr>
        <w:t xml:space="preserve"> </w:t>
      </w:r>
      <w:r>
        <w:t>Battista’s attempts to argue towards the existence of digital religious spaces, through the concept of cyber-religiosity</w:t>
      </w:r>
      <w:r>
        <w:rPr>
          <w:rStyle w:val="FootnoteReference"/>
        </w:rPr>
        <w:footnoteReference w:id="20"/>
      </w:r>
      <w:r>
        <w:t xml:space="preserve">. Battista’s contends that the </w:t>
      </w:r>
      <w:r w:rsidRPr="00CA79DB">
        <w:t>creation of digital spaces has allowed humans to create identity and connect socially without the need for close geographical proximity</w:t>
      </w:r>
      <w:r>
        <w:rPr>
          <w:rStyle w:val="FootnoteReference"/>
        </w:rPr>
        <w:footnoteReference w:id="21"/>
      </w:r>
      <w:r>
        <w:t>. Some of these</w:t>
      </w:r>
      <w:r w:rsidRPr="00CA79DB">
        <w:rPr>
          <w:lang w:val="en-GB"/>
        </w:rPr>
        <w:t xml:space="preserve"> digital spaces</w:t>
      </w:r>
      <w:r>
        <w:rPr>
          <w:lang w:val="en-GB"/>
        </w:rPr>
        <w:t xml:space="preserve">, including </w:t>
      </w:r>
      <w:r w:rsidRPr="00CA79DB">
        <w:rPr>
          <w:lang w:val="en-GB"/>
        </w:rPr>
        <w:t>blogs, podcasts, online videos, and social media platforms</w:t>
      </w:r>
      <w:r>
        <w:rPr>
          <w:lang w:val="en-GB"/>
        </w:rPr>
        <w:t xml:space="preserve">, have served as platforms </w:t>
      </w:r>
      <w:r w:rsidRPr="00CA79DB">
        <w:rPr>
          <w:lang w:val="en-GB"/>
        </w:rPr>
        <w:t>in which religious practices and spiritual values can be shared and openly discussed on a global scale</w:t>
      </w:r>
      <w:r>
        <w:rPr>
          <w:lang w:val="en-GB"/>
        </w:rPr>
        <w:t xml:space="preserve">. Such </w:t>
      </w:r>
      <w:r w:rsidRPr="00CA79DB">
        <w:rPr>
          <w:lang w:val="en-GB"/>
        </w:rPr>
        <w:t xml:space="preserve">digital spaces </w:t>
      </w:r>
      <w:r>
        <w:rPr>
          <w:lang w:val="en-GB"/>
        </w:rPr>
        <w:t xml:space="preserve">have also functioned as a platform for </w:t>
      </w:r>
      <w:r w:rsidRPr="00CA79DB">
        <w:rPr>
          <w:lang w:val="en-GB"/>
        </w:rPr>
        <w:t>religious influencers to reach a wide audience, share teachings, spread religious messages, and encourage active participation from other users</w:t>
      </w:r>
      <w:r>
        <w:rPr>
          <w:lang w:val="en-GB"/>
        </w:rPr>
        <w:t xml:space="preserve">. Batista categorises these religious intentions and interactions as ‘cyber-religiosity’ and notes that terrestrial </w:t>
      </w:r>
      <w:r w:rsidRPr="00CA79DB">
        <w:rPr>
          <w:lang w:val="en-GB"/>
        </w:rPr>
        <w:t>sacred spaces promote religiosity in the same manner that these digital spaces promote cyber-religiosity</w:t>
      </w:r>
      <w:r>
        <w:rPr>
          <w:rStyle w:val="FootnoteReference"/>
          <w:lang w:val="en-GB"/>
        </w:rPr>
        <w:footnoteReference w:id="22"/>
      </w:r>
      <w:r>
        <w:rPr>
          <w:lang w:val="en-GB"/>
        </w:rPr>
        <w:t>. As such, Batista concludes that d</w:t>
      </w:r>
      <w:r w:rsidRPr="00CA79DB">
        <w:rPr>
          <w:lang w:val="en-GB"/>
        </w:rPr>
        <w:t>igital spaces can indeed be sacred.</w:t>
      </w:r>
    </w:p>
    <w:p w14:paraId="1C78F293" w14:textId="77777777" w:rsidR="00A74CE6" w:rsidRPr="00D523A2" w:rsidRDefault="00A74CE6" w:rsidP="00A74CE6">
      <w:pPr>
        <w:spacing w:line="276" w:lineRule="auto"/>
        <w:ind w:firstLine="720"/>
        <w:rPr>
          <w:lang w:val="en-GB"/>
        </w:rPr>
      </w:pPr>
      <w:r w:rsidRPr="00D523A2">
        <w:rPr>
          <w:lang w:val="en-GB"/>
        </w:rPr>
        <w:t>One objection to Batista’s view is that modernisation and religion are fundamentally opposed</w:t>
      </w:r>
      <w:r>
        <w:rPr>
          <w:lang w:val="en-GB"/>
        </w:rPr>
        <w:t>,</w:t>
      </w:r>
      <w:r w:rsidRPr="00D523A2">
        <w:rPr>
          <w:lang w:val="en-GB"/>
        </w:rPr>
        <w:t xml:space="preserve"> and therefore a space cannot be both digital and sacred. Battista responds to this by drawing on the work of Sociologist Peter L. Berger’s, arguing that religion adapts to modernity rather than being displaced by it</w:t>
      </w:r>
      <w:r w:rsidRPr="00D523A2">
        <w:rPr>
          <w:rStyle w:val="FootnoteReference"/>
          <w:lang w:val="en-GB"/>
        </w:rPr>
        <w:footnoteReference w:id="23"/>
      </w:r>
      <w:r w:rsidRPr="00D523A2">
        <w:rPr>
          <w:lang w:val="en-GB"/>
        </w:rPr>
        <w:t xml:space="preserve">. Berger argues that modernisation does not automatically </w:t>
      </w:r>
      <w:r w:rsidRPr="00D523A2">
        <w:rPr>
          <w:lang w:val="en-GB"/>
        </w:rPr>
        <w:lastRenderedPageBreak/>
        <w:t>diminish religious participation or the significance of faith. Instead, he contends that religion retains its importance and can even gain renewed relevance within contemporary society. Moreover, Berger emphasizes that religious institutions and communities are not static; they possess the capacity to respond to societal change in ways that reinforce their influence and sustain their role in shaping individual and collective life. As such, modern forms of communication, including digital media, can become vehicles for religious meaning rather than threats to it.</w:t>
      </w:r>
    </w:p>
    <w:p w14:paraId="66FEAE18" w14:textId="77777777" w:rsidR="00A74CE6" w:rsidRPr="00A12432" w:rsidRDefault="00A74CE6" w:rsidP="00A74CE6">
      <w:pPr>
        <w:spacing w:line="276" w:lineRule="auto"/>
        <w:rPr>
          <w:highlight w:val="yellow"/>
          <w:lang w:val="en-GB"/>
        </w:rPr>
      </w:pPr>
    </w:p>
    <w:p w14:paraId="5369AD81" w14:textId="77777777" w:rsidR="00A74CE6" w:rsidRDefault="00A74CE6" w:rsidP="00A74CE6">
      <w:pPr>
        <w:spacing w:line="276" w:lineRule="auto"/>
      </w:pPr>
      <w:r w:rsidRPr="00A67CD0">
        <w:rPr>
          <w:lang w:val="en-GB"/>
        </w:rPr>
        <w:t>Another argument against Battista’s theory is that the presence of religious content on social media trivialises religious messages. Social media platforms such as Instagram, TikTok and Snapchat are designed to maximise attention, engagement, and ultimately drive profit through advertisements, rather than being designed to provoke deep reflection or spiritual development. As a result, it can be argued that religious activity within these spaces may lack the seriousness or depth required for genuine religiosity. Battista does concede that this is a possibility and implores religious figures to engage mindfully with these platforms</w:t>
      </w:r>
      <w:r w:rsidRPr="00A67CD0">
        <w:rPr>
          <w:rStyle w:val="FootnoteReference"/>
          <w:lang w:val="en-GB"/>
        </w:rPr>
        <w:footnoteReference w:id="24"/>
      </w:r>
      <w:r w:rsidRPr="00A67CD0">
        <w:rPr>
          <w:lang w:val="en-GB"/>
        </w:rPr>
        <w:t>. However, Batista also argues that meaningful religious engagement does occur in these spaces, pointing to examples such as Father Enzo Fortunato’s active social media presence. By using accessible language and platform-appropriate content to communicate religious teachings, Fortunato demonstrates how social media can function as a contemporary “virtual square” in which users actively encounter and engage with religious ideas</w:t>
      </w:r>
      <w:r w:rsidRPr="00A67CD0">
        <w:rPr>
          <w:rStyle w:val="FootnoteReference"/>
          <w:lang w:val="en-GB"/>
        </w:rPr>
        <w:footnoteReference w:id="25"/>
      </w:r>
      <w:r w:rsidRPr="00A67CD0">
        <w:rPr>
          <w:lang w:val="en-GB"/>
        </w:rPr>
        <w:t>. This shows that, whilst social media may pose challenges to religious depth, it does not inherently exclude the possibility of authentic and meaningful religiosity within digital spaces.</w:t>
      </w:r>
    </w:p>
    <w:p w14:paraId="1831FF17" w14:textId="77777777" w:rsidR="00A74CE6" w:rsidRDefault="00A74CE6" w:rsidP="00A74CE6">
      <w:pPr>
        <w:spacing w:line="276" w:lineRule="auto"/>
      </w:pPr>
      <w:r>
        <w:t xml:space="preserve">To conclude, Batista’s argument does indeed show that it is conceivable that a virtual space can be considered sacred. The question remains, however, as to how sanctity is assigned to these spaces. The remainder of this work will explore Christopher Tilley’s phenomenology of landscape study as a complimentary framework for assessing the sanctity of virtual spaces. </w:t>
      </w:r>
    </w:p>
    <w:p w14:paraId="5113C4EF" w14:textId="77777777" w:rsidR="00A74CE6" w:rsidRPr="00C36AB3" w:rsidRDefault="00A74CE6" w:rsidP="00A74CE6">
      <w:pPr>
        <w:spacing w:line="276" w:lineRule="auto"/>
        <w:rPr>
          <w:lang w:val="en-GB"/>
        </w:rPr>
      </w:pPr>
    </w:p>
    <w:p w14:paraId="7E76EBC6" w14:textId="77777777" w:rsidR="00A74CE6" w:rsidRPr="00793BA6" w:rsidRDefault="00A74CE6" w:rsidP="00A74CE6">
      <w:pPr>
        <w:spacing w:line="276" w:lineRule="auto"/>
        <w:rPr>
          <w:b/>
          <w:bCs/>
          <w:lang w:val="en-GB"/>
        </w:rPr>
      </w:pPr>
      <w:r w:rsidRPr="00793BA6">
        <w:rPr>
          <w:b/>
          <w:bCs/>
          <w:lang w:val="en-GB"/>
        </w:rPr>
        <w:t xml:space="preserve">Studying </w:t>
      </w:r>
      <w:r>
        <w:rPr>
          <w:b/>
          <w:bCs/>
          <w:lang w:val="en-GB"/>
        </w:rPr>
        <w:t>Spaces</w:t>
      </w:r>
      <w:r w:rsidRPr="00793BA6">
        <w:rPr>
          <w:b/>
          <w:bCs/>
          <w:lang w:val="en-GB"/>
        </w:rPr>
        <w:t xml:space="preserve"> – A Phenomenological Approach</w:t>
      </w:r>
    </w:p>
    <w:p w14:paraId="333FFACC" w14:textId="77777777" w:rsidR="00A74CE6" w:rsidRDefault="00A74CE6" w:rsidP="00A74CE6">
      <w:pPr>
        <w:spacing w:line="276" w:lineRule="auto"/>
        <w:ind w:firstLine="360"/>
      </w:pPr>
      <w:r w:rsidRPr="001C5F78">
        <w:rPr>
          <w:lang w:val="en-GB"/>
        </w:rPr>
        <w:t xml:space="preserve">To understand Tilley’s phenomenological approach to </w:t>
      </w:r>
      <w:r>
        <w:rPr>
          <w:lang w:val="en-GB"/>
        </w:rPr>
        <w:t>landscape study</w:t>
      </w:r>
      <w:r w:rsidRPr="001C5F78">
        <w:rPr>
          <w:lang w:val="en-GB"/>
        </w:rPr>
        <w:t>, it is necessary to situate</w:t>
      </w:r>
      <w:r>
        <w:rPr>
          <w:lang w:val="en-GB"/>
        </w:rPr>
        <w:t xml:space="preserve"> </w:t>
      </w:r>
      <w:r w:rsidRPr="001C5F78">
        <w:rPr>
          <w:lang w:val="en-GB"/>
        </w:rPr>
        <w:t>his work within the post-processual archaeological framework that it emerged from. Post-processual archaeology, as the name suggests, was developed as a direct critique of processual archelogy, a paradigm dating to the 1950s and 60s predicated on the positivist view that objective knowledge of past socio-cultural systems can be attained through applying the scientific method to the archaeological record</w:t>
      </w:r>
      <w:r w:rsidRPr="00132E24">
        <w:rPr>
          <w:vertAlign w:val="superscript"/>
          <w:lang w:val="en-GB"/>
        </w:rPr>
        <w:footnoteReference w:id="26"/>
      </w:r>
      <w:r w:rsidRPr="001C5F78">
        <w:rPr>
          <w:lang w:val="en-GB"/>
        </w:rPr>
        <w:t xml:space="preserve">. The hypothetico-deductive approach of the scientific method was central to this framework, whereby archaeologists formulated testable hypotheses about past </w:t>
      </w:r>
      <w:r w:rsidRPr="001C5F78">
        <w:rPr>
          <w:lang w:val="en-GB"/>
        </w:rPr>
        <w:lastRenderedPageBreak/>
        <w:t>societies, deduced expected material evidence if that hypothesis were true, and assessed these expectations against the archaeological record to conclude whether the starting hypothesis was valid. Lewis Binford was the driving force behind the processual approach to archaeology, attesting that this framework could transform the practice of archaeology into the rigorous science that it ought to be</w:t>
      </w:r>
      <w:r w:rsidRPr="00132E24">
        <w:rPr>
          <w:vertAlign w:val="superscript"/>
          <w:lang w:val="en-GB"/>
        </w:rPr>
        <w:footnoteReference w:id="27"/>
      </w:r>
      <w:r w:rsidRPr="001C5F78">
        <w:rPr>
          <w:lang w:val="en-GB"/>
        </w:rPr>
        <w:t>.</w:t>
      </w:r>
    </w:p>
    <w:p w14:paraId="3885454B" w14:textId="77777777" w:rsidR="00A74CE6" w:rsidRDefault="00A74CE6" w:rsidP="00A74CE6">
      <w:pPr>
        <w:spacing w:line="276" w:lineRule="auto"/>
        <w:ind w:firstLine="360"/>
      </w:pPr>
      <w:r w:rsidRPr="00132E24">
        <w:rPr>
          <w:lang w:val="en-GB"/>
        </w:rPr>
        <w:t xml:space="preserve">However, a group of Cambridge archaeologists in the 1980s, including Tilley, </w:t>
      </w:r>
      <w:r w:rsidRPr="004F569A">
        <w:rPr>
          <w:lang w:val="en-GB"/>
        </w:rPr>
        <w:t>challenged this claim to objectivity</w:t>
      </w:r>
      <w:r w:rsidRPr="00132E24">
        <w:rPr>
          <w:vertAlign w:val="superscript"/>
          <w:lang w:val="en-GB"/>
        </w:rPr>
        <w:footnoteReference w:id="28"/>
      </w:r>
      <w:r w:rsidRPr="00132E24">
        <w:rPr>
          <w:lang w:val="en-GB"/>
        </w:rPr>
        <w:t xml:space="preserve">.  </w:t>
      </w:r>
      <w:r>
        <w:rPr>
          <w:lang w:val="en-GB"/>
        </w:rPr>
        <w:t xml:space="preserve">They argued that archaeological interpretation is inevitably shaped by the sociopolitical contexts of the interpreter, which is incompatible with producing the neutral ‘truths’ that Processualists attested were attainable. </w:t>
      </w:r>
      <w:r w:rsidRPr="009717C1">
        <w:rPr>
          <w:lang w:val="en-GB"/>
        </w:rPr>
        <w:t>Instead, post</w:t>
      </w:r>
      <w:r w:rsidRPr="00132E24">
        <w:rPr>
          <w:lang w:val="en-GB"/>
        </w:rPr>
        <w:t xml:space="preserve">-processualism </w:t>
      </w:r>
      <w:r w:rsidRPr="009717C1">
        <w:rPr>
          <w:lang w:val="en-GB"/>
        </w:rPr>
        <w:t>reframed archaeology</w:t>
      </w:r>
      <w:r w:rsidRPr="00132E24">
        <w:rPr>
          <w:lang w:val="en-GB"/>
        </w:rPr>
        <w:t xml:space="preserve"> </w:t>
      </w:r>
      <w:r w:rsidRPr="009717C1">
        <w:rPr>
          <w:lang w:val="en-GB"/>
        </w:rPr>
        <w:t xml:space="preserve">as a fundamentally </w:t>
      </w:r>
      <w:r w:rsidRPr="00EB68BE">
        <w:rPr>
          <w:lang w:val="en-GB"/>
        </w:rPr>
        <w:t>interpretive practice</w:t>
      </w:r>
      <w:r w:rsidRPr="00132E24">
        <w:rPr>
          <w:lang w:val="en-GB"/>
        </w:rPr>
        <w:t>, with varying levels of ‘radical’ shift from the logical positivist perspective</w:t>
      </w:r>
      <w:r w:rsidRPr="00132E24">
        <w:rPr>
          <w:vertAlign w:val="superscript"/>
          <w:lang w:val="en-GB"/>
        </w:rPr>
        <w:footnoteReference w:id="29"/>
      </w:r>
      <w:r w:rsidRPr="00132E24">
        <w:rPr>
          <w:lang w:val="en-GB"/>
        </w:rPr>
        <w:t xml:space="preserve">. Tilley </w:t>
      </w:r>
      <w:r w:rsidRPr="00EB68BE">
        <w:rPr>
          <w:lang w:val="en-GB"/>
        </w:rPr>
        <w:t>adopted</w:t>
      </w:r>
      <w:r w:rsidRPr="00132E24">
        <w:rPr>
          <w:lang w:val="en-GB"/>
        </w:rPr>
        <w:t xml:space="preserve"> a strong</w:t>
      </w:r>
      <w:r w:rsidRPr="00EB68BE">
        <w:rPr>
          <w:lang w:val="en-GB"/>
        </w:rPr>
        <w:t xml:space="preserve">ly </w:t>
      </w:r>
      <w:r w:rsidRPr="00132E24">
        <w:rPr>
          <w:lang w:val="en-GB"/>
        </w:rPr>
        <w:t xml:space="preserve">relativist </w:t>
      </w:r>
      <w:r w:rsidRPr="00EB68BE">
        <w:rPr>
          <w:lang w:val="en-GB"/>
        </w:rPr>
        <w:t>stance</w:t>
      </w:r>
      <w:r w:rsidRPr="00132E24">
        <w:rPr>
          <w:lang w:val="en-GB"/>
        </w:rPr>
        <w:t xml:space="preserve">, attesting that there is no rational </w:t>
      </w:r>
      <w:r w:rsidRPr="00EB68BE">
        <w:rPr>
          <w:lang w:val="en-GB"/>
        </w:rPr>
        <w:t>basis for</w:t>
      </w:r>
      <w:r w:rsidRPr="00132E24">
        <w:rPr>
          <w:lang w:val="en-GB"/>
        </w:rPr>
        <w:t xml:space="preserve"> </w:t>
      </w:r>
      <w:r w:rsidRPr="00EB68BE">
        <w:rPr>
          <w:lang w:val="en-GB"/>
        </w:rPr>
        <w:t>deciding between</w:t>
      </w:r>
      <w:r w:rsidRPr="00132E24">
        <w:rPr>
          <w:lang w:val="en-GB"/>
        </w:rPr>
        <w:t xml:space="preserve"> opposing accounts of the past, </w:t>
      </w:r>
      <w:r w:rsidRPr="00EB68BE">
        <w:rPr>
          <w:lang w:val="en-GB"/>
        </w:rPr>
        <w:t>as</w:t>
      </w:r>
      <w:r w:rsidRPr="00132E24">
        <w:rPr>
          <w:lang w:val="en-GB"/>
        </w:rPr>
        <w:t xml:space="preserve"> such </w:t>
      </w:r>
      <w:r w:rsidRPr="00EB68BE">
        <w:rPr>
          <w:lang w:val="en-GB"/>
        </w:rPr>
        <w:t>judgments</w:t>
      </w:r>
      <w:r w:rsidRPr="00132E24">
        <w:rPr>
          <w:lang w:val="en-GB"/>
        </w:rPr>
        <w:t xml:space="preserve"> are always </w:t>
      </w:r>
      <w:r w:rsidRPr="00EB68BE">
        <w:rPr>
          <w:lang w:val="en-GB"/>
        </w:rPr>
        <w:t>mediated</w:t>
      </w:r>
      <w:r w:rsidRPr="00132E24">
        <w:rPr>
          <w:lang w:val="en-GB"/>
        </w:rPr>
        <w:t xml:space="preserve"> through the interpreter’s political or moral system</w:t>
      </w:r>
      <w:r w:rsidRPr="00132E24">
        <w:rPr>
          <w:vertAlign w:val="superscript"/>
          <w:lang w:val="en-GB"/>
        </w:rPr>
        <w:footnoteReference w:id="30"/>
      </w:r>
      <w:r w:rsidRPr="00132E24">
        <w:rPr>
          <w:lang w:val="en-GB"/>
        </w:rPr>
        <w:t>. This relationship between the human interpreter and the pasts</w:t>
      </w:r>
      <w:r w:rsidRPr="00F564C4">
        <w:rPr>
          <w:lang w:val="en-GB"/>
        </w:rPr>
        <w:t xml:space="preserve"> that</w:t>
      </w:r>
      <w:r w:rsidRPr="00132E24">
        <w:rPr>
          <w:lang w:val="en-GB"/>
        </w:rPr>
        <w:t xml:space="preserve"> they wish to understand underpins Tilley’s subsequent work, including his phenomenological perspective of landscape. </w:t>
      </w:r>
    </w:p>
    <w:p w14:paraId="6BC01846" w14:textId="77777777" w:rsidR="00A74CE6" w:rsidRDefault="00A74CE6" w:rsidP="00A74CE6">
      <w:pPr>
        <w:spacing w:line="276" w:lineRule="auto"/>
        <w:ind w:firstLine="360"/>
      </w:pPr>
      <w:r>
        <w:rPr>
          <w:lang w:val="en-GB"/>
        </w:rPr>
        <w:t xml:space="preserve">Tilley’s </w:t>
      </w:r>
      <w:r>
        <w:rPr>
          <w:i/>
          <w:iCs/>
          <w:lang w:val="en-GB"/>
        </w:rPr>
        <w:t>A Phenomenology of Landscape</w:t>
      </w:r>
      <w:r>
        <w:rPr>
          <w:lang w:val="en-GB"/>
        </w:rPr>
        <w:t xml:space="preserve"> is widely regarded as the first systematic intro</w:t>
      </w:r>
      <w:r w:rsidRPr="003F1611">
        <w:rPr>
          <w:lang w:val="en-GB"/>
        </w:rPr>
        <w:t>duction of phenomenology into archaeological methodology</w:t>
      </w:r>
      <w:r>
        <w:rPr>
          <w:rStyle w:val="FootnoteReference"/>
          <w:lang w:val="en-GB"/>
        </w:rPr>
        <w:footnoteReference w:id="31"/>
      </w:r>
      <w:r w:rsidRPr="003F1611">
        <w:rPr>
          <w:lang w:val="en-GB"/>
        </w:rPr>
        <w:t xml:space="preserve">. Phenomenology, broadly defined as the </w:t>
      </w:r>
      <w:r w:rsidRPr="00132E24">
        <w:rPr>
          <w:lang w:val="en-GB"/>
        </w:rPr>
        <w:t>study of structures of experience as they appear to their subject or experiencer</w:t>
      </w:r>
      <w:r>
        <w:rPr>
          <w:rStyle w:val="FootnoteReference"/>
          <w:lang w:val="en-GB"/>
        </w:rPr>
        <w:footnoteReference w:id="32"/>
      </w:r>
      <w:r w:rsidRPr="00132E24">
        <w:rPr>
          <w:lang w:val="en-GB"/>
        </w:rPr>
        <w:t xml:space="preserve">, </w:t>
      </w:r>
      <w:r>
        <w:rPr>
          <w:lang w:val="en-GB"/>
        </w:rPr>
        <w:t xml:space="preserve">is employed by Tilley to reframe how spaces are encountered and understood </w:t>
      </w:r>
      <w:r w:rsidRPr="00A01562">
        <w:rPr>
          <w:lang w:val="en-GB"/>
        </w:rPr>
        <w:t xml:space="preserve">within archaeological research. </w:t>
      </w:r>
      <w:r w:rsidRPr="00132E24">
        <w:rPr>
          <w:lang w:val="en-GB"/>
        </w:rPr>
        <w:t xml:space="preserve">Tilley begins his treatise by considering the nature of space, and how it is experienced. </w:t>
      </w:r>
      <w:r w:rsidRPr="00A01562">
        <w:rPr>
          <w:lang w:val="en-GB"/>
        </w:rPr>
        <w:t>The first</w:t>
      </w:r>
      <w:r w:rsidRPr="00132E24">
        <w:rPr>
          <w:lang w:val="en-GB"/>
        </w:rPr>
        <w:t xml:space="preserve"> perspective he explores is that of empiricist objectivism, which </w:t>
      </w:r>
      <w:r w:rsidRPr="00A01562">
        <w:rPr>
          <w:lang w:val="en-GB"/>
        </w:rPr>
        <w:t>posits</w:t>
      </w:r>
      <w:r w:rsidRPr="00132E24">
        <w:rPr>
          <w:lang w:val="en-GB"/>
        </w:rPr>
        <w:t xml:space="preserve"> that there is a purely objective reality, in which ‘perception’ is </w:t>
      </w:r>
      <w:r w:rsidRPr="00EA2D37">
        <w:rPr>
          <w:lang w:val="en-GB"/>
        </w:rPr>
        <w:t>merely the causal registration of stimuli upon a sensory organ</w:t>
      </w:r>
      <w:r w:rsidRPr="00132E24">
        <w:rPr>
          <w:vertAlign w:val="superscript"/>
          <w:lang w:val="en-GB"/>
        </w:rPr>
        <w:footnoteReference w:id="33"/>
      </w:r>
      <w:r w:rsidRPr="00132E24">
        <w:rPr>
          <w:lang w:val="en-GB"/>
        </w:rPr>
        <w:t xml:space="preserve">. </w:t>
      </w:r>
      <w:r w:rsidRPr="00EA2D37">
        <w:rPr>
          <w:lang w:val="en-GB"/>
        </w:rPr>
        <w:t>Within</w:t>
      </w:r>
      <w:r w:rsidRPr="00132E24">
        <w:rPr>
          <w:lang w:val="en-GB"/>
        </w:rPr>
        <w:t xml:space="preserve"> this view, there is no subject who perceives, </w:t>
      </w:r>
      <w:r w:rsidRPr="00EA2D37">
        <w:rPr>
          <w:lang w:val="en-GB"/>
        </w:rPr>
        <w:t>only</w:t>
      </w:r>
      <w:r w:rsidRPr="00132E24">
        <w:rPr>
          <w:lang w:val="en-GB"/>
        </w:rPr>
        <w:t xml:space="preserve"> objects exerting forces upon one another. Diametrically opposed to this</w:t>
      </w:r>
      <w:r w:rsidRPr="00EA2D37">
        <w:rPr>
          <w:lang w:val="en-GB"/>
        </w:rPr>
        <w:t xml:space="preserve"> is</w:t>
      </w:r>
      <w:r w:rsidRPr="00132E24">
        <w:rPr>
          <w:lang w:val="en-GB"/>
        </w:rPr>
        <w:t xml:space="preserve"> the cognitive idealist view</w:t>
      </w:r>
      <w:r w:rsidRPr="00EA2D37">
        <w:rPr>
          <w:lang w:val="en-GB"/>
        </w:rPr>
        <w:t>, which asserts</w:t>
      </w:r>
      <w:r w:rsidRPr="00132E24">
        <w:rPr>
          <w:lang w:val="en-GB"/>
        </w:rPr>
        <w:t xml:space="preserve"> that reality is ultimately constructed by the mind, </w:t>
      </w:r>
      <w:r w:rsidRPr="00EA2D37">
        <w:rPr>
          <w:lang w:val="en-GB"/>
        </w:rPr>
        <w:t xml:space="preserve">such that </w:t>
      </w:r>
      <w:r w:rsidRPr="00132E24">
        <w:rPr>
          <w:lang w:val="en-GB"/>
        </w:rPr>
        <w:t>objects</w:t>
      </w:r>
      <w:r w:rsidRPr="00EA2D37">
        <w:rPr>
          <w:lang w:val="en-GB"/>
        </w:rPr>
        <w:t xml:space="preserve"> </w:t>
      </w:r>
      <w:r w:rsidRPr="00132E24">
        <w:rPr>
          <w:lang w:val="en-GB"/>
        </w:rPr>
        <w:t xml:space="preserve">and the spaces </w:t>
      </w:r>
      <w:r w:rsidRPr="00EA2D37">
        <w:rPr>
          <w:lang w:val="en-GB"/>
        </w:rPr>
        <w:t xml:space="preserve">in which </w:t>
      </w:r>
      <w:r w:rsidRPr="00132E24">
        <w:rPr>
          <w:lang w:val="en-GB"/>
        </w:rPr>
        <w:t>they are situated exist only in</w:t>
      </w:r>
      <w:r w:rsidRPr="00EA2D37">
        <w:rPr>
          <w:lang w:val="en-GB"/>
        </w:rPr>
        <w:t>sofar as they are perceived by a consciousness</w:t>
      </w:r>
      <w:r w:rsidRPr="00132E24">
        <w:rPr>
          <w:vertAlign w:val="superscript"/>
          <w:lang w:val="en-GB"/>
        </w:rPr>
        <w:footnoteReference w:id="34"/>
      </w:r>
      <w:r w:rsidRPr="00132E24">
        <w:rPr>
          <w:lang w:val="en-GB"/>
        </w:rPr>
        <w:t xml:space="preserve">. </w:t>
      </w:r>
      <w:r>
        <w:rPr>
          <w:lang w:val="en-GB"/>
        </w:rPr>
        <w:t>Tilley argues that both of these positions are inadequate because they fail to address the phenomenon of perception as lived experienc</w:t>
      </w:r>
      <w:r w:rsidRPr="00B760DE">
        <w:rPr>
          <w:lang w:val="en-GB"/>
        </w:rPr>
        <w:t>e</w:t>
      </w:r>
      <w:r w:rsidRPr="00132E24">
        <w:rPr>
          <w:vertAlign w:val="superscript"/>
          <w:lang w:val="en-GB"/>
        </w:rPr>
        <w:footnoteReference w:id="35"/>
      </w:r>
      <w:r w:rsidRPr="00132E24">
        <w:rPr>
          <w:lang w:val="en-GB"/>
        </w:rPr>
        <w:t xml:space="preserve"> </w:t>
      </w:r>
      <w:r w:rsidRPr="002341E6">
        <w:rPr>
          <w:lang w:val="en-GB"/>
        </w:rPr>
        <w:t xml:space="preserve">Drawing instead upon the philosophies of Martin </w:t>
      </w:r>
      <w:r w:rsidRPr="00132E24">
        <w:rPr>
          <w:lang w:val="en-GB"/>
        </w:rPr>
        <w:t xml:space="preserve">Heidegger and </w:t>
      </w:r>
      <w:r w:rsidRPr="002341E6">
        <w:rPr>
          <w:lang w:val="en-GB"/>
        </w:rPr>
        <w:t xml:space="preserve">Maurice </w:t>
      </w:r>
      <w:r w:rsidRPr="00132E24">
        <w:rPr>
          <w:lang w:val="en-GB"/>
        </w:rPr>
        <w:t>Merleau-Ponty</w:t>
      </w:r>
      <w:r w:rsidRPr="002341E6">
        <w:rPr>
          <w:lang w:val="en-GB"/>
        </w:rPr>
        <w:t>, Tilley</w:t>
      </w:r>
      <w:r w:rsidRPr="00132E24">
        <w:rPr>
          <w:lang w:val="en-GB"/>
        </w:rPr>
        <w:t xml:space="preserve"> </w:t>
      </w:r>
      <w:r w:rsidRPr="002341E6">
        <w:rPr>
          <w:lang w:val="en-GB"/>
        </w:rPr>
        <w:t>a</w:t>
      </w:r>
      <w:r w:rsidRPr="00132E24">
        <w:rPr>
          <w:lang w:val="en-GB"/>
        </w:rPr>
        <w:t>rgue</w:t>
      </w:r>
      <w:r w:rsidRPr="002341E6">
        <w:rPr>
          <w:lang w:val="en-GB"/>
        </w:rPr>
        <w:t>s</w:t>
      </w:r>
      <w:r w:rsidRPr="00132E24">
        <w:rPr>
          <w:lang w:val="en-GB"/>
        </w:rPr>
        <w:t xml:space="preserve"> that conscious subjects are “beings-in-the-world”, with </w:t>
      </w:r>
      <w:r w:rsidRPr="002341E6">
        <w:rPr>
          <w:lang w:val="en-GB"/>
        </w:rPr>
        <w:t>the</w:t>
      </w:r>
      <w:r w:rsidRPr="00132E24">
        <w:rPr>
          <w:lang w:val="en-GB"/>
        </w:rPr>
        <w:t xml:space="preserve"> condition of their </w:t>
      </w:r>
      <w:r w:rsidRPr="00132E24">
        <w:rPr>
          <w:lang w:val="en-GB"/>
        </w:rPr>
        <w:lastRenderedPageBreak/>
        <w:t>existence predicated on their integration and engagement with the spaces they inhabit</w:t>
      </w:r>
      <w:r w:rsidRPr="00132E24">
        <w:rPr>
          <w:vertAlign w:val="superscript"/>
          <w:lang w:val="en-GB"/>
        </w:rPr>
        <w:footnoteReference w:id="36"/>
      </w:r>
      <w:r w:rsidRPr="00132E24">
        <w:rPr>
          <w:lang w:val="en-GB"/>
        </w:rPr>
        <w:t>.</w:t>
      </w:r>
      <w:r w:rsidRPr="002341E6">
        <w:rPr>
          <w:lang w:val="en-GB"/>
        </w:rPr>
        <w:t xml:space="preserve"> </w:t>
      </w:r>
      <w:r w:rsidRPr="002341E6">
        <w:t>Space, therefore, is seen not as abstract container but rather a relational field structured through the movement, memory, and orientation of the conscious subjects inhabiting it.</w:t>
      </w:r>
    </w:p>
    <w:p w14:paraId="437020F4" w14:textId="77777777" w:rsidR="00A74CE6" w:rsidRDefault="00A74CE6" w:rsidP="00A74CE6">
      <w:pPr>
        <w:spacing w:line="276" w:lineRule="auto"/>
        <w:ind w:firstLine="360"/>
      </w:pPr>
      <w:r w:rsidRPr="00132E24">
        <w:rPr>
          <w:lang w:val="en-GB"/>
        </w:rPr>
        <w:t xml:space="preserve">Tilley then applies this understanding of space and place to anthropological and archaeological understandings of landscape. </w:t>
      </w:r>
      <w:r>
        <w:rPr>
          <w:lang w:val="en-GB"/>
        </w:rPr>
        <w:t xml:space="preserve">Tilley </w:t>
      </w:r>
      <w:r w:rsidRPr="0049093C">
        <w:t>critiques earlier anthropological and archaeological approaches that conceptualised landscapes primarily in functional or adaptive terms</w:t>
      </w:r>
      <w:r w:rsidRPr="00132E24">
        <w:rPr>
          <w:lang w:val="en-GB"/>
        </w:rPr>
        <w:t xml:space="preserve">, </w:t>
      </w:r>
      <w:r w:rsidRPr="0049093C">
        <w:rPr>
          <w:lang w:val="en-GB"/>
        </w:rPr>
        <w:t>which disregards</w:t>
      </w:r>
      <w:r w:rsidRPr="00132E24">
        <w:rPr>
          <w:lang w:val="en-GB"/>
        </w:rPr>
        <w:t xml:space="preserve"> cosmologies and symbolism attached to the land</w:t>
      </w:r>
      <w:r w:rsidRPr="00132E24">
        <w:rPr>
          <w:vertAlign w:val="superscript"/>
          <w:lang w:val="en-GB"/>
        </w:rPr>
        <w:footnoteReference w:id="37"/>
      </w:r>
      <w:r>
        <w:rPr>
          <w:lang w:val="en-GB"/>
        </w:rPr>
        <w:t xml:space="preserve">. </w:t>
      </w:r>
      <w:r w:rsidRPr="00132E24">
        <w:rPr>
          <w:lang w:val="en-GB"/>
        </w:rPr>
        <w:t xml:space="preserve"> </w:t>
      </w:r>
      <w:r w:rsidRPr="00C97713">
        <w:rPr>
          <w:lang w:val="en-GB"/>
        </w:rPr>
        <w:t>Such approaches, Tilley argues,</w:t>
      </w:r>
      <w:r w:rsidRPr="00132E24">
        <w:rPr>
          <w:lang w:val="en-GB"/>
        </w:rPr>
        <w:t xml:space="preserve"> </w:t>
      </w:r>
      <w:r w:rsidRPr="00C97713">
        <w:rPr>
          <w:lang w:val="en-GB"/>
        </w:rPr>
        <w:t>render</w:t>
      </w:r>
      <w:r w:rsidRPr="00132E24">
        <w:rPr>
          <w:lang w:val="en-GB"/>
        </w:rPr>
        <w:t xml:space="preserve"> landscapes as passive</w:t>
      </w:r>
      <w:r w:rsidRPr="00C97713">
        <w:rPr>
          <w:lang w:val="en-GB"/>
        </w:rPr>
        <w:t xml:space="preserve"> backdrops for </w:t>
      </w:r>
      <w:r w:rsidRPr="00132E24">
        <w:rPr>
          <w:lang w:val="en-GB"/>
        </w:rPr>
        <w:t>human activity</w:t>
      </w:r>
      <w:r w:rsidRPr="00C97713">
        <w:rPr>
          <w:lang w:val="en-GB"/>
        </w:rPr>
        <w:t xml:space="preserve">, which is </w:t>
      </w:r>
      <w:r w:rsidRPr="00132E24">
        <w:rPr>
          <w:lang w:val="en-GB"/>
        </w:rPr>
        <w:t xml:space="preserve">of limited usefulness as a perspective, as it separates the mental processes of the conscious being from the world they inhabit. </w:t>
      </w:r>
      <w:r w:rsidRPr="00C75522">
        <w:t>As such, Tilley advocates for an approach to a landscape study that acknowledges these spaces as active participants, shaped by and shaping human practices over time.</w:t>
      </w:r>
      <w:r w:rsidRPr="00C75522">
        <w:rPr>
          <w:lang w:val="en-GB"/>
        </w:rPr>
        <w:t xml:space="preserve"> Furthermore, as</w:t>
      </w:r>
      <w:r w:rsidRPr="00132E24">
        <w:rPr>
          <w:lang w:val="en-GB"/>
        </w:rPr>
        <w:t xml:space="preserve"> “beings-in-the-world”, human activities are imprinted into the landscapes, which can hold these echoes to be re-experienced by a future “being-in-the-world”</w:t>
      </w:r>
      <w:r w:rsidRPr="00132E24">
        <w:rPr>
          <w:vertAlign w:val="superscript"/>
          <w:lang w:val="en-GB"/>
        </w:rPr>
        <w:footnoteReference w:id="38"/>
      </w:r>
      <w:r w:rsidRPr="00132E24">
        <w:rPr>
          <w:lang w:val="en-GB"/>
        </w:rPr>
        <w:t>.</w:t>
      </w:r>
      <w:r w:rsidRPr="00C75522">
        <w:t xml:space="preserve"> Consequently, Tilley advocates for </w:t>
      </w:r>
      <w:r>
        <w:t>researchers</w:t>
      </w:r>
      <w:r w:rsidRPr="00C75522">
        <w:t xml:space="preserve"> to use their own embodied experience as an interpretive tool, engaging physically and sensorially with landscapes to explore how past </w:t>
      </w:r>
      <w:r>
        <w:t>societies</w:t>
      </w:r>
      <w:r w:rsidRPr="00C75522">
        <w:t xml:space="preserve"> may have encountered them.</w:t>
      </w:r>
    </w:p>
    <w:p w14:paraId="3FACFD4B" w14:textId="77777777" w:rsidR="00A74CE6" w:rsidRDefault="00A74CE6" w:rsidP="00A74CE6">
      <w:pPr>
        <w:spacing w:line="276" w:lineRule="auto"/>
        <w:ind w:firstLine="720"/>
        <w:rPr>
          <w:lang w:val="en-GB"/>
        </w:rPr>
      </w:pPr>
      <w:r w:rsidRPr="00D54BB7">
        <w:rPr>
          <w:lang w:val="en-GB"/>
        </w:rPr>
        <w:t xml:space="preserve">Tilley’s phenomenological perspective of landscape study has attracted critique, particularly regarding its philosophical soundness. Scholars Barret and Ko argue that Tilley’s work is inconsistent with the Heideggerian phenomenology that it purports to be based upon. They argue that Tilley’s phenomenological perspective can be distilled into the </w:t>
      </w:r>
      <w:r w:rsidRPr="00132E24">
        <w:rPr>
          <w:lang w:val="en-GB"/>
        </w:rPr>
        <w:t>following three claims:</w:t>
      </w:r>
    </w:p>
    <w:p w14:paraId="6A7DF91D" w14:textId="77777777" w:rsidR="00A74CE6" w:rsidRDefault="00A74CE6" w:rsidP="00A74CE6">
      <w:pPr>
        <w:spacing w:line="276" w:lineRule="auto"/>
        <w:ind w:firstLine="720"/>
      </w:pPr>
    </w:p>
    <w:p w14:paraId="7DCAC9B0" w14:textId="77777777" w:rsidR="00A74CE6" w:rsidRDefault="00A74CE6" w:rsidP="00A74CE6">
      <w:pPr>
        <w:pStyle w:val="ListParagraph"/>
        <w:numPr>
          <w:ilvl w:val="0"/>
          <w:numId w:val="11"/>
        </w:numPr>
        <w:spacing w:line="276" w:lineRule="auto"/>
        <w:rPr>
          <w:lang w:val="en-GB"/>
        </w:rPr>
      </w:pPr>
      <w:r w:rsidRPr="00F7325F">
        <w:rPr>
          <w:lang w:val="en-GB"/>
        </w:rPr>
        <w:t xml:space="preserve">The archaeological record cannot be understood without a human presence. Meaning arises in a human engagement with material conditions. </w:t>
      </w:r>
    </w:p>
    <w:p w14:paraId="67A86450" w14:textId="77777777" w:rsidR="00A74CE6" w:rsidRDefault="00A74CE6" w:rsidP="00A74CE6">
      <w:pPr>
        <w:pStyle w:val="ListParagraph"/>
        <w:numPr>
          <w:ilvl w:val="0"/>
          <w:numId w:val="11"/>
        </w:numPr>
        <w:spacing w:line="276" w:lineRule="auto"/>
        <w:rPr>
          <w:lang w:val="en-GB"/>
        </w:rPr>
      </w:pPr>
      <w:r w:rsidRPr="00F7325F">
        <w:rPr>
          <w:lang w:val="en-GB"/>
        </w:rPr>
        <w:t>The body is the medium through which this engagement occurs.</w:t>
      </w:r>
    </w:p>
    <w:p w14:paraId="421D492C" w14:textId="77777777" w:rsidR="00A74CE6" w:rsidRPr="00F7325F" w:rsidRDefault="00A74CE6" w:rsidP="00A74CE6">
      <w:pPr>
        <w:pStyle w:val="ListParagraph"/>
        <w:numPr>
          <w:ilvl w:val="0"/>
          <w:numId w:val="11"/>
        </w:numPr>
        <w:spacing w:line="276" w:lineRule="auto"/>
        <w:rPr>
          <w:lang w:val="en-GB"/>
        </w:rPr>
      </w:pPr>
      <w:r w:rsidRPr="00F7325F">
        <w:rPr>
          <w:lang w:val="en-GB"/>
        </w:rPr>
        <w:t>By using his or her own body as the medium of engagement, the archaeologist can encounter a past Being-in-the-world, and in doing so, grasp the meaning of the archaeological record</w:t>
      </w:r>
      <w:r w:rsidRPr="00132E24">
        <w:rPr>
          <w:vertAlign w:val="superscript"/>
          <w:lang w:val="en-GB"/>
        </w:rPr>
        <w:footnoteReference w:id="39"/>
      </w:r>
      <w:r w:rsidRPr="00F7325F">
        <w:rPr>
          <w:lang w:val="en-GB"/>
        </w:rPr>
        <w:t xml:space="preserve">. </w:t>
      </w:r>
    </w:p>
    <w:p w14:paraId="788CFD57" w14:textId="77777777" w:rsidR="00A74CE6" w:rsidRDefault="00A74CE6" w:rsidP="00A74CE6">
      <w:pPr>
        <w:spacing w:line="276" w:lineRule="auto"/>
        <w:jc w:val="right"/>
        <w:rPr>
          <w:lang w:val="en-GB"/>
        </w:rPr>
      </w:pPr>
      <w:sdt>
        <w:sdtPr>
          <w:rPr>
            <w:lang w:val="en-GB"/>
          </w:rPr>
          <w:id w:val="-2089763206"/>
          <w:citation/>
        </w:sdtPr>
        <w:sdtContent>
          <w:r>
            <w:rPr>
              <w:lang w:val="en-GB"/>
            </w:rPr>
            <w:fldChar w:fldCharType="begin"/>
          </w:r>
          <w:r>
            <w:rPr>
              <w:lang w:val="en-GB"/>
            </w:rPr>
            <w:instrText xml:space="preserve"> CITATION Bar09 \l 2057 </w:instrText>
          </w:r>
          <w:r>
            <w:rPr>
              <w:lang w:val="en-GB"/>
            </w:rPr>
            <w:fldChar w:fldCharType="separate"/>
          </w:r>
          <w:r w:rsidRPr="00662A60">
            <w:rPr>
              <w:noProof/>
              <w:lang w:val="en-GB"/>
            </w:rPr>
            <w:t>(Barrett &amp; Ko, 2009)</w:t>
          </w:r>
          <w:r>
            <w:rPr>
              <w:lang w:val="en-GB"/>
            </w:rPr>
            <w:fldChar w:fldCharType="end"/>
          </w:r>
        </w:sdtContent>
      </w:sdt>
    </w:p>
    <w:p w14:paraId="53DFE312" w14:textId="77777777" w:rsidR="00A74CE6" w:rsidRDefault="00A74CE6" w:rsidP="00A74CE6">
      <w:pPr>
        <w:spacing w:line="276" w:lineRule="auto"/>
        <w:jc w:val="right"/>
      </w:pPr>
    </w:p>
    <w:p w14:paraId="4F171C1B" w14:textId="77777777" w:rsidR="00A74CE6" w:rsidRDefault="00A74CE6" w:rsidP="00A74CE6">
      <w:pPr>
        <w:spacing w:line="276" w:lineRule="auto"/>
        <w:ind w:firstLine="720"/>
      </w:pPr>
      <w:r>
        <w:rPr>
          <w:lang w:val="en-GB"/>
        </w:rPr>
        <w:t>I</w:t>
      </w:r>
      <w:r w:rsidRPr="001125DE">
        <w:rPr>
          <w:lang w:val="en-GB"/>
        </w:rPr>
        <w:t xml:space="preserve">t is the third claim that </w:t>
      </w:r>
      <w:r>
        <w:rPr>
          <w:lang w:val="en-GB"/>
        </w:rPr>
        <w:t>Barrett and Ko</w:t>
      </w:r>
      <w:r w:rsidRPr="001125DE">
        <w:rPr>
          <w:lang w:val="en-GB"/>
        </w:rPr>
        <w:t xml:space="preserve"> identify as problematic, arguing that it constitutes a subjective epistemology incompatible with Heideggerian phenomenology.</w:t>
      </w:r>
      <w:r w:rsidRPr="00132E24">
        <w:rPr>
          <w:vertAlign w:val="superscript"/>
          <w:lang w:val="en-GB"/>
        </w:rPr>
        <w:footnoteReference w:id="40"/>
      </w:r>
      <w:r w:rsidRPr="00132E24">
        <w:rPr>
          <w:lang w:val="en-GB"/>
        </w:rPr>
        <w:t xml:space="preserve">. </w:t>
      </w:r>
      <w:r w:rsidRPr="00066EDF">
        <w:t>However, this critique presupposes that Tilley is making claims that epistemic truth</w:t>
      </w:r>
      <w:r w:rsidRPr="00066EDF">
        <w:rPr>
          <w:lang w:val="en-GB"/>
        </w:rPr>
        <w:t>s</w:t>
      </w:r>
      <w:r w:rsidRPr="00132E24">
        <w:rPr>
          <w:lang w:val="en-GB"/>
        </w:rPr>
        <w:t xml:space="preserve"> </w:t>
      </w:r>
      <w:r w:rsidRPr="00066EDF">
        <w:rPr>
          <w:lang w:val="en-GB"/>
        </w:rPr>
        <w:t xml:space="preserve">could </w:t>
      </w:r>
      <w:r w:rsidRPr="00132E24">
        <w:rPr>
          <w:lang w:val="en-GB"/>
        </w:rPr>
        <w:t>be found through his methodology.</w:t>
      </w:r>
      <w:r>
        <w:t xml:space="preserve"> In fact</w:t>
      </w:r>
      <w:r w:rsidRPr="00066EDF">
        <w:t xml:space="preserve">, Tilley explicitly rejects the possibility of definitive or privileged interpretations </w:t>
      </w:r>
      <w:r w:rsidRPr="00066EDF">
        <w:lastRenderedPageBreak/>
        <w:t>of the past</w:t>
      </w:r>
      <w:r w:rsidRPr="00132E24">
        <w:rPr>
          <w:lang w:val="en-GB"/>
        </w:rPr>
        <w:t xml:space="preserve">. As such, this critique </w:t>
      </w:r>
      <w:r>
        <w:rPr>
          <w:lang w:val="en-GB"/>
        </w:rPr>
        <w:t xml:space="preserve">fails to discredit </w:t>
      </w:r>
      <w:r w:rsidRPr="00132E24">
        <w:rPr>
          <w:lang w:val="en-GB"/>
        </w:rPr>
        <w:t>Tilley’s phenomenological perspective</w:t>
      </w:r>
      <w:r>
        <w:rPr>
          <w:lang w:val="en-GB"/>
        </w:rPr>
        <w:t xml:space="preserve"> of landscape</w:t>
      </w:r>
      <w:r w:rsidRPr="00132E24">
        <w:rPr>
          <w:lang w:val="en-GB"/>
        </w:rPr>
        <w:t>.</w:t>
      </w:r>
    </w:p>
    <w:p w14:paraId="449E073C" w14:textId="77777777" w:rsidR="00A74CE6" w:rsidRPr="00CE13A3" w:rsidRDefault="00A74CE6" w:rsidP="00A74CE6">
      <w:pPr>
        <w:spacing w:line="276" w:lineRule="auto"/>
        <w:ind w:firstLine="720"/>
      </w:pPr>
      <w:r>
        <w:t>Whilst Tilley’s phenomenology of landscape was intended as a framework for positing past perspectives of physical spaces, we can apply the fundamental principles to the analysis of current virtual spaces</w:t>
      </w:r>
      <w:r>
        <w:rPr>
          <w:lang w:val="en-GB"/>
        </w:rPr>
        <w:t xml:space="preserve">. </w:t>
      </w:r>
      <w:r w:rsidRPr="00132E24">
        <w:rPr>
          <w:lang w:val="en-GB"/>
        </w:rPr>
        <w:t xml:space="preserve">Tilley argues that spaces are not containers for human action, but rather are mediums for and outcomes of </w:t>
      </w:r>
      <w:r w:rsidRPr="009E6D22">
        <w:rPr>
          <w:lang w:val="en-GB"/>
        </w:rPr>
        <w:t xml:space="preserve">it. </w:t>
      </w:r>
      <w:r>
        <w:rPr>
          <w:lang w:val="en-GB"/>
        </w:rPr>
        <w:t xml:space="preserve">We can see examples of virtual spaces behaving in the same manner. </w:t>
      </w:r>
      <w:r w:rsidRPr="00AE5AD0">
        <w:rPr>
          <w:lang w:val="en-GB"/>
        </w:rPr>
        <w:t>For example</w:t>
      </w:r>
      <w:r>
        <w:rPr>
          <w:lang w:val="en-GB"/>
        </w:rPr>
        <w:t>,</w:t>
      </w:r>
      <w:r>
        <w:t xml:space="preserve"> the cocreator of the virtual reality modelling language Mark Pesce spearheaded advancements in early computer technology and virtual spaces to complete advanced pagan cyber-rituals</w:t>
      </w:r>
      <w:r>
        <w:rPr>
          <w:rStyle w:val="FootnoteReference"/>
        </w:rPr>
        <w:footnoteReference w:id="41"/>
      </w:r>
      <w:r>
        <w:t>. By running four computers simultaneously, each oriented in different cardinal directions, Pesce as able to invite remote users to orient themselves at different points within the online ritual circle to enact certain effects upon the proceedings. In this way, Pesce was able to lead a multitude of rituals which were described by users as very ‘authentic’ pagan ritual experience, despite being modified to fit within the constraints of the virtual space [15:16]. As such, online spaces function in the same way as physical spaces do under Tilley’s phenomenological understanding of landscape and should therefore be interrogated in the same way.</w:t>
      </w:r>
    </w:p>
    <w:p w14:paraId="7D8850F3" w14:textId="77777777" w:rsidR="00A74CE6" w:rsidRDefault="00A74CE6" w:rsidP="00A74CE6">
      <w:pPr>
        <w:spacing w:line="276" w:lineRule="auto"/>
        <w:ind w:firstLine="720"/>
        <w:rPr>
          <w:lang w:val="en-GB"/>
        </w:rPr>
      </w:pPr>
      <w:r>
        <w:rPr>
          <w:lang w:val="en-GB"/>
        </w:rPr>
        <w:t>It has thus been shown that</w:t>
      </w:r>
      <w:r w:rsidRPr="00132E24">
        <w:rPr>
          <w:lang w:val="en-GB"/>
        </w:rPr>
        <w:t xml:space="preserve"> </w:t>
      </w:r>
      <w:r>
        <w:rPr>
          <w:lang w:val="en-GB"/>
        </w:rPr>
        <w:t xml:space="preserve">all </w:t>
      </w:r>
      <w:r w:rsidRPr="00132E24">
        <w:rPr>
          <w:lang w:val="en-GB"/>
        </w:rPr>
        <w:t>investigations of landscapes should be structured around the placement, orientation and movement of conscious subjects with and through these spaces.</w:t>
      </w:r>
      <w:r>
        <w:rPr>
          <w:lang w:val="en-GB"/>
        </w:rPr>
        <w:t xml:space="preserve"> Applying this to the study of virtual spaces, it becomes clear that that sanctity of a virtual space is determined by the way in which a user can orient themselves within and navigate through the space to undertake acts of cyber-religiosity. </w:t>
      </w:r>
    </w:p>
    <w:p w14:paraId="71967768" w14:textId="77777777" w:rsidR="00A74CE6" w:rsidRDefault="00A74CE6" w:rsidP="00A74CE6">
      <w:pPr>
        <w:spacing w:line="276" w:lineRule="auto"/>
        <w:rPr>
          <w:lang w:val="en-GB"/>
        </w:rPr>
      </w:pPr>
    </w:p>
    <w:p w14:paraId="346FB7CF" w14:textId="77777777" w:rsidR="00A74CE6" w:rsidRDefault="00A74CE6" w:rsidP="00A74CE6">
      <w:pPr>
        <w:spacing w:line="276" w:lineRule="auto"/>
        <w:rPr>
          <w:b/>
          <w:bCs/>
          <w:lang w:val="en-GB"/>
        </w:rPr>
      </w:pPr>
      <w:r w:rsidRPr="00673C00">
        <w:rPr>
          <w:b/>
          <w:bCs/>
          <w:lang w:val="en-GB"/>
        </w:rPr>
        <w:t>Cyberpilgrimages</w:t>
      </w:r>
    </w:p>
    <w:p w14:paraId="3CEB50BF" w14:textId="77777777" w:rsidR="00A74CE6" w:rsidRDefault="00A74CE6" w:rsidP="00A74CE6">
      <w:pPr>
        <w:spacing w:line="276" w:lineRule="auto"/>
        <w:ind w:firstLine="360"/>
      </w:pPr>
      <w:r>
        <w:rPr>
          <w:lang w:val="en-GB"/>
        </w:rPr>
        <w:t xml:space="preserve">How does one orient themselves within, or indeed navigate through, a virtual space? Upon first inspection, it seems as though the disconnect between the physical body of a user and the virtual space that they are interacting with poses a necessary problem for assessing the space’s sanctity. However, </w:t>
      </w:r>
      <w:r>
        <w:t>Connie Hill-Smiths conception of Cyberpilgrimages offers a framework for understanding how users can reconfigure the act of religious journeying into the digital environment.  Cyberpilgrimage, as defined by Hill-Smith, is the practice of undertaking a transformative religious journey via the internet</w:t>
      </w:r>
      <w:r>
        <w:rPr>
          <w:rStyle w:val="FootnoteReference"/>
        </w:rPr>
        <w:footnoteReference w:id="42"/>
      </w:r>
      <w:r>
        <w:t xml:space="preserve">. This </w:t>
      </w:r>
      <w:r w:rsidRPr="00EF232C">
        <w:t xml:space="preserve">definition </w:t>
      </w:r>
      <w:r>
        <w:t xml:space="preserve">focuses upon the total </w:t>
      </w:r>
      <w:r w:rsidRPr="00EF232C">
        <w:t xml:space="preserve">experience and intentionality </w:t>
      </w:r>
      <w:r>
        <w:t xml:space="preserve">of the individual, </w:t>
      </w:r>
      <w:r w:rsidRPr="00EF232C">
        <w:t>rather than</w:t>
      </w:r>
      <w:r>
        <w:t xml:space="preserve"> their</w:t>
      </w:r>
      <w:r w:rsidRPr="00EF232C">
        <w:t xml:space="preserve"> physical movement alone</w:t>
      </w:r>
      <w:r>
        <w:t>, as the basis of meaningful navigation through any given space</w:t>
      </w:r>
      <w:r w:rsidRPr="00EF232C">
        <w:t>.</w:t>
      </w:r>
    </w:p>
    <w:p w14:paraId="2A859358" w14:textId="77777777" w:rsidR="00A74CE6" w:rsidRDefault="00A74CE6" w:rsidP="00A74CE6">
      <w:pPr>
        <w:spacing w:line="276" w:lineRule="auto"/>
        <w:ind w:firstLine="360"/>
      </w:pPr>
      <w:r w:rsidRPr="00EF232C">
        <w:t xml:space="preserve">To substantiate this claim, </w:t>
      </w:r>
      <w:r>
        <w:t xml:space="preserve">Hill-Smith shows how </w:t>
      </w:r>
      <w:r w:rsidRPr="0077571E">
        <w:t>Alan Morinis</w:t>
      </w:r>
      <w:r>
        <w:t>’ six-part typology of characteristic motivations for terrestrial pilgrimages applies to her concept of cyberpilgrimages</w:t>
      </w:r>
      <w:r>
        <w:rPr>
          <w:rStyle w:val="FootnoteReference"/>
        </w:rPr>
        <w:footnoteReference w:id="43"/>
      </w:r>
      <w:r>
        <w:t xml:space="preserve">. The first type, the devotional pilgrimage, represents journeys motivated by the desire to </w:t>
      </w:r>
      <w:r w:rsidRPr="005A292B">
        <w:t xml:space="preserve">encounter </w:t>
      </w:r>
      <w:r w:rsidRPr="005A292B">
        <w:lastRenderedPageBreak/>
        <w:t>and hono</w:t>
      </w:r>
      <w:r>
        <w:t>u</w:t>
      </w:r>
      <w:r w:rsidRPr="005A292B">
        <w:t>r a sacred figure, symbol, or divinity</w:t>
      </w:r>
      <w:r>
        <w:t xml:space="preserve">. </w:t>
      </w:r>
      <w:r w:rsidRPr="00B30065">
        <w:t>Hill-Smith argues that this form of pilgrimage readily translates into online environments. As Brenda Brasher documents, numerous</w:t>
      </w:r>
      <w:r>
        <w:t xml:space="preserve"> </w:t>
      </w:r>
      <w:r w:rsidRPr="00B30065">
        <w:t>websites facilitate devotional practices such as prayer, poetry, and collective worship.</w:t>
      </w:r>
      <w:r>
        <w:rPr>
          <w:rStyle w:val="FootnoteReference"/>
        </w:rPr>
        <w:footnoteReference w:id="44"/>
      </w:r>
      <w:r w:rsidRPr="00B30065">
        <w:t xml:space="preserve"> These digital arenas function as focal points for devotion, allowing users to engage ritually and emotionally with the sacred.</w:t>
      </w:r>
    </w:p>
    <w:p w14:paraId="61725648" w14:textId="77777777" w:rsidR="00A74CE6" w:rsidRDefault="00A74CE6" w:rsidP="00A74CE6">
      <w:pPr>
        <w:spacing w:line="276" w:lineRule="auto"/>
        <w:ind w:firstLine="360"/>
      </w:pPr>
      <w:r>
        <w:t xml:space="preserve">Instrumental pilgrimage is undertaken to achieve a specific goal or bring about specific good fortune, such as promoting fertility, finding a marriage partner, or curing an illness. </w:t>
      </w:r>
      <w:r w:rsidRPr="00034888">
        <w:t xml:space="preserve">The second category, instrumental pilgrimage, involves journeys </w:t>
      </w:r>
      <w:r>
        <w:t xml:space="preserve">that are </w:t>
      </w:r>
      <w:r w:rsidRPr="00034888">
        <w:t>undertaken to achieve specific worldly goals, such as healing, fertility, or personal guidance. In digital contexts, this motivation is often expressed through online prayer requests, petitionary rituals, or interactive shrine websites.</w:t>
      </w:r>
    </w:p>
    <w:p w14:paraId="7A64F4A6" w14:textId="77777777" w:rsidR="00A74CE6" w:rsidRDefault="00A74CE6" w:rsidP="00A74CE6">
      <w:pPr>
        <w:spacing w:line="276" w:lineRule="auto"/>
        <w:ind w:firstLine="360"/>
      </w:pPr>
      <w:r>
        <w:t>Normative pilgrimages are journeys undertaken to mark specific dates or junctures in an individual’s or community’s life cycle. For example, Muslim users of the online world Second Life can undertake a virtual Hajj on the same dates as its physical namesake</w:t>
      </w:r>
      <w:r>
        <w:rPr>
          <w:rStyle w:val="FootnoteReference"/>
        </w:rPr>
        <w:footnoteReference w:id="45"/>
      </w:r>
      <w:r>
        <w:t xml:space="preserve">. This experience allows users to dress their avatar in ihram and navigate recreated sacred places, including visiting the holy city of Makkah and the circling the Kaaba. </w:t>
      </w:r>
    </w:p>
    <w:p w14:paraId="0E0A851C" w14:textId="77777777" w:rsidR="00A74CE6" w:rsidRDefault="00A74CE6" w:rsidP="00A74CE6">
      <w:pPr>
        <w:spacing w:line="276" w:lineRule="auto"/>
        <w:ind w:firstLine="360"/>
      </w:pPr>
      <w:r w:rsidRPr="00B8036D">
        <w:t xml:space="preserve">Obligatory pilgrimages form the fourth category in Morinis’ typology. </w:t>
      </w:r>
      <w:r>
        <w:t xml:space="preserve">Such journeys are undertaken when a specific tradition requires its members to do so as part of their sacred duties. </w:t>
      </w:r>
      <w:r w:rsidRPr="00B8036D">
        <w:t>At present, there are no mandatory cyberpilgrimages recognised within major religious traditions, and Hill-Smith suggests that this is unlikely to change</w:t>
      </w:r>
      <w:r>
        <w:rPr>
          <w:rStyle w:val="FootnoteReference"/>
        </w:rPr>
        <w:footnoteReference w:id="46"/>
      </w:r>
      <w:r w:rsidRPr="00B8036D">
        <w:t>. However, the absence of obligation does not negate the sacred potential of voluntary religious practices</w:t>
      </w:r>
      <w:r>
        <w:t>.</w:t>
      </w:r>
    </w:p>
    <w:p w14:paraId="44A13FF0" w14:textId="77777777" w:rsidR="00A74CE6" w:rsidRDefault="00A74CE6" w:rsidP="00A74CE6">
      <w:pPr>
        <w:spacing w:line="276" w:lineRule="auto"/>
        <w:ind w:firstLine="360"/>
      </w:pPr>
      <w:r w:rsidRPr="00946521">
        <w:t>The fifth category, the initiatory journey, is undertaken by an individual wishing to undertake a significant transformation in themselves or their beliefs. Hill-Smith concedes that such experiences are more difficult to elicit online, largely due to the limited experiential depth of many digital environments</w:t>
      </w:r>
      <w:r w:rsidRPr="00946521">
        <w:rPr>
          <w:rStyle w:val="FootnoteReference"/>
        </w:rPr>
        <w:footnoteReference w:id="47"/>
      </w:r>
      <w:r w:rsidRPr="00946521">
        <w:t xml:space="preserve">. Nonetheless, some websites such as Bruce Stanley’s </w:t>
      </w:r>
      <w:r>
        <w:t>labrynth.org.uk</w:t>
      </w:r>
      <w:r w:rsidRPr="00946521">
        <w:t xml:space="preserve"> go some way towards succeeding in replicating such transformative experiences. While these initiatives may not replicate the intensity of physical initiation rites, they do suggest that transformation need not be exclusively tied to rituals involving the physical body.</w:t>
      </w:r>
    </w:p>
    <w:p w14:paraId="791EBFF0" w14:textId="77777777" w:rsidR="00A74CE6" w:rsidRDefault="00A74CE6" w:rsidP="00A74CE6">
      <w:pPr>
        <w:spacing w:line="276" w:lineRule="auto"/>
        <w:ind w:firstLine="360"/>
      </w:pPr>
      <w:r w:rsidRPr="009E3E54">
        <w:t xml:space="preserve">Finally, wandering pilgrimage lacks a predetermined destination, emphasising openness and receptivity to guidance. Hill-Smith observes that internet browsing itself bears resemblance to this form, as users navigate without fixed goals, allowing themselves to be shaped by encounters along the way. This analogy highlights how virtual movement can mirror religious forms of </w:t>
      </w:r>
      <w:r>
        <w:t>wandering</w:t>
      </w:r>
      <w:r w:rsidRPr="009E3E54">
        <w:t>.</w:t>
      </w:r>
    </w:p>
    <w:p w14:paraId="2BB64DA7" w14:textId="77777777" w:rsidR="00A74CE6" w:rsidRDefault="00A74CE6" w:rsidP="00A74CE6">
      <w:pPr>
        <w:spacing w:line="276" w:lineRule="auto"/>
        <w:ind w:firstLine="360"/>
      </w:pPr>
      <w:r>
        <w:t>In addition to Morinis’ typology, Hill-Smith identifies two further motivations unique to cyberpilgrimages</w:t>
      </w:r>
      <w:r>
        <w:rPr>
          <w:rStyle w:val="FootnoteReference"/>
        </w:rPr>
        <w:footnoteReference w:id="48"/>
      </w:r>
      <w:r>
        <w:t xml:space="preserve">. Substitutional </w:t>
      </w:r>
      <w:r w:rsidRPr="00EF232C">
        <w:t>cyberpilgrimage</w:t>
      </w:r>
      <w:r>
        <w:t>s occur</w:t>
      </w:r>
      <w:r w:rsidRPr="00EF232C">
        <w:t xml:space="preserve"> when individuals are unable to undertake physical pilgrimage due to financial, environmental, or bodily constraints, </w:t>
      </w:r>
      <w:r>
        <w:t xml:space="preserve">and as such </w:t>
      </w:r>
      <w:r>
        <w:lastRenderedPageBreak/>
        <w:t>undertake</w:t>
      </w:r>
      <w:r w:rsidRPr="00EF232C">
        <w:t xml:space="preserve"> the online journey as an alternative means of access. Supplementary cyberpilgrimage</w:t>
      </w:r>
      <w:r>
        <w:t>s</w:t>
      </w:r>
      <w:r w:rsidRPr="00EF232C">
        <w:t xml:space="preserve">, by contrast, </w:t>
      </w:r>
      <w:r>
        <w:t>function</w:t>
      </w:r>
      <w:r w:rsidRPr="00EF232C">
        <w:t xml:space="preserve"> as a preparatory or reflective extension of terrestrial pilgrimage, </w:t>
      </w:r>
      <w:r>
        <w:t>enhancing a separate physical journey</w:t>
      </w:r>
      <w:r w:rsidRPr="00EF232C">
        <w:t>.</w:t>
      </w:r>
      <w:r>
        <w:t xml:space="preserve"> These additional motivations bridge the gap between terrestrial and cyber-religiosity, and work with Morinis’ original typology to expand religious journeying into the online arena.</w:t>
      </w:r>
    </w:p>
    <w:p w14:paraId="0BCDD610" w14:textId="77777777" w:rsidR="00A74CE6" w:rsidRDefault="00A74CE6" w:rsidP="00A74CE6">
      <w:pPr>
        <w:spacing w:line="276" w:lineRule="auto"/>
        <w:ind w:firstLine="360"/>
      </w:pPr>
      <w:r>
        <w:t>As such, Hill-Smith has shown that cyberpilgrimages satisfy much of the same functions as a traditional, terrestrial pilgrimage. Terrestrial pilgrimages are regarded as meaningful examples of beings-in-the-world interacting with the spaces they inhabit with religiosity. Therefore, by arguing that Cyberpilgrimages can satisfy the same functions as a terrestrial pilgrimage, Hill-smith has shown that virtual spaces are navigable by physical religious agents, and that these spaces can hold sanctity.</w:t>
      </w:r>
    </w:p>
    <w:p w14:paraId="7299E7D8" w14:textId="77777777" w:rsidR="00A74CE6" w:rsidRPr="00E20F4D" w:rsidRDefault="00A74CE6" w:rsidP="00A74CE6">
      <w:pPr>
        <w:spacing w:line="276" w:lineRule="auto"/>
        <w:ind w:firstLine="360"/>
      </w:pPr>
      <w:r>
        <w:t>Despite fulfilling the same functions as terrestrial pilgrimages, cyberpilgrimages are often not considered to be meaningful expressions of pilgrimage traditions</w:t>
      </w:r>
      <w:r>
        <w:rPr>
          <w:rStyle w:val="FootnoteReference"/>
        </w:rPr>
        <w:footnoteReference w:id="49"/>
      </w:r>
      <w:r>
        <w:t>.</w:t>
      </w:r>
      <w:r w:rsidRPr="00056D83">
        <w:t xml:space="preserve"> One prominent objection holds that pilgrimage requires direct physical engagement with a landscape. Christopher Helland illustrates this concern through the example of the Croagh Patrick pilgrimage, where pilgrims climb the mountain barefoot</w:t>
      </w:r>
      <w:r>
        <w:t xml:space="preserve"> </w:t>
      </w:r>
      <w:proofErr w:type="gramStart"/>
      <w:r>
        <w:t>in order to</w:t>
      </w:r>
      <w:proofErr w:type="gramEnd"/>
      <w:r>
        <w:t xml:space="preserve"> </w:t>
      </w:r>
      <w:r w:rsidRPr="00056D83">
        <w:t xml:space="preserve">offer </w:t>
      </w:r>
      <w:r>
        <w:t xml:space="preserve">their </w:t>
      </w:r>
      <w:r w:rsidRPr="00056D83">
        <w:t>bodily suffering as penance</w:t>
      </w:r>
      <w:r>
        <w:t xml:space="preserve"> for their sins</w:t>
      </w:r>
      <w:r>
        <w:rPr>
          <w:rStyle w:val="FootnoteReference"/>
        </w:rPr>
        <w:footnoteReference w:id="50"/>
      </w:r>
      <w:r w:rsidRPr="00056D83">
        <w:t>.</w:t>
      </w:r>
      <w:r>
        <w:t xml:space="preserve"> </w:t>
      </w:r>
      <w:r w:rsidRPr="00FB3184">
        <w:t xml:space="preserve">However, Helland </w:t>
      </w:r>
      <w:r>
        <w:t>notes that religious practices have been amended in the past to be inclusive of the limitations of remote access</w:t>
      </w:r>
      <w:r w:rsidRPr="00FB3184">
        <w:t xml:space="preserve">. </w:t>
      </w:r>
      <w:r>
        <w:t>F</w:t>
      </w:r>
      <w:r w:rsidRPr="00FB3184">
        <w:t xml:space="preserve">or instance, prayer requests </w:t>
      </w:r>
      <w:r>
        <w:t xml:space="preserve">have been extended to an online form </w:t>
      </w:r>
      <w:r w:rsidRPr="00FB3184">
        <w:t xml:space="preserve">to be read by priests at Lourdes, </w:t>
      </w:r>
      <w:r>
        <w:t>which were originally reserved for those physically on location</w:t>
      </w:r>
      <w:r>
        <w:rPr>
          <w:rStyle w:val="FootnoteReference"/>
        </w:rPr>
        <w:footnoteReference w:id="51"/>
      </w:r>
      <w:r>
        <w:t xml:space="preserve">. This suggests that physical engagement is not necessary for meaningful engagement in pilgrimage practice, even if it </w:t>
      </w:r>
      <w:proofErr w:type="gramStart"/>
      <w:r>
        <w:t>was considered to be</w:t>
      </w:r>
      <w:proofErr w:type="gramEnd"/>
      <w:r>
        <w:t xml:space="preserve"> </w:t>
      </w:r>
      <w:proofErr w:type="gramStart"/>
      <w:r>
        <w:t>traditionally</w:t>
      </w:r>
      <w:proofErr w:type="gramEnd"/>
      <w:r>
        <w:t>.</w:t>
      </w:r>
    </w:p>
    <w:p w14:paraId="156046FA" w14:textId="77777777" w:rsidR="00A74CE6" w:rsidRDefault="00A74CE6" w:rsidP="00A74CE6">
      <w:pPr>
        <w:spacing w:line="276" w:lineRule="auto"/>
        <w:ind w:firstLine="360"/>
      </w:pPr>
      <w:r w:rsidRPr="00BB523C">
        <w:t xml:space="preserve">Another objection claims that </w:t>
      </w:r>
      <w:proofErr w:type="gramStart"/>
      <w:r w:rsidRPr="00BB523C">
        <w:t>cyberpilgrimages</w:t>
      </w:r>
      <w:proofErr w:type="gramEnd"/>
      <w:r w:rsidRPr="00BB523C">
        <w:t xml:space="preserve"> are mere imitations </w:t>
      </w:r>
      <w:r>
        <w:t>of terrestrial pilgrimages through sacred spaces and</w:t>
      </w:r>
      <w:r w:rsidRPr="00BB523C">
        <w:t xml:space="preserve"> therefore lack authenticity.</w:t>
      </w:r>
      <w:r>
        <w:t xml:space="preserve"> However, this view fails to account for the fact that not all virtual religious spaces are imitations of physical earthly spaces. </w:t>
      </w:r>
      <w:proofErr w:type="gramStart"/>
      <w:r>
        <w:t>Scholars Dwivedi</w:t>
      </w:r>
      <w:proofErr w:type="gramEnd"/>
      <w:r w:rsidRPr="00EF232C">
        <w:t xml:space="preserve"> and Narula</w:t>
      </w:r>
      <w:r>
        <w:t xml:space="preserve"> distinguish between two distinct types of religious virtual spaces: simulations and simulacra</w:t>
      </w:r>
      <w:r>
        <w:rPr>
          <w:rStyle w:val="FootnoteReference"/>
        </w:rPr>
        <w:footnoteReference w:id="52"/>
      </w:r>
      <w:r>
        <w:t>.</w:t>
      </w:r>
      <w:r>
        <w:rPr>
          <w:b/>
          <w:bCs/>
          <w:lang w:val="en-GB"/>
        </w:rPr>
        <w:t xml:space="preserve"> </w:t>
      </w:r>
      <w:r>
        <w:t>Virtual religious simulations emulate physically existing sacred sites, whereas virtual religious simulacra lack any terrestrial referent. Ralph Schroeder’s study of Alpha world in 1996 documents the emergence of a virtual church that functioned as a dynamic communal worship space despite having no physical counterpart</w:t>
      </w:r>
      <w:r>
        <w:rPr>
          <w:rStyle w:val="FootnoteReference"/>
        </w:rPr>
        <w:footnoteReference w:id="53"/>
      </w:r>
      <w:r>
        <w:t xml:space="preserve">. </w:t>
      </w:r>
      <w:r w:rsidRPr="008F4C8D">
        <w:t>As such, it cannot be argued that virtual religious simulacra are non-sacred on these grounds.</w:t>
      </w:r>
    </w:p>
    <w:p w14:paraId="298FA1E3" w14:textId="77777777" w:rsidR="00A74CE6" w:rsidRDefault="00A74CE6" w:rsidP="00A74CE6">
      <w:pPr>
        <w:spacing w:line="278" w:lineRule="auto"/>
        <w:ind w:firstLine="720"/>
      </w:pPr>
      <w:r w:rsidRPr="00C51F74">
        <w:t>Furthermore, there is evidence to suggest that virtual religious simulations</w:t>
      </w:r>
      <w:r>
        <w:t xml:space="preserve"> can be considered as sacred through</w:t>
      </w:r>
      <w:r w:rsidRPr="00C51F74">
        <w:t xml:space="preserve"> substitutive pilgrimages</w:t>
      </w:r>
      <w:r>
        <w:t xml:space="preserve">. </w:t>
      </w:r>
      <w:r w:rsidRPr="00E521CA">
        <w:t xml:space="preserve">Medieval labyrinths constructed across Europe allowed pilgrims unable to travel to Jerusalem to undertake symbolic journeys that were </w:t>
      </w:r>
      <w:r w:rsidRPr="00E521CA">
        <w:lastRenderedPageBreak/>
        <w:t>recognised as spiritually equivalent</w:t>
      </w:r>
      <w:r>
        <w:rPr>
          <w:rStyle w:val="FootnoteReference"/>
        </w:rPr>
        <w:footnoteReference w:id="54"/>
      </w:r>
      <w:r w:rsidRPr="00E521CA">
        <w:t>. This tradition demonstrates that pilgrimage has long been understood as negotiable and substitutable, undermining the claim that physical travel is an absolute requirement for sacred engagement.</w:t>
      </w:r>
      <w:r>
        <w:t xml:space="preserve"> </w:t>
      </w:r>
    </w:p>
    <w:p w14:paraId="06425CBB" w14:textId="77777777" w:rsidR="00A74CE6" w:rsidRDefault="00A74CE6" w:rsidP="00A74CE6">
      <w:pPr>
        <w:spacing w:line="278" w:lineRule="auto"/>
        <w:ind w:firstLine="720"/>
      </w:pPr>
    </w:p>
    <w:p w14:paraId="3AEC2E8D" w14:textId="77777777" w:rsidR="00A74CE6" w:rsidRDefault="00A74CE6" w:rsidP="00A74CE6">
      <w:pPr>
        <w:spacing w:line="276" w:lineRule="auto"/>
        <w:ind w:firstLine="720"/>
      </w:pPr>
      <w:r w:rsidRPr="00602C16">
        <w:t xml:space="preserve">In summary, </w:t>
      </w:r>
      <w:r>
        <w:t xml:space="preserve">Virtual </w:t>
      </w:r>
      <w:r w:rsidRPr="00602C16">
        <w:t>spaces</w:t>
      </w:r>
      <w:r>
        <w:t xml:space="preserve"> are non-natural, real </w:t>
      </w:r>
      <w:r w:rsidRPr="00602C16">
        <w:t xml:space="preserve">environments capable of supporting meaningful religious practices. Drawing on the work of Chalmers, Tilley, and Hill-Smith, it </w:t>
      </w:r>
      <w:r>
        <w:t>has been shown</w:t>
      </w:r>
      <w:r w:rsidRPr="00602C16">
        <w:t xml:space="preserve"> that the sanctity of a space emerges from the </w:t>
      </w:r>
      <w:r>
        <w:t>interaction</w:t>
      </w:r>
      <w:r w:rsidRPr="00602C16">
        <w:t xml:space="preserve"> of human agents </w:t>
      </w:r>
      <w:r>
        <w:t xml:space="preserve">as they navigate orient themselves within and navigate through them, </w:t>
      </w:r>
      <w:r w:rsidRPr="00602C16">
        <w:t xml:space="preserve">rather than from its </w:t>
      </w:r>
      <w:r>
        <w:t>status as ‘natural’</w:t>
      </w:r>
      <w:r w:rsidRPr="00602C16">
        <w:t>.</w:t>
      </w:r>
      <w:r>
        <w:t xml:space="preserve"> </w:t>
      </w:r>
    </w:p>
    <w:p w14:paraId="11C2AF0B" w14:textId="77777777" w:rsidR="00A74CE6" w:rsidRDefault="00A74CE6" w:rsidP="00A74CE6">
      <w:pPr>
        <w:spacing w:line="276" w:lineRule="auto"/>
        <w:ind w:firstLine="720"/>
      </w:pPr>
    </w:p>
    <w:p w14:paraId="74C1E7F9" w14:textId="77777777" w:rsidR="00A74CE6" w:rsidRDefault="00A74CE6" w:rsidP="00A74CE6">
      <w:pPr>
        <w:spacing w:line="276" w:lineRule="auto"/>
      </w:pPr>
      <w:r>
        <w:t>Word Count: 4998</w:t>
      </w:r>
    </w:p>
    <w:sdt>
      <w:sdtPr>
        <w:id w:val="1428155125"/>
        <w:docPartObj>
          <w:docPartGallery w:val="Bibliographies"/>
          <w:docPartUnique/>
        </w:docPartObj>
      </w:sdtPr>
      <w:sdtEndPr>
        <w:rPr>
          <w:rFonts w:asciiTheme="minorHAnsi" w:eastAsiaTheme="minorHAnsi" w:hAnsiTheme="minorHAnsi" w:cstheme="minorBidi"/>
          <w:color w:val="auto"/>
          <w:sz w:val="22"/>
          <w:szCs w:val="22"/>
        </w:rPr>
      </w:sdtEndPr>
      <w:sdtContent>
        <w:p w14:paraId="4DED3763" w14:textId="77777777" w:rsidR="00A74CE6" w:rsidRPr="00FD14ED" w:rsidRDefault="00A74CE6" w:rsidP="00A74CE6">
          <w:pPr>
            <w:pStyle w:val="Heading1"/>
            <w:rPr>
              <w:b/>
              <w:bCs/>
              <w:color w:val="auto"/>
              <w:sz w:val="28"/>
              <w:szCs w:val="28"/>
            </w:rPr>
          </w:pPr>
          <w:r w:rsidRPr="00FD14ED">
            <w:rPr>
              <w:b/>
              <w:bCs/>
              <w:color w:val="auto"/>
              <w:sz w:val="28"/>
              <w:szCs w:val="28"/>
              <w:lang w:val="en-GB"/>
            </w:rPr>
            <w:t>Bibliography</w:t>
          </w:r>
        </w:p>
        <w:sdt>
          <w:sdtPr>
            <w:id w:val="111145805"/>
            <w:bibliography/>
          </w:sdtPr>
          <w:sdtContent>
            <w:p w14:paraId="2072BB97" w14:textId="77777777" w:rsidR="00A74CE6" w:rsidRDefault="00A74CE6" w:rsidP="00A74CE6">
              <w:pPr>
                <w:pStyle w:val="Bibliography"/>
                <w:ind w:left="720" w:hanging="720"/>
                <w:rPr>
                  <w:noProof/>
                  <w:sz w:val="24"/>
                  <w:szCs w:val="24"/>
                </w:rPr>
              </w:pPr>
              <w:r>
                <w:fldChar w:fldCharType="begin"/>
              </w:r>
              <w:r>
                <w:instrText>BIBLIOGRAPHY</w:instrText>
              </w:r>
              <w:r>
                <w:fldChar w:fldCharType="separate"/>
              </w:r>
              <w:r>
                <w:rPr>
                  <w:noProof/>
                </w:rPr>
                <w:t xml:space="preserve">Barrett, J. C., &amp; Ko, I. (2009). A Phenomenology of Landscape: A Crisis in British Landscape Archaeology? </w:t>
              </w:r>
              <w:r>
                <w:rPr>
                  <w:i/>
                  <w:iCs/>
                  <w:noProof/>
                </w:rPr>
                <w:t>Journal of Social Archeology, 9</w:t>
              </w:r>
              <w:r>
                <w:rPr>
                  <w:noProof/>
                </w:rPr>
                <w:t>(3), 275-94.</w:t>
              </w:r>
            </w:p>
            <w:p w14:paraId="6C935589" w14:textId="77777777" w:rsidR="00A74CE6" w:rsidRDefault="00A74CE6" w:rsidP="00A74CE6">
              <w:pPr>
                <w:pStyle w:val="Bibliography"/>
                <w:ind w:left="720" w:hanging="720"/>
                <w:rPr>
                  <w:noProof/>
                </w:rPr>
              </w:pPr>
              <w:r>
                <w:rPr>
                  <w:noProof/>
                </w:rPr>
                <w:t xml:space="preserve">Battista, D. (2024). The Digital as Sacred Space: Exploring the Online Religious Dimension. </w:t>
              </w:r>
              <w:r>
                <w:rPr>
                  <w:i/>
                  <w:iCs/>
                  <w:noProof/>
                </w:rPr>
                <w:t>Academicus International Scientific Journal 15.29 (2024), 15</w:t>
              </w:r>
              <w:r>
                <w:rPr>
                  <w:noProof/>
                </w:rPr>
                <w:t>(29), 21-37.</w:t>
              </w:r>
            </w:p>
            <w:p w14:paraId="6B45661F" w14:textId="77777777" w:rsidR="00A74CE6" w:rsidRDefault="00A74CE6" w:rsidP="00A74CE6">
              <w:pPr>
                <w:pStyle w:val="Bibliography"/>
                <w:ind w:left="720" w:hanging="720"/>
                <w:rPr>
                  <w:noProof/>
                </w:rPr>
              </w:pPr>
              <w:r>
                <w:rPr>
                  <w:noProof/>
                </w:rPr>
                <w:t xml:space="preserve">Brasher, B. (2001). </w:t>
              </w:r>
              <w:r>
                <w:rPr>
                  <w:i/>
                  <w:iCs/>
                  <w:noProof/>
                </w:rPr>
                <w:t>Give me that Online Religion.</w:t>
              </w:r>
              <w:r>
                <w:rPr>
                  <w:noProof/>
                </w:rPr>
                <w:t xml:space="preserve"> Jossey-Bass.</w:t>
              </w:r>
            </w:p>
            <w:p w14:paraId="606BAF1E" w14:textId="77777777" w:rsidR="00A74CE6" w:rsidRDefault="00A74CE6" w:rsidP="00A74CE6">
              <w:pPr>
                <w:pStyle w:val="Bibliography"/>
                <w:ind w:left="720" w:hanging="720"/>
                <w:rPr>
                  <w:noProof/>
                </w:rPr>
              </w:pPr>
              <w:r>
                <w:rPr>
                  <w:noProof/>
                </w:rPr>
                <w:t xml:space="preserve">Britannica Editors. (2025). </w:t>
              </w:r>
              <w:r>
                <w:rPr>
                  <w:i/>
                  <w:iCs/>
                  <w:noProof/>
                </w:rPr>
                <w:t>Lewis R. Binford</w:t>
              </w:r>
              <w:r>
                <w:rPr>
                  <w:noProof/>
                </w:rPr>
                <w:t>. Retrieved November 2025, from Encyclopedia Britannica: https://www.britannica.com/biography/Lewis-R-Binford</w:t>
              </w:r>
            </w:p>
            <w:p w14:paraId="1E29F57B" w14:textId="77777777" w:rsidR="00A74CE6" w:rsidRDefault="00A74CE6" w:rsidP="00A74CE6">
              <w:pPr>
                <w:pStyle w:val="Bibliography"/>
                <w:ind w:left="720" w:hanging="720"/>
                <w:rPr>
                  <w:noProof/>
                </w:rPr>
              </w:pPr>
              <w:r>
                <w:rPr>
                  <w:noProof/>
                </w:rPr>
                <w:t xml:space="preserve">Chalmers, D. (2017). The virtual and the real. </w:t>
              </w:r>
              <w:r>
                <w:rPr>
                  <w:i/>
                  <w:iCs/>
                  <w:noProof/>
                </w:rPr>
                <w:t>Disputatio: International Journal of Philosophy, 9</w:t>
              </w:r>
              <w:r>
                <w:rPr>
                  <w:noProof/>
                </w:rPr>
                <w:t>(46), 1-36.</w:t>
              </w:r>
            </w:p>
            <w:p w14:paraId="4ABB3285" w14:textId="77777777" w:rsidR="00A74CE6" w:rsidRDefault="00A74CE6" w:rsidP="00A74CE6">
              <w:pPr>
                <w:pStyle w:val="Bibliography"/>
                <w:ind w:left="720" w:hanging="720"/>
                <w:rPr>
                  <w:noProof/>
                </w:rPr>
              </w:pPr>
              <w:r>
                <w:rPr>
                  <w:noProof/>
                </w:rPr>
                <w:t xml:space="preserve">Dwivedi, P. S., &amp; Narula, A. (2020). Religious communities in simulated sacred spaces: A study of pilgrimages in digital media. </w:t>
              </w:r>
              <w:r>
                <w:rPr>
                  <w:i/>
                  <w:iCs/>
                  <w:noProof/>
                </w:rPr>
                <w:t>Journal of Content, Community and Communication, 11</w:t>
              </w:r>
              <w:r>
                <w:rPr>
                  <w:noProof/>
                </w:rPr>
                <w:t>(10), 260-267.</w:t>
              </w:r>
            </w:p>
            <w:p w14:paraId="0A8DF30F" w14:textId="77777777" w:rsidR="00A74CE6" w:rsidRDefault="00A74CE6" w:rsidP="00A74CE6">
              <w:pPr>
                <w:pStyle w:val="Bibliography"/>
                <w:ind w:left="720" w:hanging="720"/>
                <w:rPr>
                  <w:noProof/>
                </w:rPr>
              </w:pPr>
              <w:r>
                <w:rPr>
                  <w:noProof/>
                </w:rPr>
                <w:t xml:space="preserve">Grabarczyk, P. (2024). What is real in Virtual Reality? </w:t>
              </w:r>
              <w:r>
                <w:rPr>
                  <w:i/>
                  <w:iCs/>
                  <w:noProof/>
                </w:rPr>
                <w:t>Roczniki Filozoficzne / Annales de Philosophie / Annals of Philosophy, 72</w:t>
              </w:r>
              <w:r>
                <w:rPr>
                  <w:noProof/>
                </w:rPr>
                <w:t>(1), 79-98.</w:t>
              </w:r>
            </w:p>
            <w:p w14:paraId="02B238A8" w14:textId="77777777" w:rsidR="00A74CE6" w:rsidRDefault="00A74CE6" w:rsidP="00A74CE6">
              <w:pPr>
                <w:pStyle w:val="Bibliography"/>
                <w:ind w:left="720" w:hanging="720"/>
                <w:rPr>
                  <w:noProof/>
                </w:rPr>
              </w:pPr>
              <w:r>
                <w:rPr>
                  <w:noProof/>
                </w:rPr>
                <w:t xml:space="preserve">Helland, C. (Director). (2007). </w:t>
              </w:r>
              <w:r>
                <w:rPr>
                  <w:i/>
                  <w:iCs/>
                  <w:noProof/>
                </w:rPr>
                <w:t>Turning Cyberspace into Sacred Space</w:t>
              </w:r>
              <w:r>
                <w:rPr>
                  <w:noProof/>
                </w:rPr>
                <w:t xml:space="preserve"> [Motion Picture]. Retrieved December 2025, from https://www.youtube.com/watch?v=xS8al7exOCs</w:t>
              </w:r>
            </w:p>
            <w:p w14:paraId="0A342CF9" w14:textId="77777777" w:rsidR="00A74CE6" w:rsidRDefault="00A74CE6" w:rsidP="00A74CE6">
              <w:pPr>
                <w:pStyle w:val="Bibliography"/>
                <w:ind w:left="720" w:hanging="720"/>
                <w:rPr>
                  <w:noProof/>
                </w:rPr>
              </w:pPr>
              <w:r>
                <w:rPr>
                  <w:noProof/>
                </w:rPr>
                <w:t xml:space="preserve">Hill-Smith, C. (2011). Cyberpilgrimage: The (virtual) reality of online pilgrimage experience. </w:t>
              </w:r>
              <w:r>
                <w:rPr>
                  <w:i/>
                  <w:iCs/>
                  <w:noProof/>
                </w:rPr>
                <w:t>Religion Compass, 5</w:t>
              </w:r>
              <w:r>
                <w:rPr>
                  <w:noProof/>
                </w:rPr>
                <w:t>(6), 236-246.</w:t>
              </w:r>
            </w:p>
            <w:p w14:paraId="0EADF8D2" w14:textId="77777777" w:rsidR="00A74CE6" w:rsidRDefault="00A74CE6" w:rsidP="00A74CE6">
              <w:pPr>
                <w:pStyle w:val="Bibliography"/>
                <w:ind w:left="720" w:hanging="720"/>
                <w:rPr>
                  <w:noProof/>
                </w:rPr>
              </w:pPr>
              <w:r>
                <w:rPr>
                  <w:noProof/>
                </w:rPr>
                <w:t xml:space="preserve">Hodder, I. (1984). Burials, Hoses, Women and Men in the European Neolithic. In D. Miller, &amp; C. Tilley (Eds.), </w:t>
              </w:r>
              <w:r>
                <w:rPr>
                  <w:i/>
                  <w:iCs/>
                  <w:noProof/>
                </w:rPr>
                <w:t>Ideology, Power and Prehistory</w:t>
              </w:r>
              <w:r>
                <w:rPr>
                  <w:noProof/>
                </w:rPr>
                <w:t xml:space="preserve"> (p. 53). Cambridge University Press.</w:t>
              </w:r>
            </w:p>
            <w:p w14:paraId="432F48C7" w14:textId="77777777" w:rsidR="00A74CE6" w:rsidRDefault="00A74CE6" w:rsidP="00A74CE6">
              <w:pPr>
                <w:pStyle w:val="Bibliography"/>
                <w:ind w:left="720" w:hanging="720"/>
                <w:rPr>
                  <w:noProof/>
                </w:rPr>
              </w:pPr>
              <w:r>
                <w:rPr>
                  <w:noProof/>
                </w:rPr>
                <w:lastRenderedPageBreak/>
                <w:t xml:space="preserve">Johnson, A. L. (2008). Processual Archeology. In D. M. Pearsall (Ed.), </w:t>
              </w:r>
              <w:r>
                <w:rPr>
                  <w:i/>
                  <w:iCs/>
                  <w:noProof/>
                </w:rPr>
                <w:t>Encyclopedia of Archeology</w:t>
              </w:r>
              <w:r>
                <w:rPr>
                  <w:noProof/>
                </w:rPr>
                <w:t xml:space="preserve"> (pp. 1894-96). New York: Academic Press.</w:t>
              </w:r>
            </w:p>
            <w:p w14:paraId="0807C33D" w14:textId="77777777" w:rsidR="00A74CE6" w:rsidRDefault="00A74CE6" w:rsidP="00A74CE6">
              <w:pPr>
                <w:pStyle w:val="Bibliography"/>
                <w:ind w:left="720" w:hanging="720"/>
                <w:rPr>
                  <w:noProof/>
                </w:rPr>
              </w:pPr>
              <w:r>
                <w:rPr>
                  <w:noProof/>
                </w:rPr>
                <w:t xml:space="preserve">Merriam-Webster. (2026). </w:t>
              </w:r>
              <w:r>
                <w:rPr>
                  <w:i/>
                  <w:iCs/>
                  <w:noProof/>
                </w:rPr>
                <w:t>Virtual</w:t>
              </w:r>
              <w:r>
                <w:rPr>
                  <w:noProof/>
                </w:rPr>
                <w:t>. Retrieved Jan 2026, from Merriam-webster.com Dictionary: https://www.merriam-webster.com/dictionary/virtual.</w:t>
              </w:r>
            </w:p>
            <w:p w14:paraId="2CD9BB27" w14:textId="77777777" w:rsidR="00A74CE6" w:rsidRDefault="00A74CE6" w:rsidP="00A74CE6">
              <w:pPr>
                <w:pStyle w:val="Bibliography"/>
                <w:ind w:left="720" w:hanging="720"/>
                <w:rPr>
                  <w:noProof/>
                </w:rPr>
              </w:pPr>
              <w:r>
                <w:rPr>
                  <w:noProof/>
                </w:rPr>
                <w:t xml:space="preserve">Rowlands, M., Solomon, E., Yalouri, E., &amp; Laviolette, P. (2024). A Tribute and Farewell to Professor Chris Tilley. </w:t>
              </w:r>
              <w:r>
                <w:rPr>
                  <w:i/>
                  <w:iCs/>
                  <w:noProof/>
                </w:rPr>
                <w:t>Ethnologia Europaea, 54</w:t>
              </w:r>
              <w:r>
                <w:rPr>
                  <w:noProof/>
                </w:rPr>
                <w:t>(1), 88-95.</w:t>
              </w:r>
            </w:p>
            <w:p w14:paraId="37ED7F4A" w14:textId="77777777" w:rsidR="00A74CE6" w:rsidRDefault="00A74CE6" w:rsidP="00A74CE6">
              <w:pPr>
                <w:pStyle w:val="Bibliography"/>
                <w:ind w:left="720" w:hanging="720"/>
                <w:rPr>
                  <w:noProof/>
                </w:rPr>
              </w:pPr>
              <w:r>
                <w:rPr>
                  <w:noProof/>
                </w:rPr>
                <w:t xml:space="preserve">Shanks, M. (2007). Post-Processual Archeology and After. In H. D. R. Alexander Bentley (Ed.), </w:t>
              </w:r>
              <w:r>
                <w:rPr>
                  <w:i/>
                  <w:iCs/>
                  <w:noProof/>
                </w:rPr>
                <w:t>Handbook of Archeological Theories</w:t>
              </w:r>
              <w:r>
                <w:rPr>
                  <w:noProof/>
                </w:rPr>
                <w:t xml:space="preserve"> (p. 135). Bloomsbury Publishing.</w:t>
              </w:r>
            </w:p>
            <w:p w14:paraId="2D391599" w14:textId="77777777" w:rsidR="00A74CE6" w:rsidRDefault="00A74CE6" w:rsidP="00A74CE6">
              <w:pPr>
                <w:pStyle w:val="Bibliography"/>
                <w:ind w:left="720" w:hanging="720"/>
                <w:rPr>
                  <w:noProof/>
                </w:rPr>
              </w:pPr>
              <w:r>
                <w:rPr>
                  <w:noProof/>
                </w:rPr>
                <w:t xml:space="preserve">Shanks, M., &amp; Tilley, C. (1987). </w:t>
              </w:r>
              <w:r>
                <w:rPr>
                  <w:i/>
                  <w:iCs/>
                  <w:noProof/>
                </w:rPr>
                <w:t>Social Theory and Archeology.</w:t>
              </w:r>
              <w:r>
                <w:rPr>
                  <w:noProof/>
                </w:rPr>
                <w:t xml:space="preserve"> Polity Press Cambridge.</w:t>
              </w:r>
            </w:p>
            <w:p w14:paraId="01FE4EA6" w14:textId="77777777" w:rsidR="00A74CE6" w:rsidRDefault="00A74CE6" w:rsidP="00A74CE6">
              <w:pPr>
                <w:pStyle w:val="Bibliography"/>
                <w:ind w:left="720" w:hanging="720"/>
                <w:rPr>
                  <w:noProof/>
                </w:rPr>
              </w:pPr>
              <w:r>
                <w:rPr>
                  <w:noProof/>
                </w:rPr>
                <w:t xml:space="preserve">Smith, D. W. (2018). </w:t>
              </w:r>
              <w:r>
                <w:rPr>
                  <w:i/>
                  <w:iCs/>
                  <w:noProof/>
                </w:rPr>
                <w:t>Phenomenology</w:t>
              </w:r>
              <w:r>
                <w:rPr>
                  <w:noProof/>
                </w:rPr>
                <w:t>. (E. N. Zalta, Editor) Retrieved 2025 December, from The Stanford Encyclopedia of Philosophy: https://plato.stanford.edu/archives/sum2018/entries/phenomenology/</w:t>
              </w:r>
            </w:p>
            <w:p w14:paraId="141BF566" w14:textId="77777777" w:rsidR="00A74CE6" w:rsidRDefault="00A74CE6" w:rsidP="00A74CE6">
              <w:pPr>
                <w:pStyle w:val="Bibliography"/>
                <w:ind w:left="720" w:hanging="720"/>
                <w:rPr>
                  <w:noProof/>
                </w:rPr>
              </w:pPr>
              <w:r>
                <w:rPr>
                  <w:noProof/>
                </w:rPr>
                <w:t xml:space="preserve">Tilley, C. (1994). Space, Place, Landscape and Perception: Phenomenological Perspectives. In C. Tilley, </w:t>
              </w:r>
              <w:r>
                <w:rPr>
                  <w:i/>
                  <w:iCs/>
                  <w:noProof/>
                </w:rPr>
                <w:t>A phenomenology of landscape: places, paths and monuments</w:t>
              </w:r>
              <w:r>
                <w:rPr>
                  <w:noProof/>
                </w:rPr>
                <w:t xml:space="preserve"> (pp. 13-27).</w:t>
              </w:r>
            </w:p>
            <w:p w14:paraId="0FA1FB4A" w14:textId="77777777" w:rsidR="00A74CE6" w:rsidRDefault="00A74CE6" w:rsidP="00A74CE6">
              <w:r>
                <w:rPr>
                  <w:b/>
                  <w:bCs/>
                </w:rPr>
                <w:fldChar w:fldCharType="end"/>
              </w:r>
            </w:p>
          </w:sdtContent>
        </w:sdt>
      </w:sdtContent>
    </w:sdt>
    <w:p w14:paraId="5431F6F6" w14:textId="77777777" w:rsidR="00A74CE6" w:rsidRPr="00985CA1" w:rsidRDefault="00A74CE6" w:rsidP="00A74CE6">
      <w:pPr>
        <w:spacing w:line="276" w:lineRule="auto"/>
      </w:pPr>
    </w:p>
    <w:p w14:paraId="3BBAF962" w14:textId="77777777" w:rsidR="008B6AA6" w:rsidRDefault="008B6AA6"/>
    <w:sectPr w:rsidR="008B6AA6" w:rsidSect="00A74CE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9DB42D" w14:textId="77777777" w:rsidR="00A74CE6" w:rsidRDefault="00A74CE6" w:rsidP="00A74CE6">
      <w:pPr>
        <w:spacing w:after="0" w:line="240" w:lineRule="auto"/>
      </w:pPr>
      <w:r>
        <w:separator/>
      </w:r>
    </w:p>
  </w:endnote>
  <w:endnote w:type="continuationSeparator" w:id="0">
    <w:p w14:paraId="64CFB645" w14:textId="77777777" w:rsidR="00A74CE6" w:rsidRDefault="00A74CE6" w:rsidP="00A74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altName w:val="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D80037" w14:textId="77777777" w:rsidR="00A74CE6" w:rsidRDefault="00A74CE6" w:rsidP="00A74CE6">
      <w:pPr>
        <w:spacing w:after="0" w:line="240" w:lineRule="auto"/>
      </w:pPr>
      <w:r>
        <w:separator/>
      </w:r>
    </w:p>
  </w:footnote>
  <w:footnote w:type="continuationSeparator" w:id="0">
    <w:p w14:paraId="78742FF4" w14:textId="77777777" w:rsidR="00A74CE6" w:rsidRDefault="00A74CE6" w:rsidP="00A74CE6">
      <w:pPr>
        <w:spacing w:after="0" w:line="240" w:lineRule="auto"/>
      </w:pPr>
      <w:r>
        <w:continuationSeparator/>
      </w:r>
    </w:p>
  </w:footnote>
  <w:footnote w:id="1">
    <w:p w14:paraId="7340F3E8" w14:textId="77777777" w:rsidR="00A74CE6" w:rsidRPr="006E6C2A" w:rsidRDefault="00A74CE6" w:rsidP="00A74CE6">
      <w:pPr>
        <w:pStyle w:val="FootnoteText"/>
        <w:rPr>
          <w:lang w:val="en-GB"/>
        </w:rPr>
      </w:pPr>
      <w:r>
        <w:rPr>
          <w:rStyle w:val="FootnoteReference"/>
        </w:rPr>
        <w:footnoteRef/>
      </w:r>
      <w:r>
        <w:t xml:space="preserve"> </w:t>
      </w:r>
      <w:r w:rsidRPr="001354F9">
        <w:rPr>
          <w:i/>
          <w:iCs/>
          <w:sz w:val="18"/>
          <w:szCs w:val="18"/>
        </w:rPr>
        <w:t>Merriam-Webster.com Dictionary</w:t>
      </w:r>
      <w:r w:rsidRPr="001354F9">
        <w:rPr>
          <w:sz w:val="18"/>
          <w:szCs w:val="18"/>
        </w:rPr>
        <w:t>, “virtual,” accessed January 4, 2026, https://www.merriam-webster.com/dictionary/virtual.</w:t>
      </w:r>
    </w:p>
  </w:footnote>
  <w:footnote w:id="2">
    <w:p w14:paraId="1DD9FB00" w14:textId="77777777" w:rsidR="00A74CE6" w:rsidRPr="00753BEE" w:rsidRDefault="00A74CE6" w:rsidP="00A74CE6">
      <w:pPr>
        <w:pStyle w:val="FootnoteText"/>
        <w:rPr>
          <w:sz w:val="18"/>
          <w:szCs w:val="18"/>
          <w:lang w:val="en-GB"/>
        </w:rPr>
      </w:pPr>
      <w:r w:rsidRPr="00753BEE">
        <w:rPr>
          <w:rStyle w:val="FootnoteReference"/>
          <w:sz w:val="18"/>
          <w:szCs w:val="18"/>
        </w:rPr>
        <w:footnoteRef/>
      </w:r>
      <w:r w:rsidRPr="00753BEE">
        <w:rPr>
          <w:sz w:val="18"/>
          <w:szCs w:val="18"/>
        </w:rPr>
        <w:t xml:space="preserve"> </w:t>
      </w:r>
      <w:r>
        <w:rPr>
          <w:sz w:val="18"/>
          <w:szCs w:val="18"/>
        </w:rPr>
        <w:t>Ibid.</w:t>
      </w:r>
    </w:p>
  </w:footnote>
  <w:footnote w:id="3">
    <w:p w14:paraId="4E7F023F" w14:textId="77777777" w:rsidR="00A74CE6" w:rsidRPr="00753BEE" w:rsidRDefault="00A74CE6" w:rsidP="00A74CE6">
      <w:pPr>
        <w:pStyle w:val="FootnoteText"/>
        <w:rPr>
          <w:lang w:val="en-GB"/>
        </w:rPr>
      </w:pPr>
      <w:r w:rsidRPr="00753BEE">
        <w:rPr>
          <w:rStyle w:val="FootnoteReference"/>
          <w:sz w:val="18"/>
          <w:szCs w:val="18"/>
        </w:rPr>
        <w:footnoteRef/>
      </w:r>
      <w:r>
        <w:t xml:space="preserve"> </w:t>
      </w:r>
      <w:r w:rsidRPr="00546833">
        <w:rPr>
          <w:i/>
          <w:iCs/>
          <w:sz w:val="18"/>
          <w:szCs w:val="18"/>
        </w:rPr>
        <w:t xml:space="preserve">Cambridge English Dictionary, </w:t>
      </w:r>
      <w:r w:rsidRPr="0094365D">
        <w:rPr>
          <w:sz w:val="18"/>
          <w:szCs w:val="18"/>
        </w:rPr>
        <w:t>"natural," accessed [January 2026], https://dictionary.cambridge.org/dictionary/english/natural</w:t>
      </w:r>
    </w:p>
  </w:footnote>
  <w:footnote w:id="4">
    <w:p w14:paraId="7985FD28" w14:textId="77777777" w:rsidR="00A74CE6" w:rsidRPr="00546833" w:rsidRDefault="00A74CE6" w:rsidP="00A74CE6">
      <w:pPr>
        <w:pStyle w:val="FootnoteText"/>
        <w:rPr>
          <w:sz w:val="18"/>
          <w:szCs w:val="18"/>
          <w:lang w:val="en-GB"/>
        </w:rPr>
      </w:pPr>
      <w:r w:rsidRPr="00546833">
        <w:rPr>
          <w:rStyle w:val="FootnoteReference"/>
          <w:sz w:val="18"/>
          <w:szCs w:val="18"/>
        </w:rPr>
        <w:footnoteRef/>
      </w:r>
      <w:r w:rsidRPr="00546833">
        <w:rPr>
          <w:sz w:val="18"/>
          <w:szCs w:val="18"/>
        </w:rPr>
        <w:t xml:space="preserve"> Chalmers, David J. "The virtual and the real." Disputatio: International Journal of Philosophy 9, no. 46 (2017): 1</w:t>
      </w:r>
    </w:p>
  </w:footnote>
  <w:footnote w:id="5">
    <w:p w14:paraId="244DD24E" w14:textId="77777777" w:rsidR="00A74CE6" w:rsidRPr="00791CFF" w:rsidRDefault="00A74CE6" w:rsidP="00A74CE6">
      <w:pPr>
        <w:pStyle w:val="FootnoteText"/>
        <w:rPr>
          <w:sz w:val="18"/>
          <w:szCs w:val="18"/>
          <w:lang w:val="en-GB"/>
        </w:rPr>
      </w:pPr>
      <w:r w:rsidRPr="00791CFF">
        <w:rPr>
          <w:rStyle w:val="FootnoteReference"/>
          <w:sz w:val="18"/>
          <w:szCs w:val="18"/>
        </w:rPr>
        <w:footnoteRef/>
      </w:r>
      <w:r w:rsidRPr="00791CFF">
        <w:rPr>
          <w:sz w:val="18"/>
          <w:szCs w:val="18"/>
        </w:rPr>
        <w:t xml:space="preserve"> </w:t>
      </w:r>
      <w:r w:rsidRPr="00791CFF">
        <w:rPr>
          <w:sz w:val="18"/>
          <w:szCs w:val="18"/>
          <w:lang w:val="en-GB"/>
        </w:rPr>
        <w:t>Ibid., 5</w:t>
      </w:r>
    </w:p>
  </w:footnote>
  <w:footnote w:id="6">
    <w:p w14:paraId="5889CE08" w14:textId="77777777" w:rsidR="00A74CE6" w:rsidRPr="00791CFF" w:rsidRDefault="00A74CE6" w:rsidP="00A74CE6">
      <w:pPr>
        <w:pStyle w:val="FootnoteText"/>
        <w:rPr>
          <w:sz w:val="18"/>
          <w:szCs w:val="18"/>
          <w:lang w:val="en-GB"/>
        </w:rPr>
      </w:pPr>
      <w:r w:rsidRPr="00791CFF">
        <w:rPr>
          <w:rStyle w:val="FootnoteReference"/>
          <w:sz w:val="18"/>
          <w:szCs w:val="18"/>
        </w:rPr>
        <w:footnoteRef/>
      </w:r>
      <w:r w:rsidRPr="00791CFF">
        <w:rPr>
          <w:sz w:val="18"/>
          <w:szCs w:val="18"/>
        </w:rPr>
        <w:t xml:space="preserve"> Grabarczyk, Paweł. “What is real in virtual reality</w:t>
      </w:r>
      <w:r w:rsidRPr="00791CFF">
        <w:rPr>
          <w:i/>
          <w:iCs/>
          <w:sz w:val="18"/>
          <w:szCs w:val="18"/>
        </w:rPr>
        <w:t xml:space="preserve">?” </w:t>
      </w:r>
      <w:proofErr w:type="spellStart"/>
      <w:r w:rsidRPr="00791CFF">
        <w:rPr>
          <w:i/>
          <w:iCs/>
          <w:sz w:val="18"/>
          <w:szCs w:val="18"/>
        </w:rPr>
        <w:t>Roczniki</w:t>
      </w:r>
      <w:proofErr w:type="spellEnd"/>
      <w:r w:rsidRPr="00791CFF">
        <w:rPr>
          <w:i/>
          <w:iCs/>
          <w:sz w:val="18"/>
          <w:szCs w:val="18"/>
        </w:rPr>
        <w:t xml:space="preserve"> </w:t>
      </w:r>
      <w:proofErr w:type="spellStart"/>
      <w:r w:rsidRPr="00791CFF">
        <w:rPr>
          <w:i/>
          <w:iCs/>
          <w:sz w:val="18"/>
          <w:szCs w:val="18"/>
        </w:rPr>
        <w:t>Filozoficzne</w:t>
      </w:r>
      <w:proofErr w:type="spellEnd"/>
      <w:r w:rsidRPr="00791CFF">
        <w:rPr>
          <w:i/>
          <w:iCs/>
          <w:sz w:val="18"/>
          <w:szCs w:val="18"/>
        </w:rPr>
        <w:t xml:space="preserve"> / Annales de Philosophie / Annals of Philosophy</w:t>
      </w:r>
      <w:r w:rsidRPr="00791CFF">
        <w:rPr>
          <w:sz w:val="18"/>
          <w:szCs w:val="18"/>
        </w:rPr>
        <w:t xml:space="preserve"> 72, no. 1 (2024): 79–98.</w:t>
      </w:r>
    </w:p>
  </w:footnote>
  <w:footnote w:id="7">
    <w:p w14:paraId="39B1DEA0" w14:textId="77777777" w:rsidR="00A74CE6" w:rsidRPr="00791CFF" w:rsidRDefault="00A74CE6" w:rsidP="00A74CE6">
      <w:pPr>
        <w:pStyle w:val="FootnoteText"/>
        <w:rPr>
          <w:sz w:val="18"/>
          <w:szCs w:val="18"/>
          <w:lang w:val="en-GB"/>
        </w:rPr>
      </w:pPr>
      <w:r w:rsidRPr="00791CFF">
        <w:rPr>
          <w:rStyle w:val="FootnoteReference"/>
          <w:sz w:val="18"/>
          <w:szCs w:val="18"/>
        </w:rPr>
        <w:footnoteRef/>
      </w:r>
      <w:r w:rsidRPr="00791CFF">
        <w:rPr>
          <w:sz w:val="18"/>
          <w:szCs w:val="18"/>
        </w:rPr>
        <w:t xml:space="preserve"> Chalmers, 2017; 2</w:t>
      </w:r>
    </w:p>
  </w:footnote>
  <w:footnote w:id="8">
    <w:p w14:paraId="77B6722B" w14:textId="77777777" w:rsidR="00A74CE6" w:rsidRPr="00791CFF" w:rsidRDefault="00A74CE6" w:rsidP="00A74CE6">
      <w:pPr>
        <w:pStyle w:val="FootnoteText"/>
        <w:rPr>
          <w:sz w:val="18"/>
          <w:szCs w:val="18"/>
          <w:lang w:val="en-GB"/>
        </w:rPr>
      </w:pPr>
      <w:r w:rsidRPr="00791CFF">
        <w:rPr>
          <w:rStyle w:val="FootnoteReference"/>
          <w:sz w:val="18"/>
          <w:szCs w:val="18"/>
        </w:rPr>
        <w:footnoteRef/>
      </w:r>
      <w:r w:rsidRPr="00791CFF">
        <w:rPr>
          <w:sz w:val="18"/>
          <w:szCs w:val="18"/>
        </w:rPr>
        <w:t xml:space="preserve"> Ibid., 21</w:t>
      </w:r>
    </w:p>
  </w:footnote>
  <w:footnote w:id="9">
    <w:p w14:paraId="2D46D7DB" w14:textId="77777777" w:rsidR="00A74CE6" w:rsidRPr="00BC7525" w:rsidRDefault="00A74CE6" w:rsidP="00A74CE6">
      <w:pPr>
        <w:pStyle w:val="FootnoteText"/>
        <w:rPr>
          <w:lang w:val="en-GB"/>
        </w:rPr>
      </w:pPr>
      <w:r w:rsidRPr="00791CFF">
        <w:rPr>
          <w:rStyle w:val="FootnoteReference"/>
          <w:sz w:val="18"/>
          <w:szCs w:val="18"/>
        </w:rPr>
        <w:footnoteRef/>
      </w:r>
      <w:r w:rsidRPr="00791CFF">
        <w:rPr>
          <w:sz w:val="18"/>
          <w:szCs w:val="18"/>
        </w:rPr>
        <w:t xml:space="preserve"> Ibid., 11</w:t>
      </w:r>
    </w:p>
  </w:footnote>
  <w:footnote w:id="10">
    <w:p w14:paraId="11D3A655" w14:textId="77777777" w:rsidR="00A74CE6" w:rsidRPr="00012347" w:rsidRDefault="00A74CE6" w:rsidP="00A74CE6">
      <w:pPr>
        <w:pStyle w:val="FootnoteText"/>
        <w:rPr>
          <w:sz w:val="18"/>
          <w:szCs w:val="18"/>
          <w:lang w:val="en-GB"/>
        </w:rPr>
      </w:pPr>
      <w:r w:rsidRPr="00012347">
        <w:rPr>
          <w:rStyle w:val="FootnoteReference"/>
          <w:sz w:val="18"/>
          <w:szCs w:val="18"/>
        </w:rPr>
        <w:footnoteRef/>
      </w:r>
      <w:r w:rsidRPr="00012347">
        <w:rPr>
          <w:sz w:val="18"/>
          <w:szCs w:val="18"/>
        </w:rPr>
        <w:t xml:space="preserve"> Helland, C: </w:t>
      </w:r>
      <w:r w:rsidRPr="00012347">
        <w:rPr>
          <w:i/>
          <w:iCs/>
          <w:sz w:val="18"/>
          <w:szCs w:val="18"/>
        </w:rPr>
        <w:t>Turning Cyberspace into Sacred Space</w:t>
      </w:r>
      <w:r w:rsidRPr="00012347">
        <w:rPr>
          <w:sz w:val="18"/>
          <w:szCs w:val="18"/>
        </w:rPr>
        <w:t xml:space="preserve"> [Video], 2007. Retrieved December 2025, from </w:t>
      </w:r>
      <w:hyperlink r:id="rId1" w:history="1">
        <w:r w:rsidRPr="00012347">
          <w:rPr>
            <w:rStyle w:val="Hyperlink"/>
            <w:sz w:val="18"/>
            <w:szCs w:val="18"/>
          </w:rPr>
          <w:t>https://www.youtube.com/watch?v=xS8al7exOCs</w:t>
        </w:r>
      </w:hyperlink>
      <w:r w:rsidRPr="00012347">
        <w:rPr>
          <w:sz w:val="18"/>
          <w:szCs w:val="18"/>
        </w:rPr>
        <w:t xml:space="preserve"> [03:43]</w:t>
      </w:r>
    </w:p>
  </w:footnote>
  <w:footnote w:id="11">
    <w:p w14:paraId="7FA0C013" w14:textId="77777777" w:rsidR="00A74CE6" w:rsidRPr="00012347" w:rsidRDefault="00A74CE6" w:rsidP="00A74CE6">
      <w:pPr>
        <w:pStyle w:val="FootnoteText"/>
        <w:rPr>
          <w:sz w:val="18"/>
          <w:szCs w:val="18"/>
          <w:lang w:val="en-GB"/>
        </w:rPr>
      </w:pPr>
      <w:r w:rsidRPr="00012347">
        <w:rPr>
          <w:rStyle w:val="FootnoteReference"/>
          <w:sz w:val="18"/>
          <w:szCs w:val="18"/>
        </w:rPr>
        <w:footnoteRef/>
      </w:r>
      <w:r w:rsidRPr="00012347">
        <w:rPr>
          <w:sz w:val="18"/>
          <w:szCs w:val="18"/>
        </w:rPr>
        <w:t xml:space="preserve"> Ibid., [</w:t>
      </w:r>
      <w:r>
        <w:rPr>
          <w:sz w:val="18"/>
          <w:szCs w:val="18"/>
        </w:rPr>
        <w:t>0</w:t>
      </w:r>
      <w:r w:rsidRPr="00012347">
        <w:rPr>
          <w:sz w:val="18"/>
          <w:szCs w:val="18"/>
        </w:rPr>
        <w:t>4:40]</w:t>
      </w:r>
    </w:p>
  </w:footnote>
  <w:footnote w:id="12">
    <w:p w14:paraId="54F597C1" w14:textId="77777777" w:rsidR="00A74CE6" w:rsidRPr="00012347" w:rsidRDefault="00A74CE6" w:rsidP="00A74CE6">
      <w:pPr>
        <w:pStyle w:val="FootnoteText"/>
        <w:rPr>
          <w:lang w:val="en-GB"/>
        </w:rPr>
      </w:pPr>
      <w:r w:rsidRPr="00012347">
        <w:rPr>
          <w:rStyle w:val="FootnoteReference"/>
          <w:sz w:val="18"/>
          <w:szCs w:val="18"/>
        </w:rPr>
        <w:footnoteRef/>
      </w:r>
      <w:r w:rsidRPr="00012347">
        <w:rPr>
          <w:sz w:val="18"/>
          <w:szCs w:val="18"/>
        </w:rPr>
        <w:t xml:space="preserve"> Ibid., [05:07]</w:t>
      </w:r>
    </w:p>
  </w:footnote>
  <w:footnote w:id="13">
    <w:p w14:paraId="6CCBB4E1" w14:textId="77777777" w:rsidR="00A74CE6" w:rsidRPr="00305E17" w:rsidRDefault="00A74CE6" w:rsidP="00A74CE6">
      <w:pPr>
        <w:pStyle w:val="FootnoteText"/>
        <w:rPr>
          <w:sz w:val="18"/>
          <w:szCs w:val="18"/>
          <w:lang w:val="en-GB"/>
        </w:rPr>
      </w:pPr>
      <w:r w:rsidRPr="00305E17">
        <w:rPr>
          <w:rStyle w:val="FootnoteReference"/>
          <w:sz w:val="18"/>
          <w:szCs w:val="18"/>
        </w:rPr>
        <w:footnoteRef/>
      </w:r>
      <w:r w:rsidRPr="00305E17">
        <w:rPr>
          <w:sz w:val="18"/>
          <w:szCs w:val="18"/>
        </w:rPr>
        <w:t xml:space="preserve"> </w:t>
      </w:r>
      <w:r w:rsidRPr="00305E17">
        <w:rPr>
          <w:sz w:val="18"/>
          <w:szCs w:val="18"/>
          <w:lang w:val="en-GB"/>
        </w:rPr>
        <w:t>Ibid., [05:25]</w:t>
      </w:r>
    </w:p>
  </w:footnote>
  <w:footnote w:id="14">
    <w:p w14:paraId="5DE71FE9" w14:textId="77777777" w:rsidR="00A74CE6" w:rsidRPr="006D2C33" w:rsidRDefault="00A74CE6" w:rsidP="00A74CE6">
      <w:pPr>
        <w:pStyle w:val="FootnoteText"/>
        <w:rPr>
          <w:lang w:val="en-GB"/>
        </w:rPr>
      </w:pPr>
      <w:r>
        <w:rPr>
          <w:rStyle w:val="FootnoteReference"/>
        </w:rPr>
        <w:footnoteRef/>
      </w:r>
      <w:r>
        <w:t xml:space="preserve"> </w:t>
      </w:r>
      <w:r w:rsidRPr="006D2C33">
        <w:rPr>
          <w:sz w:val="18"/>
          <w:szCs w:val="18"/>
          <w:lang w:val="en-GB"/>
        </w:rPr>
        <w:t>Ibid., [07:37]</w:t>
      </w:r>
    </w:p>
  </w:footnote>
  <w:footnote w:id="15">
    <w:p w14:paraId="06C0175F" w14:textId="77777777" w:rsidR="00A74CE6" w:rsidRPr="000F2AA1" w:rsidRDefault="00A74CE6" w:rsidP="00A74CE6">
      <w:pPr>
        <w:pStyle w:val="FootnoteText"/>
        <w:rPr>
          <w:sz w:val="18"/>
          <w:szCs w:val="18"/>
          <w:lang w:val="en-GB"/>
        </w:rPr>
      </w:pPr>
      <w:r w:rsidRPr="000F2AA1">
        <w:rPr>
          <w:rStyle w:val="FootnoteReference"/>
          <w:sz w:val="18"/>
          <w:szCs w:val="18"/>
        </w:rPr>
        <w:footnoteRef/>
      </w:r>
      <w:r w:rsidRPr="000F2AA1">
        <w:rPr>
          <w:sz w:val="18"/>
          <w:szCs w:val="18"/>
        </w:rPr>
        <w:t xml:space="preserve"> Ibid., [08:25]</w:t>
      </w:r>
    </w:p>
  </w:footnote>
  <w:footnote w:id="16">
    <w:p w14:paraId="124D564E" w14:textId="77777777" w:rsidR="00A74CE6" w:rsidRPr="000F2AA1" w:rsidRDefault="00A74CE6" w:rsidP="00A74CE6">
      <w:pPr>
        <w:pStyle w:val="FootnoteText"/>
        <w:rPr>
          <w:sz w:val="18"/>
          <w:szCs w:val="18"/>
          <w:lang w:val="en-GB"/>
        </w:rPr>
      </w:pPr>
      <w:r w:rsidRPr="000F2AA1">
        <w:rPr>
          <w:rStyle w:val="FootnoteReference"/>
          <w:sz w:val="18"/>
          <w:szCs w:val="18"/>
        </w:rPr>
        <w:footnoteRef/>
      </w:r>
      <w:r w:rsidRPr="000F2AA1">
        <w:rPr>
          <w:sz w:val="18"/>
          <w:szCs w:val="18"/>
        </w:rPr>
        <w:t xml:space="preserve"> Ibid., [09:00]</w:t>
      </w:r>
    </w:p>
  </w:footnote>
  <w:footnote w:id="17">
    <w:p w14:paraId="3BF4AA0E"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w:t>
      </w:r>
      <w:r w:rsidRPr="00986601">
        <w:rPr>
          <w:sz w:val="18"/>
          <w:szCs w:val="18"/>
          <w:lang w:val="en-GB"/>
        </w:rPr>
        <w:t>Ibid., [09:48]</w:t>
      </w:r>
    </w:p>
  </w:footnote>
  <w:footnote w:id="18">
    <w:p w14:paraId="342CAC02"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w:t>
      </w:r>
      <w:r w:rsidRPr="00986601">
        <w:rPr>
          <w:sz w:val="18"/>
          <w:szCs w:val="18"/>
          <w:lang w:val="en-GB"/>
        </w:rPr>
        <w:t>Ibid., [12:11]</w:t>
      </w:r>
    </w:p>
  </w:footnote>
  <w:footnote w:id="19">
    <w:p w14:paraId="30CFA929"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Battista, D. The Digital as Sacred Space: Exploring the Online Religious Dimension. Academicus International Scientific Journal 15.29 (2024); 34.</w:t>
      </w:r>
    </w:p>
  </w:footnote>
  <w:footnote w:id="20">
    <w:p w14:paraId="29995AF8"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Ibid., 21</w:t>
      </w:r>
    </w:p>
  </w:footnote>
  <w:footnote w:id="21">
    <w:p w14:paraId="7B43A419"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w:t>
      </w:r>
      <w:r w:rsidRPr="00986601">
        <w:rPr>
          <w:sz w:val="18"/>
          <w:szCs w:val="18"/>
          <w:lang w:val="en-GB"/>
        </w:rPr>
        <w:t>Ibid.</w:t>
      </w:r>
    </w:p>
  </w:footnote>
  <w:footnote w:id="22">
    <w:p w14:paraId="6CFB4246" w14:textId="77777777" w:rsidR="00A74CE6" w:rsidRPr="00986601" w:rsidRDefault="00A74CE6" w:rsidP="00A74CE6">
      <w:pPr>
        <w:pStyle w:val="FootnoteText"/>
        <w:rPr>
          <w:sz w:val="18"/>
          <w:szCs w:val="18"/>
          <w:lang w:val="en-GB"/>
        </w:rPr>
      </w:pPr>
      <w:r w:rsidRPr="00986601">
        <w:rPr>
          <w:rStyle w:val="FootnoteReference"/>
          <w:sz w:val="18"/>
          <w:szCs w:val="18"/>
        </w:rPr>
        <w:footnoteRef/>
      </w:r>
      <w:r w:rsidRPr="00986601">
        <w:rPr>
          <w:sz w:val="18"/>
          <w:szCs w:val="18"/>
        </w:rPr>
        <w:t xml:space="preserve"> </w:t>
      </w:r>
      <w:r w:rsidRPr="00986601">
        <w:rPr>
          <w:sz w:val="18"/>
          <w:szCs w:val="18"/>
          <w:lang w:val="en-GB"/>
        </w:rPr>
        <w:t>Ibid., 23</w:t>
      </w:r>
    </w:p>
  </w:footnote>
  <w:footnote w:id="23">
    <w:p w14:paraId="7E2A668B" w14:textId="77777777" w:rsidR="00A74CE6" w:rsidRPr="00D523A2" w:rsidRDefault="00A74CE6" w:rsidP="00A74CE6">
      <w:pPr>
        <w:pStyle w:val="FootnoteText"/>
        <w:rPr>
          <w:lang w:val="en-GB"/>
        </w:rPr>
      </w:pPr>
      <w:r w:rsidRPr="00986601">
        <w:rPr>
          <w:rStyle w:val="FootnoteReference"/>
          <w:sz w:val="18"/>
          <w:szCs w:val="18"/>
        </w:rPr>
        <w:footnoteRef/>
      </w:r>
      <w:r w:rsidRPr="00986601">
        <w:rPr>
          <w:sz w:val="18"/>
          <w:szCs w:val="18"/>
        </w:rPr>
        <w:t xml:space="preserve"> Ibid.,29</w:t>
      </w:r>
    </w:p>
  </w:footnote>
  <w:footnote w:id="24">
    <w:p w14:paraId="3BACF116" w14:textId="77777777" w:rsidR="00A74CE6" w:rsidRPr="00226504" w:rsidRDefault="00A74CE6" w:rsidP="00A74CE6">
      <w:pPr>
        <w:pStyle w:val="FootnoteText"/>
        <w:rPr>
          <w:sz w:val="18"/>
          <w:szCs w:val="18"/>
          <w:lang w:val="en-GB"/>
        </w:rPr>
      </w:pPr>
      <w:r w:rsidRPr="00226504">
        <w:rPr>
          <w:rStyle w:val="FootnoteReference"/>
          <w:sz w:val="18"/>
          <w:szCs w:val="18"/>
        </w:rPr>
        <w:footnoteRef/>
      </w:r>
      <w:r w:rsidRPr="00226504">
        <w:rPr>
          <w:sz w:val="18"/>
          <w:szCs w:val="18"/>
        </w:rPr>
        <w:t xml:space="preserve"> </w:t>
      </w:r>
      <w:r w:rsidRPr="00226504">
        <w:rPr>
          <w:sz w:val="18"/>
          <w:szCs w:val="18"/>
          <w:lang w:val="en-GB"/>
        </w:rPr>
        <w:t>Ibid., 32</w:t>
      </w:r>
    </w:p>
  </w:footnote>
  <w:footnote w:id="25">
    <w:p w14:paraId="74A9A5F1" w14:textId="77777777" w:rsidR="00A74CE6" w:rsidRPr="00B22883" w:rsidRDefault="00A74CE6" w:rsidP="00A74CE6">
      <w:pPr>
        <w:pStyle w:val="FootnoteText"/>
        <w:rPr>
          <w:lang w:val="en-GB"/>
        </w:rPr>
      </w:pPr>
      <w:r w:rsidRPr="002A5178">
        <w:rPr>
          <w:rStyle w:val="FootnoteReference"/>
          <w:sz w:val="18"/>
          <w:szCs w:val="18"/>
        </w:rPr>
        <w:footnoteRef/>
      </w:r>
      <w:r w:rsidRPr="002A5178">
        <w:rPr>
          <w:sz w:val="18"/>
          <w:szCs w:val="18"/>
        </w:rPr>
        <w:t xml:space="preserve"> Ibid.</w:t>
      </w:r>
    </w:p>
  </w:footnote>
  <w:footnote w:id="26">
    <w:p w14:paraId="2B4FFD4C" w14:textId="77777777" w:rsidR="00A74CE6" w:rsidRPr="008E3187" w:rsidRDefault="00A74CE6" w:rsidP="00A74CE6">
      <w:pPr>
        <w:pStyle w:val="FootnoteText"/>
        <w:rPr>
          <w:sz w:val="18"/>
          <w:szCs w:val="18"/>
          <w:highlight w:val="yellow"/>
        </w:rPr>
      </w:pPr>
      <w:r w:rsidRPr="008E3187">
        <w:rPr>
          <w:rStyle w:val="FootnoteReference"/>
          <w:sz w:val="18"/>
          <w:szCs w:val="18"/>
        </w:rPr>
        <w:footnoteRef/>
      </w:r>
      <w:r w:rsidRPr="008E3187">
        <w:rPr>
          <w:sz w:val="18"/>
          <w:szCs w:val="18"/>
        </w:rPr>
        <w:t xml:space="preserve"> Johnson, Amber L. "Processual Archaeology." In </w:t>
      </w:r>
      <w:r w:rsidRPr="008E3187">
        <w:rPr>
          <w:i/>
          <w:iCs/>
          <w:sz w:val="18"/>
          <w:szCs w:val="18"/>
        </w:rPr>
        <w:t>Encyclopedia of Archaeology</w:t>
      </w:r>
      <w:r w:rsidRPr="008E3187">
        <w:rPr>
          <w:sz w:val="18"/>
          <w:szCs w:val="18"/>
        </w:rPr>
        <w:t>, edited by Deborah M. Pearsall, New York: Academic Press, (2008): 1894-96</w:t>
      </w:r>
    </w:p>
  </w:footnote>
  <w:footnote w:id="27">
    <w:p w14:paraId="36B51212" w14:textId="77777777" w:rsidR="00A74CE6" w:rsidRPr="008E3187" w:rsidRDefault="00A74CE6" w:rsidP="00A74CE6">
      <w:pPr>
        <w:pStyle w:val="FootnoteText"/>
        <w:rPr>
          <w:sz w:val="18"/>
          <w:szCs w:val="18"/>
        </w:rPr>
      </w:pPr>
      <w:r w:rsidRPr="008E3187">
        <w:rPr>
          <w:rStyle w:val="FootnoteReference"/>
          <w:sz w:val="18"/>
          <w:szCs w:val="18"/>
        </w:rPr>
        <w:footnoteRef/>
      </w:r>
      <w:r w:rsidRPr="008E3187">
        <w:rPr>
          <w:sz w:val="18"/>
          <w:szCs w:val="18"/>
        </w:rPr>
        <w:t xml:space="preserve"> Britannica Editors. "Lewis R. Binford." Encyclopedia Britannica, (April 2025). </w:t>
      </w:r>
      <w:hyperlink r:id="rId2" w:history="1">
        <w:r w:rsidRPr="008E3187">
          <w:rPr>
            <w:rStyle w:val="Hyperlink"/>
            <w:color w:val="auto"/>
            <w:sz w:val="18"/>
            <w:szCs w:val="18"/>
          </w:rPr>
          <w:t>https://www.britannica.com/biography/Lewis-R-Binford</w:t>
        </w:r>
      </w:hyperlink>
      <w:r w:rsidRPr="008E3187">
        <w:rPr>
          <w:sz w:val="18"/>
          <w:szCs w:val="18"/>
        </w:rPr>
        <w:t>. Last accessed 10 November 2025</w:t>
      </w:r>
    </w:p>
  </w:footnote>
  <w:footnote w:id="28">
    <w:p w14:paraId="5B82FEA0" w14:textId="77777777" w:rsidR="00A74CE6" w:rsidRPr="008E3187" w:rsidRDefault="00A74CE6" w:rsidP="00A74CE6">
      <w:pPr>
        <w:pStyle w:val="FootnoteText"/>
        <w:rPr>
          <w:sz w:val="18"/>
          <w:szCs w:val="18"/>
          <w:highlight w:val="yellow"/>
        </w:rPr>
      </w:pPr>
      <w:r w:rsidRPr="008E3187">
        <w:rPr>
          <w:rStyle w:val="FootnoteReference"/>
          <w:sz w:val="18"/>
          <w:szCs w:val="18"/>
        </w:rPr>
        <w:footnoteRef/>
      </w:r>
      <w:r w:rsidRPr="008E3187">
        <w:rPr>
          <w:sz w:val="18"/>
          <w:szCs w:val="18"/>
        </w:rPr>
        <w:t xml:space="preserve"> Hodder, Ian. "Burials, Houses, Women and Men in the European Neolithic." In </w:t>
      </w:r>
      <w:r w:rsidRPr="008E3187">
        <w:rPr>
          <w:i/>
          <w:iCs/>
          <w:sz w:val="18"/>
          <w:szCs w:val="18"/>
        </w:rPr>
        <w:t>Ideology, Power and Prehistory</w:t>
      </w:r>
      <w:r w:rsidRPr="008E3187">
        <w:rPr>
          <w:sz w:val="18"/>
          <w:szCs w:val="18"/>
        </w:rPr>
        <w:t xml:space="preserve">, edited by Daniel Miller and Christopher Tilley, Cambridge University Press, (1984): 53 </w:t>
      </w:r>
    </w:p>
  </w:footnote>
  <w:footnote w:id="29">
    <w:p w14:paraId="4B6F21E8" w14:textId="77777777" w:rsidR="00A74CE6" w:rsidRPr="008E3187" w:rsidRDefault="00A74CE6" w:rsidP="00A74CE6">
      <w:pPr>
        <w:pStyle w:val="FootnoteText"/>
        <w:rPr>
          <w:sz w:val="18"/>
          <w:szCs w:val="18"/>
        </w:rPr>
      </w:pPr>
      <w:r w:rsidRPr="008E3187">
        <w:rPr>
          <w:rStyle w:val="FootnoteReference"/>
          <w:sz w:val="18"/>
          <w:szCs w:val="18"/>
        </w:rPr>
        <w:footnoteRef/>
      </w:r>
      <w:r w:rsidRPr="008E3187">
        <w:rPr>
          <w:sz w:val="18"/>
          <w:szCs w:val="18"/>
        </w:rPr>
        <w:t xml:space="preserve"> Shanks, Michael. "Post-Processual Archaeology and After." In </w:t>
      </w:r>
      <w:r w:rsidRPr="008E3187">
        <w:rPr>
          <w:i/>
          <w:iCs/>
          <w:sz w:val="18"/>
          <w:szCs w:val="18"/>
        </w:rPr>
        <w:t>Handbook of Archaeological Theories</w:t>
      </w:r>
      <w:r w:rsidRPr="008E3187">
        <w:rPr>
          <w:sz w:val="18"/>
          <w:szCs w:val="18"/>
        </w:rPr>
        <w:t xml:space="preserve">, edited by R. Alexander Bentley, Herbert D. G. </w:t>
      </w:r>
      <w:proofErr w:type="spellStart"/>
      <w:r w:rsidRPr="008E3187">
        <w:rPr>
          <w:sz w:val="18"/>
          <w:szCs w:val="18"/>
        </w:rPr>
        <w:t>Maschner</w:t>
      </w:r>
      <w:proofErr w:type="spellEnd"/>
      <w:r w:rsidRPr="008E3187">
        <w:rPr>
          <w:sz w:val="18"/>
          <w:szCs w:val="18"/>
        </w:rPr>
        <w:t xml:space="preserve"> and Christopher Chippindale, Bloomsbury Publishing, (2007):135</w:t>
      </w:r>
    </w:p>
  </w:footnote>
  <w:footnote w:id="30">
    <w:p w14:paraId="01749CB3" w14:textId="77777777" w:rsidR="00A74CE6" w:rsidRPr="008E3187" w:rsidRDefault="00A74CE6" w:rsidP="00A74CE6">
      <w:pPr>
        <w:pStyle w:val="FootnoteText"/>
        <w:rPr>
          <w:sz w:val="18"/>
          <w:szCs w:val="18"/>
        </w:rPr>
      </w:pPr>
      <w:r w:rsidRPr="008E3187">
        <w:rPr>
          <w:rStyle w:val="FootnoteReference"/>
          <w:sz w:val="18"/>
          <w:szCs w:val="18"/>
        </w:rPr>
        <w:footnoteRef/>
      </w:r>
      <w:r w:rsidRPr="008E3187">
        <w:rPr>
          <w:sz w:val="18"/>
          <w:szCs w:val="18"/>
        </w:rPr>
        <w:t xml:space="preserve"> Shanks, Michael, and Christopher Tilley. </w:t>
      </w:r>
      <w:r w:rsidRPr="008E3187">
        <w:rPr>
          <w:i/>
          <w:iCs/>
          <w:sz w:val="18"/>
          <w:szCs w:val="18"/>
        </w:rPr>
        <w:t>Social Theory and Archaeology.</w:t>
      </w:r>
      <w:r w:rsidRPr="008E3187">
        <w:rPr>
          <w:sz w:val="18"/>
          <w:szCs w:val="18"/>
        </w:rPr>
        <w:t> Polity Press Cambridge, (1987): 195</w:t>
      </w:r>
    </w:p>
  </w:footnote>
  <w:footnote w:id="31">
    <w:p w14:paraId="71AC2337" w14:textId="77777777" w:rsidR="00A74CE6" w:rsidRPr="005F470B" w:rsidRDefault="00A74CE6" w:rsidP="00A74CE6">
      <w:pPr>
        <w:pStyle w:val="FootnoteText"/>
        <w:rPr>
          <w:lang w:val="en-GB"/>
        </w:rPr>
      </w:pPr>
      <w:r w:rsidRPr="005F470B">
        <w:rPr>
          <w:rStyle w:val="FootnoteReference"/>
          <w:sz w:val="18"/>
          <w:szCs w:val="18"/>
        </w:rPr>
        <w:footnoteRef/>
      </w:r>
      <w:r w:rsidRPr="005F470B">
        <w:rPr>
          <w:sz w:val="18"/>
          <w:szCs w:val="18"/>
        </w:rPr>
        <w:t xml:space="preserve"> Rowlands, Michael, Esther Solomon, Eleana Yalouri, and Patrick Laviolette. "A Tribute and Farewell to Professor Chris Tilley." </w:t>
      </w:r>
      <w:proofErr w:type="spellStart"/>
      <w:r w:rsidRPr="005F470B">
        <w:rPr>
          <w:sz w:val="18"/>
          <w:szCs w:val="18"/>
        </w:rPr>
        <w:t>Ethnologia</w:t>
      </w:r>
      <w:proofErr w:type="spellEnd"/>
      <w:r w:rsidRPr="005F470B">
        <w:rPr>
          <w:sz w:val="18"/>
          <w:szCs w:val="18"/>
        </w:rPr>
        <w:t xml:space="preserve"> Europaea 54, no. 1 (2024): 88-95</w:t>
      </w:r>
    </w:p>
  </w:footnote>
  <w:footnote w:id="32">
    <w:p w14:paraId="73CFEAEA" w14:textId="77777777" w:rsidR="00A74CE6" w:rsidRPr="00B0637D" w:rsidRDefault="00A74CE6" w:rsidP="00A74CE6">
      <w:pPr>
        <w:pStyle w:val="FootnoteText"/>
        <w:rPr>
          <w:sz w:val="18"/>
          <w:szCs w:val="18"/>
        </w:rPr>
      </w:pPr>
      <w:r>
        <w:rPr>
          <w:rStyle w:val="FootnoteReference"/>
        </w:rPr>
        <w:footnoteRef/>
      </w:r>
      <w:r>
        <w:t xml:space="preserve"> </w:t>
      </w:r>
      <w:r w:rsidRPr="00EE7939">
        <w:rPr>
          <w:sz w:val="18"/>
          <w:szCs w:val="18"/>
        </w:rPr>
        <w:t>Smith, David Woodruff, "Phenomenology", </w:t>
      </w:r>
      <w:r w:rsidRPr="00EE7939">
        <w:rPr>
          <w:i/>
          <w:iCs/>
          <w:sz w:val="18"/>
          <w:szCs w:val="18"/>
        </w:rPr>
        <w:t>The Stanford Encyclopedia of Philosophy </w:t>
      </w:r>
      <w:r w:rsidRPr="00EE7939">
        <w:rPr>
          <w:sz w:val="18"/>
          <w:szCs w:val="18"/>
        </w:rPr>
        <w:t xml:space="preserve">(Summer 2018 Edition), Edward N. Zalta (ed.), URL </w:t>
      </w:r>
      <w:hyperlink r:id="rId3" w:history="1">
        <w:r w:rsidRPr="00EE7939">
          <w:rPr>
            <w:rStyle w:val="Hyperlink"/>
            <w:sz w:val="18"/>
            <w:szCs w:val="18"/>
          </w:rPr>
          <w:t>https://plato.stanford.edu/archives/sum2018/entries/phenomenology/</w:t>
        </w:r>
      </w:hyperlink>
      <w:r w:rsidRPr="00EE7939">
        <w:rPr>
          <w:sz w:val="18"/>
          <w:szCs w:val="18"/>
        </w:rPr>
        <w:t xml:space="preserve"> accessed 10 November 2025</w:t>
      </w:r>
    </w:p>
  </w:footnote>
  <w:footnote w:id="33">
    <w:p w14:paraId="0A741B02" w14:textId="77777777" w:rsidR="00A74CE6" w:rsidRPr="008E52B5" w:rsidRDefault="00A74CE6" w:rsidP="00A74CE6">
      <w:pPr>
        <w:pStyle w:val="FootnoteText"/>
        <w:rPr>
          <w:sz w:val="18"/>
          <w:szCs w:val="18"/>
        </w:rPr>
      </w:pPr>
      <w:r w:rsidRPr="008E52B5">
        <w:rPr>
          <w:rStyle w:val="FootnoteReference"/>
          <w:sz w:val="18"/>
          <w:szCs w:val="18"/>
        </w:rPr>
        <w:footnoteRef/>
      </w:r>
      <w:r w:rsidRPr="008E52B5">
        <w:rPr>
          <w:sz w:val="18"/>
          <w:szCs w:val="18"/>
        </w:rPr>
        <w:t xml:space="preserve"> Tilley, Christopher. "Space, Place, Landscape and Perception: Phenomenological Perspectives." </w:t>
      </w:r>
      <w:r w:rsidRPr="008E52B5">
        <w:rPr>
          <w:i/>
          <w:iCs/>
          <w:sz w:val="18"/>
          <w:szCs w:val="18"/>
        </w:rPr>
        <w:t>A phenomenology of landscape: Places, paths and monuments </w:t>
      </w:r>
      <w:r w:rsidRPr="008E52B5">
        <w:rPr>
          <w:sz w:val="18"/>
          <w:szCs w:val="18"/>
        </w:rPr>
        <w:t>(1994): 13</w:t>
      </w:r>
    </w:p>
  </w:footnote>
  <w:footnote w:id="34">
    <w:p w14:paraId="233CC2EB" w14:textId="77777777" w:rsidR="00A74CE6" w:rsidRPr="001F7D32" w:rsidRDefault="00A74CE6" w:rsidP="00A74CE6">
      <w:pPr>
        <w:pStyle w:val="FootnoteText"/>
        <w:rPr>
          <w:sz w:val="18"/>
          <w:szCs w:val="18"/>
          <w:highlight w:val="yellow"/>
        </w:rPr>
      </w:pPr>
      <w:r w:rsidRPr="008E52B5">
        <w:rPr>
          <w:rStyle w:val="FootnoteReference"/>
          <w:sz w:val="18"/>
          <w:szCs w:val="18"/>
        </w:rPr>
        <w:footnoteRef/>
      </w:r>
      <w:r w:rsidRPr="008E52B5">
        <w:rPr>
          <w:sz w:val="18"/>
          <w:szCs w:val="18"/>
        </w:rPr>
        <w:t xml:space="preserve"> Ibid.</w:t>
      </w:r>
    </w:p>
  </w:footnote>
  <w:footnote w:id="35">
    <w:p w14:paraId="6D0E64C5" w14:textId="77777777" w:rsidR="00A74CE6" w:rsidRPr="008E52B5" w:rsidRDefault="00A74CE6" w:rsidP="00A74CE6">
      <w:pPr>
        <w:pStyle w:val="FootnoteText"/>
      </w:pPr>
      <w:r w:rsidRPr="008E52B5">
        <w:rPr>
          <w:rStyle w:val="FootnoteReference"/>
        </w:rPr>
        <w:footnoteRef/>
      </w:r>
      <w:r w:rsidRPr="008E52B5">
        <w:rPr>
          <w:sz w:val="18"/>
          <w:szCs w:val="18"/>
        </w:rPr>
        <w:t xml:space="preserve"> Ibid</w:t>
      </w:r>
      <w:r w:rsidRPr="008E52B5">
        <w:t>.</w:t>
      </w:r>
    </w:p>
  </w:footnote>
  <w:footnote w:id="36">
    <w:p w14:paraId="5C3CCAA2" w14:textId="77777777" w:rsidR="00A74CE6" w:rsidRPr="001F7D32" w:rsidRDefault="00A74CE6" w:rsidP="00A74CE6">
      <w:pPr>
        <w:pStyle w:val="FootnoteText"/>
        <w:rPr>
          <w:sz w:val="18"/>
          <w:szCs w:val="18"/>
          <w:highlight w:val="yellow"/>
        </w:rPr>
      </w:pPr>
      <w:r w:rsidRPr="008E52B5">
        <w:rPr>
          <w:rStyle w:val="FootnoteReference"/>
        </w:rPr>
        <w:footnoteRef/>
      </w:r>
      <w:r w:rsidRPr="008E52B5">
        <w:t xml:space="preserve"> </w:t>
      </w:r>
      <w:r w:rsidRPr="008E52B5">
        <w:rPr>
          <w:sz w:val="18"/>
          <w:szCs w:val="18"/>
        </w:rPr>
        <w:t>Ibid., 13-16</w:t>
      </w:r>
    </w:p>
  </w:footnote>
  <w:footnote w:id="37">
    <w:p w14:paraId="23368670" w14:textId="77777777" w:rsidR="00A74CE6" w:rsidRPr="008E52B5" w:rsidRDefault="00A74CE6" w:rsidP="00A74CE6">
      <w:pPr>
        <w:pStyle w:val="FootnoteText"/>
        <w:rPr>
          <w:sz w:val="18"/>
          <w:szCs w:val="18"/>
        </w:rPr>
      </w:pPr>
      <w:r w:rsidRPr="008E52B5">
        <w:rPr>
          <w:rStyle w:val="FootnoteReference"/>
          <w:sz w:val="18"/>
          <w:szCs w:val="18"/>
        </w:rPr>
        <w:footnoteRef/>
      </w:r>
      <w:r w:rsidRPr="008E52B5">
        <w:rPr>
          <w:sz w:val="18"/>
          <w:szCs w:val="18"/>
        </w:rPr>
        <w:t xml:space="preserve"> Ibid., 22</w:t>
      </w:r>
    </w:p>
  </w:footnote>
  <w:footnote w:id="38">
    <w:p w14:paraId="7DD04B81" w14:textId="77777777" w:rsidR="00A74CE6" w:rsidRPr="001F7D32" w:rsidRDefault="00A74CE6" w:rsidP="00A74CE6">
      <w:pPr>
        <w:pStyle w:val="FootnoteText"/>
        <w:rPr>
          <w:highlight w:val="yellow"/>
        </w:rPr>
      </w:pPr>
      <w:r w:rsidRPr="008E52B5">
        <w:rPr>
          <w:rStyle w:val="FootnoteReference"/>
        </w:rPr>
        <w:footnoteRef/>
      </w:r>
      <w:r w:rsidRPr="008E52B5">
        <w:t xml:space="preserve"> </w:t>
      </w:r>
      <w:r w:rsidRPr="008E52B5">
        <w:rPr>
          <w:sz w:val="18"/>
          <w:szCs w:val="18"/>
        </w:rPr>
        <w:t xml:space="preserve">Ibid., 27 </w:t>
      </w:r>
    </w:p>
  </w:footnote>
  <w:footnote w:id="39">
    <w:p w14:paraId="3AED8561" w14:textId="77777777" w:rsidR="00A74CE6" w:rsidRPr="00E207C1" w:rsidRDefault="00A74CE6" w:rsidP="00A74CE6">
      <w:pPr>
        <w:pStyle w:val="FootnoteText"/>
        <w:rPr>
          <w:sz w:val="18"/>
          <w:szCs w:val="18"/>
        </w:rPr>
      </w:pPr>
      <w:r w:rsidRPr="00E207C1">
        <w:rPr>
          <w:rStyle w:val="FootnoteReference"/>
          <w:sz w:val="18"/>
          <w:szCs w:val="18"/>
        </w:rPr>
        <w:footnoteRef/>
      </w:r>
      <w:r w:rsidRPr="00E207C1">
        <w:rPr>
          <w:sz w:val="18"/>
          <w:szCs w:val="18"/>
        </w:rPr>
        <w:t xml:space="preserve"> Barrett, John C., and </w:t>
      </w:r>
      <w:proofErr w:type="spellStart"/>
      <w:r w:rsidRPr="00E207C1">
        <w:rPr>
          <w:sz w:val="18"/>
          <w:szCs w:val="18"/>
        </w:rPr>
        <w:t>Ilhong</w:t>
      </w:r>
      <w:proofErr w:type="spellEnd"/>
      <w:r w:rsidRPr="00E207C1">
        <w:rPr>
          <w:sz w:val="18"/>
          <w:szCs w:val="18"/>
        </w:rPr>
        <w:t xml:space="preserve"> Ko. "A Phenomenology of Landscape:</w:t>
      </w:r>
      <w:r>
        <w:rPr>
          <w:sz w:val="18"/>
          <w:szCs w:val="18"/>
        </w:rPr>
        <w:t xml:space="preserve"> </w:t>
      </w:r>
      <w:r w:rsidRPr="00E207C1">
        <w:rPr>
          <w:sz w:val="18"/>
          <w:szCs w:val="18"/>
        </w:rPr>
        <w:t>A Crisis in British Landscape Archaeology?" Journal of Social Archaeology 9, no. 3 (2009): 275-94</w:t>
      </w:r>
    </w:p>
  </w:footnote>
  <w:footnote w:id="40">
    <w:p w14:paraId="4522BB45" w14:textId="77777777" w:rsidR="00A74CE6" w:rsidRPr="001F7D32" w:rsidRDefault="00A74CE6" w:rsidP="00A74CE6">
      <w:pPr>
        <w:pStyle w:val="FootnoteText"/>
        <w:rPr>
          <w:highlight w:val="yellow"/>
        </w:rPr>
      </w:pPr>
      <w:r w:rsidRPr="00E207C1">
        <w:rPr>
          <w:rStyle w:val="FootnoteReference"/>
          <w:sz w:val="18"/>
          <w:szCs w:val="18"/>
        </w:rPr>
        <w:footnoteRef/>
      </w:r>
      <w:r w:rsidRPr="00E207C1">
        <w:rPr>
          <w:sz w:val="18"/>
          <w:szCs w:val="18"/>
        </w:rPr>
        <w:t xml:space="preserve"> Ibid.</w:t>
      </w:r>
    </w:p>
  </w:footnote>
  <w:footnote w:id="41">
    <w:p w14:paraId="60772885" w14:textId="77777777" w:rsidR="00A74CE6" w:rsidRPr="00D20975" w:rsidRDefault="00A74CE6" w:rsidP="00A74CE6">
      <w:pPr>
        <w:pStyle w:val="FootnoteText"/>
        <w:rPr>
          <w:lang w:val="en-GB"/>
        </w:rPr>
      </w:pPr>
      <w:r>
        <w:rPr>
          <w:rStyle w:val="FootnoteReference"/>
        </w:rPr>
        <w:footnoteRef/>
      </w:r>
      <w:r>
        <w:t xml:space="preserve"> </w:t>
      </w:r>
      <w:bookmarkStart w:id="4" w:name="_Hlk218544513"/>
      <w:r w:rsidRPr="00AC187A">
        <w:rPr>
          <w:noProof/>
          <w:sz w:val="18"/>
          <w:szCs w:val="18"/>
          <w:lang w:val="en-GB"/>
        </w:rPr>
        <w:t xml:space="preserve">Helland, 2007; </w:t>
      </w:r>
      <w:r w:rsidRPr="00AC187A">
        <w:rPr>
          <w:sz w:val="18"/>
          <w:szCs w:val="18"/>
        </w:rPr>
        <w:t>[15:02]</w:t>
      </w:r>
      <w:bookmarkEnd w:id="4"/>
    </w:p>
  </w:footnote>
  <w:footnote w:id="42">
    <w:p w14:paraId="565A6A14" w14:textId="77777777" w:rsidR="00A74CE6" w:rsidRPr="00FA24BA" w:rsidRDefault="00A74CE6" w:rsidP="00A74CE6">
      <w:pPr>
        <w:pStyle w:val="FootnoteText"/>
        <w:rPr>
          <w:sz w:val="18"/>
          <w:szCs w:val="18"/>
          <w:lang w:val="en-GB"/>
        </w:rPr>
      </w:pPr>
      <w:r w:rsidRPr="00DF7F5F">
        <w:rPr>
          <w:rStyle w:val="FootnoteReference"/>
          <w:sz w:val="18"/>
          <w:szCs w:val="18"/>
        </w:rPr>
        <w:footnoteRef/>
      </w:r>
      <w:r w:rsidRPr="00DF7F5F">
        <w:rPr>
          <w:sz w:val="18"/>
          <w:szCs w:val="18"/>
        </w:rPr>
        <w:t xml:space="preserve"> </w:t>
      </w:r>
      <w:r w:rsidRPr="00FA24BA">
        <w:rPr>
          <w:sz w:val="18"/>
          <w:szCs w:val="18"/>
        </w:rPr>
        <w:t>Hill‐Smith, Connie. "Cyberpilgrimage: The (virtual) reality of online pilgrimage experience." </w:t>
      </w:r>
      <w:r w:rsidRPr="00FA24BA">
        <w:rPr>
          <w:i/>
          <w:iCs/>
          <w:sz w:val="18"/>
          <w:szCs w:val="18"/>
        </w:rPr>
        <w:t>Religion Compass</w:t>
      </w:r>
      <w:r w:rsidRPr="00FA24BA">
        <w:rPr>
          <w:sz w:val="18"/>
          <w:szCs w:val="18"/>
        </w:rPr>
        <w:t> 5.6 (2011): 236</w:t>
      </w:r>
    </w:p>
  </w:footnote>
  <w:footnote w:id="43">
    <w:p w14:paraId="65A47374" w14:textId="77777777" w:rsidR="00A74CE6" w:rsidRPr="00FA24BA" w:rsidRDefault="00A74CE6" w:rsidP="00A74CE6">
      <w:pPr>
        <w:pStyle w:val="FootnoteText"/>
        <w:rPr>
          <w:sz w:val="18"/>
          <w:szCs w:val="18"/>
          <w:lang w:val="en-GB"/>
        </w:rPr>
      </w:pPr>
      <w:r w:rsidRPr="00FA24BA">
        <w:rPr>
          <w:rStyle w:val="FootnoteReference"/>
          <w:sz w:val="18"/>
          <w:szCs w:val="18"/>
        </w:rPr>
        <w:footnoteRef/>
      </w:r>
      <w:r w:rsidRPr="00FA24BA">
        <w:rPr>
          <w:sz w:val="18"/>
          <w:szCs w:val="18"/>
        </w:rPr>
        <w:t xml:space="preserve"> </w:t>
      </w:r>
      <w:r w:rsidRPr="00FA24BA">
        <w:rPr>
          <w:sz w:val="18"/>
          <w:szCs w:val="18"/>
          <w:lang w:val="en-GB"/>
        </w:rPr>
        <w:t>Morinis, 1992, as cited in Hill-Smith, 2011; 238</w:t>
      </w:r>
    </w:p>
  </w:footnote>
  <w:footnote w:id="44">
    <w:p w14:paraId="70EE2272" w14:textId="77777777" w:rsidR="00A74CE6" w:rsidRPr="00FA24BA" w:rsidRDefault="00A74CE6" w:rsidP="00A74CE6">
      <w:pPr>
        <w:pStyle w:val="FootnoteText"/>
        <w:rPr>
          <w:sz w:val="18"/>
          <w:szCs w:val="18"/>
          <w:lang w:val="en-GB"/>
        </w:rPr>
      </w:pPr>
      <w:r w:rsidRPr="00FA24BA">
        <w:rPr>
          <w:rStyle w:val="FootnoteReference"/>
          <w:sz w:val="18"/>
          <w:szCs w:val="18"/>
        </w:rPr>
        <w:footnoteRef/>
      </w:r>
      <w:r w:rsidRPr="00FA24BA">
        <w:rPr>
          <w:sz w:val="18"/>
          <w:szCs w:val="18"/>
        </w:rPr>
        <w:t xml:space="preserve"> Brasher, Brenda. “Give Me that Online Religion.” Jossey-Bass (2001): 128</w:t>
      </w:r>
    </w:p>
  </w:footnote>
  <w:footnote w:id="45">
    <w:p w14:paraId="7AAC7289" w14:textId="77777777" w:rsidR="00A74CE6" w:rsidRPr="00625950" w:rsidRDefault="00A74CE6" w:rsidP="00A74CE6">
      <w:pPr>
        <w:pStyle w:val="FootnoteText"/>
        <w:rPr>
          <w:lang w:val="en-GB"/>
        </w:rPr>
      </w:pPr>
      <w:r w:rsidRPr="00FA24BA">
        <w:rPr>
          <w:rStyle w:val="FootnoteReference"/>
          <w:sz w:val="18"/>
          <w:szCs w:val="18"/>
        </w:rPr>
        <w:footnoteRef/>
      </w:r>
      <w:r w:rsidRPr="00FA24BA">
        <w:rPr>
          <w:noProof/>
          <w:sz w:val="18"/>
          <w:szCs w:val="18"/>
          <w:lang w:val="en-GB"/>
        </w:rPr>
        <w:t xml:space="preserve"> Dwivedi &amp; Narula, 2020</w:t>
      </w:r>
    </w:p>
  </w:footnote>
  <w:footnote w:id="46">
    <w:p w14:paraId="44B2ED2D" w14:textId="77777777" w:rsidR="00A74CE6" w:rsidRPr="00056D83" w:rsidRDefault="00A74CE6" w:rsidP="00A74CE6">
      <w:pPr>
        <w:pStyle w:val="FootnoteText"/>
        <w:rPr>
          <w:sz w:val="18"/>
          <w:szCs w:val="18"/>
          <w:lang w:val="en-GB"/>
        </w:rPr>
      </w:pPr>
      <w:r w:rsidRPr="00056D83">
        <w:rPr>
          <w:rStyle w:val="FootnoteReference"/>
          <w:sz w:val="18"/>
          <w:szCs w:val="18"/>
        </w:rPr>
        <w:footnoteRef/>
      </w:r>
      <w:r w:rsidRPr="00056D83">
        <w:rPr>
          <w:sz w:val="18"/>
          <w:szCs w:val="18"/>
        </w:rPr>
        <w:t xml:space="preserve"> </w:t>
      </w:r>
      <w:r w:rsidRPr="00056D83">
        <w:rPr>
          <w:noProof/>
          <w:sz w:val="18"/>
          <w:szCs w:val="18"/>
          <w:lang w:val="en-GB"/>
        </w:rPr>
        <w:t xml:space="preserve">Hill-Smith, 2011; </w:t>
      </w:r>
      <w:r w:rsidRPr="00056D83">
        <w:rPr>
          <w:sz w:val="18"/>
          <w:szCs w:val="18"/>
        </w:rPr>
        <w:t>236</w:t>
      </w:r>
    </w:p>
  </w:footnote>
  <w:footnote w:id="47">
    <w:p w14:paraId="1F41B77C" w14:textId="77777777" w:rsidR="00A74CE6" w:rsidRPr="00056D83" w:rsidRDefault="00A74CE6" w:rsidP="00A74CE6">
      <w:pPr>
        <w:pStyle w:val="FootnoteText"/>
        <w:rPr>
          <w:sz w:val="18"/>
          <w:szCs w:val="18"/>
          <w:lang w:val="en-GB"/>
        </w:rPr>
      </w:pPr>
      <w:r w:rsidRPr="00056D83">
        <w:rPr>
          <w:rStyle w:val="FootnoteReference"/>
          <w:sz w:val="18"/>
          <w:szCs w:val="18"/>
        </w:rPr>
        <w:footnoteRef/>
      </w:r>
      <w:r w:rsidRPr="00056D83">
        <w:rPr>
          <w:sz w:val="18"/>
          <w:szCs w:val="18"/>
        </w:rPr>
        <w:t xml:space="preserve"> </w:t>
      </w:r>
      <w:r w:rsidRPr="00056D83">
        <w:rPr>
          <w:sz w:val="18"/>
          <w:szCs w:val="18"/>
          <w:lang w:val="en-GB"/>
        </w:rPr>
        <w:t>Ibid</w:t>
      </w:r>
    </w:p>
  </w:footnote>
  <w:footnote w:id="48">
    <w:p w14:paraId="3728C53F" w14:textId="77777777" w:rsidR="00A74CE6" w:rsidRPr="00056D83" w:rsidRDefault="00A74CE6" w:rsidP="00A74CE6">
      <w:pPr>
        <w:pStyle w:val="FootnoteText"/>
        <w:rPr>
          <w:sz w:val="18"/>
          <w:szCs w:val="18"/>
          <w:lang w:val="en-GB"/>
        </w:rPr>
      </w:pPr>
      <w:r w:rsidRPr="00056D83">
        <w:rPr>
          <w:rStyle w:val="FootnoteReference"/>
          <w:sz w:val="18"/>
          <w:szCs w:val="18"/>
        </w:rPr>
        <w:footnoteRef/>
      </w:r>
      <w:r w:rsidRPr="00056D83">
        <w:rPr>
          <w:sz w:val="18"/>
          <w:szCs w:val="18"/>
        </w:rPr>
        <w:t xml:space="preserve"> Ibid., 239</w:t>
      </w:r>
    </w:p>
  </w:footnote>
  <w:footnote w:id="49">
    <w:p w14:paraId="3223DA61" w14:textId="77777777" w:rsidR="00A74CE6" w:rsidRPr="00056D83" w:rsidRDefault="00A74CE6" w:rsidP="00A74CE6">
      <w:pPr>
        <w:pStyle w:val="FootnoteText"/>
        <w:rPr>
          <w:sz w:val="18"/>
          <w:szCs w:val="18"/>
          <w:lang w:val="en-GB"/>
        </w:rPr>
      </w:pPr>
      <w:r w:rsidRPr="00056D83">
        <w:rPr>
          <w:rStyle w:val="FootnoteReference"/>
          <w:sz w:val="18"/>
          <w:szCs w:val="18"/>
        </w:rPr>
        <w:footnoteRef/>
      </w:r>
      <w:r w:rsidRPr="00056D83">
        <w:rPr>
          <w:sz w:val="18"/>
          <w:szCs w:val="18"/>
        </w:rPr>
        <w:t xml:space="preserve"> </w:t>
      </w:r>
      <w:r w:rsidRPr="00056D83">
        <w:rPr>
          <w:noProof/>
          <w:sz w:val="18"/>
          <w:szCs w:val="18"/>
          <w:lang w:val="en-GB"/>
        </w:rPr>
        <w:t xml:space="preserve">Ibid., </w:t>
      </w:r>
      <w:r w:rsidRPr="00056D83">
        <w:rPr>
          <w:sz w:val="18"/>
          <w:szCs w:val="18"/>
        </w:rPr>
        <w:t>244</w:t>
      </w:r>
    </w:p>
  </w:footnote>
  <w:footnote w:id="50">
    <w:p w14:paraId="247D8292" w14:textId="77777777" w:rsidR="00A74CE6" w:rsidRPr="00970A11" w:rsidRDefault="00A74CE6" w:rsidP="00A74CE6">
      <w:pPr>
        <w:pStyle w:val="FootnoteText"/>
        <w:rPr>
          <w:sz w:val="18"/>
          <w:szCs w:val="18"/>
          <w:lang w:val="en-GB"/>
        </w:rPr>
      </w:pPr>
      <w:r w:rsidRPr="00970A11">
        <w:rPr>
          <w:rStyle w:val="FootnoteReference"/>
          <w:sz w:val="18"/>
          <w:szCs w:val="18"/>
        </w:rPr>
        <w:footnoteRef/>
      </w:r>
      <w:r w:rsidRPr="00970A11">
        <w:rPr>
          <w:sz w:val="18"/>
          <w:szCs w:val="18"/>
        </w:rPr>
        <w:t xml:space="preserve"> </w:t>
      </w:r>
      <w:bookmarkStart w:id="5" w:name="_Hlk218544970"/>
      <w:r w:rsidRPr="00970A11">
        <w:rPr>
          <w:sz w:val="18"/>
          <w:szCs w:val="18"/>
        </w:rPr>
        <w:t>Helland, 2007; [22:15]</w:t>
      </w:r>
      <w:bookmarkEnd w:id="5"/>
    </w:p>
  </w:footnote>
  <w:footnote w:id="51">
    <w:p w14:paraId="7E06F1E1" w14:textId="77777777" w:rsidR="00A74CE6" w:rsidRPr="00ED41BF" w:rsidRDefault="00A74CE6" w:rsidP="00A74CE6">
      <w:pPr>
        <w:pStyle w:val="FootnoteText"/>
        <w:rPr>
          <w:lang w:val="en-GB"/>
        </w:rPr>
      </w:pPr>
      <w:r w:rsidRPr="00970A11">
        <w:rPr>
          <w:rStyle w:val="FootnoteReference"/>
          <w:sz w:val="18"/>
          <w:szCs w:val="18"/>
        </w:rPr>
        <w:footnoteRef/>
      </w:r>
      <w:r w:rsidRPr="00970A11">
        <w:rPr>
          <w:sz w:val="18"/>
          <w:szCs w:val="18"/>
        </w:rPr>
        <w:t xml:space="preserve"> </w:t>
      </w:r>
      <w:r w:rsidRPr="00970A11">
        <w:rPr>
          <w:sz w:val="18"/>
          <w:szCs w:val="18"/>
          <w:lang w:val="en-GB"/>
        </w:rPr>
        <w:t>Ibid., [23:57]</w:t>
      </w:r>
    </w:p>
  </w:footnote>
  <w:footnote w:id="52">
    <w:p w14:paraId="6B7A3295" w14:textId="77777777" w:rsidR="00A74CE6" w:rsidRPr="007C75A8" w:rsidRDefault="00A74CE6" w:rsidP="00A74CE6">
      <w:pPr>
        <w:pStyle w:val="FootnoteText"/>
        <w:rPr>
          <w:sz w:val="18"/>
          <w:szCs w:val="18"/>
          <w:lang w:val="en-GB"/>
        </w:rPr>
      </w:pPr>
      <w:r w:rsidRPr="008E3187">
        <w:rPr>
          <w:rStyle w:val="FootnoteReference"/>
          <w:sz w:val="18"/>
          <w:szCs w:val="18"/>
        </w:rPr>
        <w:footnoteRef/>
      </w:r>
      <w:r w:rsidRPr="008E3187">
        <w:rPr>
          <w:sz w:val="18"/>
          <w:szCs w:val="18"/>
        </w:rPr>
        <w:t xml:space="preserve"> </w:t>
      </w:r>
      <w:r w:rsidRPr="007C75A8">
        <w:rPr>
          <w:sz w:val="18"/>
          <w:szCs w:val="18"/>
        </w:rPr>
        <w:t>Dwivedi, Prabha Shankar, and Amit Narula. "Religious communities in simulated sacred spaces: A study of pilgrimages in digital media." Journal of Content, Community and Communication 11.10 (2020); 265.</w:t>
      </w:r>
    </w:p>
  </w:footnote>
  <w:footnote w:id="53">
    <w:p w14:paraId="49F3630F" w14:textId="77777777" w:rsidR="00A74CE6" w:rsidRPr="008133B0" w:rsidRDefault="00A74CE6" w:rsidP="00A74CE6">
      <w:pPr>
        <w:pStyle w:val="FootnoteText"/>
        <w:rPr>
          <w:lang w:val="en-GB"/>
        </w:rPr>
      </w:pPr>
      <w:r w:rsidRPr="007C75A8">
        <w:rPr>
          <w:rStyle w:val="FootnoteReference"/>
          <w:sz w:val="18"/>
          <w:szCs w:val="18"/>
        </w:rPr>
        <w:footnoteRef/>
      </w:r>
      <w:r w:rsidRPr="007C75A8">
        <w:rPr>
          <w:sz w:val="18"/>
          <w:szCs w:val="18"/>
        </w:rPr>
        <w:t xml:space="preserve"> Schroder, 1996 as cited in Helland, 2007; [29:34]</w:t>
      </w:r>
    </w:p>
  </w:footnote>
  <w:footnote w:id="54">
    <w:p w14:paraId="192C03B4" w14:textId="77777777" w:rsidR="00A74CE6" w:rsidRPr="00D21A81" w:rsidRDefault="00A74CE6" w:rsidP="00A74CE6">
      <w:pPr>
        <w:pStyle w:val="FootnoteText"/>
        <w:rPr>
          <w:lang w:val="en-GB"/>
        </w:rPr>
      </w:pPr>
      <w:r>
        <w:rPr>
          <w:rStyle w:val="FootnoteReference"/>
        </w:rPr>
        <w:footnoteRef/>
      </w:r>
      <w:r>
        <w:t xml:space="preserve"> </w:t>
      </w:r>
      <w:r w:rsidRPr="00872C0F">
        <w:rPr>
          <w:sz w:val="18"/>
          <w:szCs w:val="18"/>
          <w:lang w:val="en-GB"/>
        </w:rPr>
        <w:t>Hill-Smith, 2011; 243</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D748C4"/>
    <w:multiLevelType w:val="hybridMultilevel"/>
    <w:tmpl w:val="AB00A2E4"/>
    <w:lvl w:ilvl="0" w:tplc="E1344C2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B3D25C1"/>
    <w:multiLevelType w:val="hybridMultilevel"/>
    <w:tmpl w:val="18886D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7E563F"/>
    <w:multiLevelType w:val="hybridMultilevel"/>
    <w:tmpl w:val="90AECBA4"/>
    <w:lvl w:ilvl="0" w:tplc="E452E0BE">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C80B45"/>
    <w:multiLevelType w:val="hybridMultilevel"/>
    <w:tmpl w:val="6CA0C0B4"/>
    <w:lvl w:ilvl="0" w:tplc="E452E0B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216955"/>
    <w:multiLevelType w:val="hybridMultilevel"/>
    <w:tmpl w:val="67EE887E"/>
    <w:lvl w:ilvl="0" w:tplc="3E3E39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1630B7"/>
    <w:multiLevelType w:val="hybridMultilevel"/>
    <w:tmpl w:val="5DA635E0"/>
    <w:lvl w:ilvl="0" w:tplc="E452E0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C1277B"/>
    <w:multiLevelType w:val="hybridMultilevel"/>
    <w:tmpl w:val="ED8CAB38"/>
    <w:lvl w:ilvl="0" w:tplc="1C2E91B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689065E"/>
    <w:multiLevelType w:val="hybridMultilevel"/>
    <w:tmpl w:val="4AE829CA"/>
    <w:lvl w:ilvl="0" w:tplc="2B92F3A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8644ECA"/>
    <w:multiLevelType w:val="hybridMultilevel"/>
    <w:tmpl w:val="BA0CF7C6"/>
    <w:lvl w:ilvl="0" w:tplc="1C2E91B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60F27800"/>
    <w:multiLevelType w:val="hybridMultilevel"/>
    <w:tmpl w:val="AFB05EBA"/>
    <w:lvl w:ilvl="0" w:tplc="93BC0C7A">
      <w:start w:val="1"/>
      <w:numFmt w:val="decimal"/>
      <w:lvlText w:val="%1)"/>
      <w:lvlJc w:val="left"/>
      <w:pPr>
        <w:ind w:left="1080" w:hanging="360"/>
      </w:pPr>
      <w:rPr>
        <w:rFonts w:asciiTheme="minorHAnsi" w:eastAsiaTheme="minorHAnsi" w:hAnsiTheme="minorHAnsi" w:cstheme="minorBidi"/>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4F3232"/>
    <w:multiLevelType w:val="hybridMultilevel"/>
    <w:tmpl w:val="1A6CE9D8"/>
    <w:lvl w:ilvl="0" w:tplc="E452E0B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AE511C8"/>
    <w:multiLevelType w:val="hybridMultilevel"/>
    <w:tmpl w:val="3D820B7A"/>
    <w:lvl w:ilvl="0" w:tplc="93BC0C7A">
      <w:start w:val="1"/>
      <w:numFmt w:val="decimal"/>
      <w:lvlText w:val="%1)"/>
      <w:lvlJc w:val="left"/>
      <w:pPr>
        <w:ind w:left="1080" w:hanging="360"/>
      </w:pPr>
      <w:rPr>
        <w:rFonts w:asciiTheme="minorHAnsi" w:eastAsiaTheme="minorHAnsi" w:hAnsiTheme="minorHAnsi" w:cstheme="minorBidi"/>
        <w:b w:val="0"/>
        <w:b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E0321F"/>
    <w:multiLevelType w:val="hybridMultilevel"/>
    <w:tmpl w:val="3F0C0B62"/>
    <w:lvl w:ilvl="0" w:tplc="1C2E91B6">
      <w:start w:val="1"/>
      <w:numFmt w:val="decimal"/>
      <w:lvlText w:val="%1)"/>
      <w:lvlJc w:val="left"/>
      <w:pPr>
        <w:ind w:left="1080" w:hanging="360"/>
      </w:pPr>
      <w:rPr>
        <w:rFonts w:asciiTheme="minorHAnsi" w:eastAsiaTheme="minorHAnsi" w:hAnsiTheme="minorHAns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A1E2AFF"/>
    <w:multiLevelType w:val="hybridMultilevel"/>
    <w:tmpl w:val="50AC6FB4"/>
    <w:lvl w:ilvl="0" w:tplc="E452E0BE">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22054176">
    <w:abstractNumId w:val="1"/>
  </w:num>
  <w:num w:numId="2" w16cid:durableId="758260453">
    <w:abstractNumId w:val="0"/>
  </w:num>
  <w:num w:numId="3" w16cid:durableId="842277116">
    <w:abstractNumId w:val="7"/>
  </w:num>
  <w:num w:numId="4" w16cid:durableId="1820269973">
    <w:abstractNumId w:val="4"/>
  </w:num>
  <w:num w:numId="5" w16cid:durableId="485972340">
    <w:abstractNumId w:val="5"/>
  </w:num>
  <w:num w:numId="6" w16cid:durableId="778375770">
    <w:abstractNumId w:val="13"/>
  </w:num>
  <w:num w:numId="7" w16cid:durableId="840312348">
    <w:abstractNumId w:val="3"/>
  </w:num>
  <w:num w:numId="8" w16cid:durableId="934634976">
    <w:abstractNumId w:val="6"/>
  </w:num>
  <w:num w:numId="9" w16cid:durableId="1363435308">
    <w:abstractNumId w:val="8"/>
  </w:num>
  <w:num w:numId="10" w16cid:durableId="761535895">
    <w:abstractNumId w:val="10"/>
  </w:num>
  <w:num w:numId="11" w16cid:durableId="1414933449">
    <w:abstractNumId w:val="12"/>
  </w:num>
  <w:num w:numId="12" w16cid:durableId="319234379">
    <w:abstractNumId w:val="11"/>
  </w:num>
  <w:num w:numId="13" w16cid:durableId="1153176611">
    <w:abstractNumId w:val="2"/>
  </w:num>
  <w:num w:numId="14" w16cid:durableId="167159388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4CE6"/>
    <w:rsid w:val="000062A5"/>
    <w:rsid w:val="000807CF"/>
    <w:rsid w:val="00096D60"/>
    <w:rsid w:val="00294B42"/>
    <w:rsid w:val="004600F9"/>
    <w:rsid w:val="008B6AA6"/>
    <w:rsid w:val="00A74CE6"/>
    <w:rsid w:val="00BD253B"/>
    <w:rsid w:val="00BE5037"/>
    <w:rsid w:val="00D93C67"/>
    <w:rsid w:val="00F04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C9347"/>
  <w15:chartTrackingRefBased/>
  <w15:docId w15:val="{BBDE8B79-7A3B-4115-91E5-FBE6BF4D4A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4CE6"/>
    <w:pPr>
      <w:spacing w:line="259" w:lineRule="auto"/>
    </w:pPr>
    <w:rPr>
      <w:kern w:val="0"/>
      <w:sz w:val="22"/>
      <w:szCs w:val="22"/>
      <w:lang w:val="en-US"/>
      <w14:ligatures w14:val="none"/>
    </w:rPr>
  </w:style>
  <w:style w:type="paragraph" w:styleId="Heading1">
    <w:name w:val="heading 1"/>
    <w:basedOn w:val="Normal"/>
    <w:next w:val="Normal"/>
    <w:link w:val="Heading1Char"/>
    <w:uiPriority w:val="9"/>
    <w:qFormat/>
    <w:rsid w:val="00A74C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74C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semiHidden/>
    <w:unhideWhenUsed/>
    <w:qFormat/>
    <w:rsid w:val="00A74C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74C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74C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74C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74C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74C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74C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74C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74C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semiHidden/>
    <w:rsid w:val="00A74C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74C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74C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74C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74C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74C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74CE6"/>
    <w:rPr>
      <w:rFonts w:eastAsiaTheme="majorEastAsia" w:cstheme="majorBidi"/>
      <w:color w:val="272727" w:themeColor="text1" w:themeTint="D8"/>
    </w:rPr>
  </w:style>
  <w:style w:type="paragraph" w:styleId="Title">
    <w:name w:val="Title"/>
    <w:basedOn w:val="Normal"/>
    <w:next w:val="Normal"/>
    <w:link w:val="TitleChar"/>
    <w:uiPriority w:val="10"/>
    <w:qFormat/>
    <w:rsid w:val="00A74C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74C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74C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74C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74CE6"/>
    <w:pPr>
      <w:spacing w:before="160"/>
      <w:jc w:val="center"/>
    </w:pPr>
    <w:rPr>
      <w:i/>
      <w:iCs/>
      <w:color w:val="404040" w:themeColor="text1" w:themeTint="BF"/>
    </w:rPr>
  </w:style>
  <w:style w:type="character" w:customStyle="1" w:styleId="QuoteChar">
    <w:name w:val="Quote Char"/>
    <w:basedOn w:val="DefaultParagraphFont"/>
    <w:link w:val="Quote"/>
    <w:uiPriority w:val="29"/>
    <w:rsid w:val="00A74CE6"/>
    <w:rPr>
      <w:i/>
      <w:iCs/>
      <w:color w:val="404040" w:themeColor="text1" w:themeTint="BF"/>
    </w:rPr>
  </w:style>
  <w:style w:type="paragraph" w:styleId="ListParagraph">
    <w:name w:val="List Paragraph"/>
    <w:basedOn w:val="Normal"/>
    <w:uiPriority w:val="34"/>
    <w:qFormat/>
    <w:rsid w:val="00A74CE6"/>
    <w:pPr>
      <w:ind w:left="720"/>
      <w:contextualSpacing/>
    </w:pPr>
  </w:style>
  <w:style w:type="character" w:styleId="IntenseEmphasis">
    <w:name w:val="Intense Emphasis"/>
    <w:basedOn w:val="DefaultParagraphFont"/>
    <w:uiPriority w:val="21"/>
    <w:qFormat/>
    <w:rsid w:val="00A74CE6"/>
    <w:rPr>
      <w:i/>
      <w:iCs/>
      <w:color w:val="0F4761" w:themeColor="accent1" w:themeShade="BF"/>
    </w:rPr>
  </w:style>
  <w:style w:type="paragraph" w:styleId="IntenseQuote">
    <w:name w:val="Intense Quote"/>
    <w:basedOn w:val="Normal"/>
    <w:next w:val="Normal"/>
    <w:link w:val="IntenseQuoteChar"/>
    <w:uiPriority w:val="30"/>
    <w:qFormat/>
    <w:rsid w:val="00A74C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74CE6"/>
    <w:rPr>
      <w:i/>
      <w:iCs/>
      <w:color w:val="0F4761" w:themeColor="accent1" w:themeShade="BF"/>
    </w:rPr>
  </w:style>
  <w:style w:type="character" w:styleId="IntenseReference">
    <w:name w:val="Intense Reference"/>
    <w:basedOn w:val="DefaultParagraphFont"/>
    <w:uiPriority w:val="32"/>
    <w:qFormat/>
    <w:rsid w:val="00A74CE6"/>
    <w:rPr>
      <w:b/>
      <w:bCs/>
      <w:smallCaps/>
      <w:color w:val="0F4761" w:themeColor="accent1" w:themeShade="BF"/>
      <w:spacing w:val="5"/>
    </w:rPr>
  </w:style>
  <w:style w:type="paragraph" w:styleId="BalloonText">
    <w:name w:val="Balloon Text"/>
    <w:basedOn w:val="Normal"/>
    <w:link w:val="BalloonTextChar"/>
    <w:uiPriority w:val="99"/>
    <w:semiHidden/>
    <w:unhideWhenUsed/>
    <w:rsid w:val="00A74CE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74CE6"/>
    <w:rPr>
      <w:rFonts w:ascii="Segoe UI" w:hAnsi="Segoe UI" w:cs="Segoe UI"/>
      <w:kern w:val="0"/>
      <w:sz w:val="18"/>
      <w:szCs w:val="18"/>
      <w:lang w:val="en-US"/>
      <w14:ligatures w14:val="none"/>
    </w:rPr>
  </w:style>
  <w:style w:type="paragraph" w:styleId="FootnoteText">
    <w:name w:val="footnote text"/>
    <w:basedOn w:val="Normal"/>
    <w:link w:val="FootnoteTextChar"/>
    <w:uiPriority w:val="99"/>
    <w:unhideWhenUsed/>
    <w:rsid w:val="00A74CE6"/>
    <w:pPr>
      <w:spacing w:after="0" w:line="240" w:lineRule="auto"/>
    </w:pPr>
    <w:rPr>
      <w:sz w:val="20"/>
      <w:szCs w:val="20"/>
    </w:rPr>
  </w:style>
  <w:style w:type="character" w:customStyle="1" w:styleId="FootnoteTextChar">
    <w:name w:val="Footnote Text Char"/>
    <w:basedOn w:val="DefaultParagraphFont"/>
    <w:link w:val="FootnoteText"/>
    <w:uiPriority w:val="99"/>
    <w:rsid w:val="00A74CE6"/>
    <w:rPr>
      <w:kern w:val="0"/>
      <w:sz w:val="20"/>
      <w:szCs w:val="20"/>
      <w:lang w:val="en-US"/>
      <w14:ligatures w14:val="none"/>
    </w:rPr>
  </w:style>
  <w:style w:type="character" w:styleId="FootnoteReference">
    <w:name w:val="footnote reference"/>
    <w:basedOn w:val="DefaultParagraphFont"/>
    <w:uiPriority w:val="99"/>
    <w:semiHidden/>
    <w:unhideWhenUsed/>
    <w:rsid w:val="00A74CE6"/>
    <w:rPr>
      <w:vertAlign w:val="superscript"/>
    </w:rPr>
  </w:style>
  <w:style w:type="character" w:styleId="Hyperlink">
    <w:name w:val="Hyperlink"/>
    <w:rsid w:val="00A74CE6"/>
    <w:rPr>
      <w:color w:val="0000FF"/>
      <w:u w:val="single"/>
    </w:rPr>
  </w:style>
  <w:style w:type="paragraph" w:styleId="NormalWeb">
    <w:name w:val="Normal (Web)"/>
    <w:basedOn w:val="Normal"/>
    <w:uiPriority w:val="99"/>
    <w:unhideWhenUsed/>
    <w:rsid w:val="00A74CE6"/>
    <w:pPr>
      <w:spacing w:before="100" w:beforeAutospacing="1" w:after="100" w:afterAutospacing="1" w:line="240" w:lineRule="auto"/>
    </w:pPr>
    <w:rPr>
      <w:rFonts w:ascii="Georgia" w:eastAsia="SimSun" w:hAnsi="Georgia" w:cs="Times New Roman"/>
      <w:color w:val="000000"/>
      <w:sz w:val="21"/>
      <w:szCs w:val="21"/>
      <w:lang w:val="en-GB" w:eastAsia="zh-CN"/>
    </w:rPr>
  </w:style>
  <w:style w:type="paragraph" w:styleId="Header">
    <w:name w:val="header"/>
    <w:basedOn w:val="Normal"/>
    <w:link w:val="HeaderChar"/>
    <w:uiPriority w:val="99"/>
    <w:unhideWhenUsed/>
    <w:rsid w:val="00A74CE6"/>
    <w:pPr>
      <w:tabs>
        <w:tab w:val="center" w:pos="4680"/>
        <w:tab w:val="right" w:pos="9360"/>
      </w:tabs>
      <w:spacing w:after="0" w:line="240" w:lineRule="auto"/>
    </w:pPr>
  </w:style>
  <w:style w:type="character" w:customStyle="1" w:styleId="HeaderChar">
    <w:name w:val="Header Char"/>
    <w:basedOn w:val="DefaultParagraphFont"/>
    <w:link w:val="Header"/>
    <w:uiPriority w:val="99"/>
    <w:rsid w:val="00A74CE6"/>
    <w:rPr>
      <w:kern w:val="0"/>
      <w:sz w:val="22"/>
      <w:szCs w:val="22"/>
      <w:lang w:val="en-US"/>
      <w14:ligatures w14:val="none"/>
    </w:rPr>
  </w:style>
  <w:style w:type="paragraph" w:styleId="Footer">
    <w:name w:val="footer"/>
    <w:basedOn w:val="Normal"/>
    <w:link w:val="FooterChar"/>
    <w:uiPriority w:val="99"/>
    <w:unhideWhenUsed/>
    <w:rsid w:val="00A74CE6"/>
    <w:pPr>
      <w:tabs>
        <w:tab w:val="center" w:pos="4680"/>
        <w:tab w:val="right" w:pos="9360"/>
      </w:tabs>
      <w:spacing w:after="0" w:line="240" w:lineRule="auto"/>
    </w:pPr>
  </w:style>
  <w:style w:type="character" w:customStyle="1" w:styleId="FooterChar">
    <w:name w:val="Footer Char"/>
    <w:basedOn w:val="DefaultParagraphFont"/>
    <w:link w:val="Footer"/>
    <w:uiPriority w:val="99"/>
    <w:rsid w:val="00A74CE6"/>
    <w:rPr>
      <w:kern w:val="0"/>
      <w:sz w:val="22"/>
      <w:szCs w:val="22"/>
      <w:lang w:val="en-US"/>
      <w14:ligatures w14:val="none"/>
    </w:rPr>
  </w:style>
  <w:style w:type="character" w:customStyle="1" w:styleId="UnresolvedMention1">
    <w:name w:val="Unresolved Mention1"/>
    <w:basedOn w:val="DefaultParagraphFont"/>
    <w:uiPriority w:val="99"/>
    <w:semiHidden/>
    <w:unhideWhenUsed/>
    <w:rsid w:val="00A74CE6"/>
    <w:rPr>
      <w:color w:val="605E5C"/>
      <w:shd w:val="clear" w:color="auto" w:fill="E1DFDD"/>
    </w:rPr>
  </w:style>
  <w:style w:type="character" w:styleId="UnresolvedMention">
    <w:name w:val="Unresolved Mention"/>
    <w:basedOn w:val="DefaultParagraphFont"/>
    <w:uiPriority w:val="99"/>
    <w:semiHidden/>
    <w:unhideWhenUsed/>
    <w:rsid w:val="00A74CE6"/>
    <w:rPr>
      <w:color w:val="605E5C"/>
      <w:shd w:val="clear" w:color="auto" w:fill="E1DFDD"/>
    </w:rPr>
  </w:style>
  <w:style w:type="paragraph" w:styleId="EndnoteText">
    <w:name w:val="endnote text"/>
    <w:basedOn w:val="Normal"/>
    <w:link w:val="EndnoteTextChar"/>
    <w:uiPriority w:val="99"/>
    <w:semiHidden/>
    <w:unhideWhenUsed/>
    <w:rsid w:val="00A74CE6"/>
    <w:pPr>
      <w:spacing w:after="0" w:line="240" w:lineRule="auto"/>
    </w:pPr>
    <w:rPr>
      <w:sz w:val="20"/>
      <w:szCs w:val="20"/>
    </w:rPr>
  </w:style>
  <w:style w:type="character" w:customStyle="1" w:styleId="EndnoteTextChar">
    <w:name w:val="Endnote Text Char"/>
    <w:basedOn w:val="DefaultParagraphFont"/>
    <w:link w:val="EndnoteText"/>
    <w:uiPriority w:val="99"/>
    <w:semiHidden/>
    <w:rsid w:val="00A74CE6"/>
    <w:rPr>
      <w:kern w:val="0"/>
      <w:sz w:val="20"/>
      <w:szCs w:val="20"/>
      <w:lang w:val="en-US"/>
      <w14:ligatures w14:val="none"/>
    </w:rPr>
  </w:style>
  <w:style w:type="character" w:styleId="EndnoteReference">
    <w:name w:val="endnote reference"/>
    <w:basedOn w:val="DefaultParagraphFont"/>
    <w:uiPriority w:val="99"/>
    <w:semiHidden/>
    <w:unhideWhenUsed/>
    <w:rsid w:val="00A74CE6"/>
    <w:rPr>
      <w:vertAlign w:val="superscript"/>
    </w:rPr>
  </w:style>
  <w:style w:type="paragraph" w:styleId="Bibliography">
    <w:name w:val="Bibliography"/>
    <w:basedOn w:val="Normal"/>
    <w:next w:val="Normal"/>
    <w:uiPriority w:val="37"/>
    <w:unhideWhenUsed/>
    <w:rsid w:val="00A74C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mailto:%323%32%39%31%350@%73tu%64%65%6e%74%2e%75%77%74%73%64.a%63%2euk"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plato.stanford.edu/archives/sum2018/entries/phenomenology/" TargetMode="External"/><Relationship Id="rId2" Type="http://schemas.openxmlformats.org/officeDocument/2006/relationships/hyperlink" Target="https://www.britannica.com/biography/Lewis-R-Binford" TargetMode="External"/><Relationship Id="rId1" Type="http://schemas.openxmlformats.org/officeDocument/2006/relationships/hyperlink" Target="https://www.youtube.com/watch?v=xS8al7exO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Cha17</b:Tag>
    <b:SourceType>JournalArticle</b:SourceType>
    <b:Guid>{66E21ACF-21DE-4982-AEC1-7B65972FE554}</b:Guid>
    <b:Author>
      <b:Author>
        <b:NameList>
          <b:Person>
            <b:Last>Chalmers</b:Last>
            <b:First>David</b:First>
          </b:Person>
        </b:NameList>
      </b:Author>
    </b:Author>
    <b:Title>The virtual and the real</b:Title>
    <b:JournalName>Disputatio: International Journal of Philosophy</b:JournalName>
    <b:Year>2017</b:Year>
    <b:Pages>1-36</b:Pages>
    <b:Volume>9</b:Volume>
    <b:Issue>46</b:Issue>
    <b:RefOrder>1</b:RefOrder>
  </b:Source>
  <b:Source>
    <b:Tag>Bar09</b:Tag>
    <b:SourceType>JournalArticle</b:SourceType>
    <b:Guid>{7B2B2434-8DF0-490B-B019-25B5EA06D7D6}</b:Guid>
    <b:Title>A Phenomenology of Landscape: A Crisis in British Landscape Archaeology?</b:Title>
    <b:JournalName>Journal of Social Archeology</b:JournalName>
    <b:Year>2009</b:Year>
    <b:Pages>275-94</b:Pages>
    <b:Author>
      <b:Author>
        <b:NameList>
          <b:Person>
            <b:Last>Barrett</b:Last>
            <b:Middle>C</b:Middle>
            <b:First>John</b:First>
          </b:Person>
          <b:Person>
            <b:Last>Ko</b:Last>
            <b:First>Ilhong</b:First>
          </b:Person>
        </b:NameList>
      </b:Author>
    </b:Author>
    <b:Volume>9</b:Volume>
    <b:Issue>3</b:Issue>
    <b:RefOrder>2</b:RefOrder>
  </b:Source>
  <b:Source>
    <b:Tag>Bat24</b:Tag>
    <b:SourceType>JournalArticle</b:SourceType>
    <b:Guid>{C8F62DB3-2CCC-45E8-A5CD-97BAEF6ABC3E}</b:Guid>
    <b:Title>The Digital as Sacred Space: Exploring the Online Religious Dimension</b:Title>
    <b:Year>2024</b:Year>
    <b:Author>
      <b:Author>
        <b:NameList>
          <b:Person>
            <b:Last>Battista</b:Last>
            <b:First>Daniele</b:First>
          </b:Person>
        </b:NameList>
      </b:Author>
    </b:Author>
    <b:JournalName>Academicus International Scientific Journal 15.29 (2024)</b:JournalName>
    <b:Pages>21-37</b:Pages>
    <b:Volume>15</b:Volume>
    <b:Issue>29</b:Issue>
    <b:RefOrder>3</b:RefOrder>
  </b:Source>
  <b:Source>
    <b:Tag>Dwi20</b:Tag>
    <b:SourceType>JournalArticle</b:SourceType>
    <b:Guid>{52DE651C-AA1B-4E8B-97AF-53489C6CDB0C}</b:Guid>
    <b:Author>
      <b:Author>
        <b:NameList>
          <b:Person>
            <b:Last>Dwivedi</b:Last>
            <b:First>Prabha</b:First>
            <b:Middle>Shankar</b:Middle>
          </b:Person>
          <b:Person>
            <b:Last>Narula</b:Last>
            <b:First>Amit</b:First>
          </b:Person>
        </b:NameList>
      </b:Author>
    </b:Author>
    <b:Title>Religious communities in simulated sacred spaces: A study of pilgrimages in digital media</b:Title>
    <b:JournalName>Journal of Content, Community and Communication</b:JournalName>
    <b:Year>2020</b:Year>
    <b:Pages>260-267</b:Pages>
    <b:Volume>11</b:Volume>
    <b:Issue>10</b:Issue>
    <b:RefOrder>4</b:RefOrder>
  </b:Source>
  <b:Source>
    <b:Tag>Hil11</b:Tag>
    <b:SourceType>JournalArticle</b:SourceType>
    <b:Guid>{40A4256B-53B9-4B72-9B2F-2EEF7DCC57FB}</b:Guid>
    <b:Author>
      <b:Author>
        <b:NameList>
          <b:Person>
            <b:Last>Hill-Smith</b:Last>
            <b:First>Connie</b:First>
          </b:Person>
        </b:NameList>
      </b:Author>
    </b:Author>
    <b:Title>Cyberpilgrimage: The (virtual) reality of online pilgrimage experience</b:Title>
    <b:JournalName>Religion Compass</b:JournalName>
    <b:Year>2011</b:Year>
    <b:Pages>236-246</b:Pages>
    <b:Volume>5</b:Volume>
    <b:Issue>6</b:Issue>
    <b:RefOrder>5</b:RefOrder>
  </b:Source>
  <b:Source>
    <b:Tag>Mer26</b:Tag>
    <b:SourceType>InternetSite</b:SourceType>
    <b:Guid>{82F57E3D-4B60-49F7-B684-DB4A85427509}</b:Guid>
    <b:Title>Virtual</b:Title>
    <b:Year>2026</b:Year>
    <b:Author>
      <b:Author>
        <b:Corporate>Merriam-Webster</b:Corporate>
      </b:Author>
    </b:Author>
    <b:InternetSiteTitle>Merriam-webster.com Dictionary</b:InternetSiteTitle>
    <b:URL>https://www.merriam-webster.com/dictionary/virtual.</b:URL>
    <b:YearAccessed>2026</b:YearAccessed>
    <b:MonthAccessed>Jan</b:MonthAccessed>
    <b:RefOrder>6</b:RefOrder>
  </b:Source>
  <b:Source>
    <b:Tag>Joh08</b:Tag>
    <b:SourceType>BookSection</b:SourceType>
    <b:Guid>{135A3F31-CC77-459E-8300-7A631E5699A1}</b:Guid>
    <b:Title>Processual Archeology</b:Title>
    <b:Year>2008</b:Year>
    <b:Author>
      <b:Author>
        <b:NameList>
          <b:Person>
            <b:Last>Johnson</b:Last>
            <b:First>Amber</b:First>
            <b:Middle>L.</b:Middle>
          </b:Person>
        </b:NameList>
      </b:Author>
      <b:Editor>
        <b:NameList>
          <b:Person>
            <b:Last>Pearsall</b:Last>
            <b:First>Deborah</b:First>
            <b:Middle>M.</b:Middle>
          </b:Person>
        </b:NameList>
      </b:Editor>
    </b:Author>
    <b:Pages>1894-96</b:Pages>
    <b:BookTitle>Encyclopedia of Archeology</b:BookTitle>
    <b:City>New York</b:City>
    <b:Publisher>Academic Press</b:Publisher>
    <b:RefOrder>7</b:RefOrder>
  </b:Source>
  <b:Source>
    <b:Tag>Edi25</b:Tag>
    <b:SourceType>InternetSite</b:SourceType>
    <b:Guid>{DF43438A-B39A-4F3C-9FD1-1725B4A73B9B}</b:Guid>
    <b:Author>
      <b:Author>
        <b:Corporate>Britannica Editors</b:Corporate>
      </b:Author>
    </b:Author>
    <b:Title>Lewis R. Binford</b:Title>
    <b:Year>2025</b:Year>
    <b:InternetSiteTitle>Encyclopedia Britannica</b:InternetSiteTitle>
    <b:URL>https://www.britannica.com/biography/Lewis-R-Binford</b:URL>
    <b:YearAccessed>2025</b:YearAccessed>
    <b:MonthAccessed>November</b:MonthAccessed>
    <b:RefOrder>8</b:RefOrder>
  </b:Source>
  <b:Source>
    <b:Tag>Hod84</b:Tag>
    <b:SourceType>BookSection</b:SourceType>
    <b:Guid>{B9D546C6-CDB8-4CA9-9804-595096BA181A}</b:Guid>
    <b:Author>
      <b:Author>
        <b:NameList>
          <b:Person>
            <b:Last>Hodder</b:Last>
            <b:First>Ian</b:First>
          </b:Person>
        </b:NameList>
      </b:Author>
      <b:Editor>
        <b:NameList>
          <b:Person>
            <b:Last>Miller</b:Last>
            <b:First>Daniel</b:First>
          </b:Person>
          <b:Person>
            <b:Last>Tilley</b:Last>
            <b:First>Christopher</b:First>
          </b:Person>
        </b:NameList>
      </b:Editor>
    </b:Author>
    <b:Title>Burials, Hoses, Women and Men in the European Neolithic</b:Title>
    <b:Year>1984</b:Year>
    <b:JournalName>Ideology, Power and Prehistory</b:JournalName>
    <b:Pages>53</b:Pages>
    <b:Publisher>Cambridge University Press</b:Publisher>
    <b:BookTitle>Ideology, Power and Prehistory</b:BookTitle>
    <b:RefOrder>9</b:RefOrder>
  </b:Source>
  <b:Source>
    <b:Tag>Sha07</b:Tag>
    <b:SourceType>BookSection</b:SourceType>
    <b:Guid>{54B2B54A-ADFC-4B8E-A04E-522016E394EC}</b:Guid>
    <b:Author>
      <b:Author>
        <b:NameList>
          <b:Person>
            <b:Last>Shanks</b:Last>
            <b:First>Michael</b:First>
          </b:Person>
        </b:NameList>
      </b:Author>
      <b:Editor>
        <b:NameList>
          <b:Person>
            <b:Last>R. Alexander Bentley</b:Last>
            <b:First>Herbert</b:First>
            <b:Middle>D. G. Maschner and Christopher Chippindale</b:Middle>
          </b:Person>
        </b:NameList>
      </b:Editor>
    </b:Author>
    <b:Title>Post-Processual Archeology and After</b:Title>
    <b:BookTitle>Handbook of Archeological Theories</b:BookTitle>
    <b:Year>2007</b:Year>
    <b:Pages>135</b:Pages>
    <b:Publisher>Bloomsbury Publishing</b:Publisher>
    <b:RefOrder>10</b:RefOrder>
  </b:Source>
  <b:Source>
    <b:Tag>Sha87</b:Tag>
    <b:SourceType>Book</b:SourceType>
    <b:Guid>{0A6CE668-CFE8-4EFD-9FEB-477297EDB3EA}</b:Guid>
    <b:Title>Social Theory and Archeology</b:Title>
    <b:Year>1987</b:Year>
    <b:Pages>195</b:Pages>
    <b:Publisher>Polity Press Cambridge</b:Publisher>
    <b:Author>
      <b:Author>
        <b:NameList>
          <b:Person>
            <b:Last>Shanks</b:Last>
            <b:First>Michael</b:First>
          </b:Person>
          <b:Person>
            <b:Last>Tilley</b:Last>
            <b:First>Christopher</b:First>
          </b:Person>
        </b:NameList>
      </b:Author>
    </b:Author>
    <b:RefOrder>11</b:RefOrder>
  </b:Source>
  <b:Source>
    <b:Tag>Row</b:Tag>
    <b:SourceType>JournalArticle</b:SourceType>
    <b:Guid>{9FA25CC9-CE92-47D6-8FB2-57885324515D}</b:Guid>
    <b:Title>A Tribute and Farewell to Professor Chris Tilley</b:Title>
    <b:Author>
      <b:Author>
        <b:NameList>
          <b:Person>
            <b:Last>Rowlands</b:Last>
            <b:First>Michael</b:First>
          </b:Person>
          <b:Person>
            <b:Last>Solomon</b:Last>
            <b:First>Esther</b:First>
          </b:Person>
          <b:Person>
            <b:Last>Yalouri</b:Last>
            <b:First>Eleana</b:First>
          </b:Person>
          <b:Person>
            <b:Last>Laviolette</b:Last>
            <b:First>Patrick</b:First>
          </b:Person>
        </b:NameList>
      </b:Author>
    </b:Author>
    <b:JournalName>Ethnologia Europaea</b:JournalName>
    <b:Year>2024</b:Year>
    <b:Pages>88-95</b:Pages>
    <b:Volume>54</b:Volume>
    <b:Issue>1</b:Issue>
    <b:RefOrder>12</b:RefOrder>
  </b:Source>
  <b:Source>
    <b:Tag>Smi18</b:Tag>
    <b:SourceType>InternetSite</b:SourceType>
    <b:Guid>{894C0FAF-2F22-455D-B659-92E6BACE8675}</b:Guid>
    <b:Title>Phenomenology</b:Title>
    <b:Year>2018</b:Year>
    <b:Author>
      <b:Author>
        <b:NameList>
          <b:Person>
            <b:Last>Smith</b:Last>
            <b:First>David</b:First>
            <b:Middle>Woodruff</b:Middle>
          </b:Person>
        </b:NameList>
      </b:Author>
      <b:Editor>
        <b:NameList>
          <b:Person>
            <b:Last>Zalta</b:Last>
            <b:First>Edward</b:First>
            <b:Middle>N.</b:Middle>
          </b:Person>
        </b:NameList>
      </b:Editor>
    </b:Author>
    <b:InternetSiteTitle>The Stanford Encyclopedia of Philosophy</b:InternetSiteTitle>
    <b:URL>https://plato.stanford.edu/archives/sum2018/entries/phenomenology/</b:URL>
    <b:YearAccessed>December</b:YearAccessed>
    <b:MonthAccessed>2025</b:MonthAccessed>
    <b:RefOrder>13</b:RefOrder>
  </b:Source>
  <b:Source>
    <b:Tag>Til94</b:Tag>
    <b:SourceType>BookSection</b:SourceType>
    <b:Guid>{133FC28A-E228-4865-BD18-1D56A1D19763}</b:Guid>
    <b:Title>Space, Place, Landscape and Perception: Phenomenological Perspectives</b:Title>
    <b:Year>1994</b:Year>
    <b:BookTitle>A phenomenology of landscape: places, paths and monuments</b:BookTitle>
    <b:Pages>13-27</b:Pages>
    <b:Author>
      <b:Author>
        <b:NameList>
          <b:Person>
            <b:Last>Tilley</b:Last>
            <b:First>Christopher</b:First>
          </b:Person>
        </b:NameList>
      </b:Author>
      <b:BookAuthor>
        <b:NameList>
          <b:Person>
            <b:Last>Tilley</b:Last>
            <b:First>Christopher</b:First>
          </b:Person>
        </b:NameList>
      </b:BookAuthor>
    </b:Author>
    <b:RefOrder>14</b:RefOrder>
  </b:Source>
  <b:Source>
    <b:Tag>Hel07</b:Tag>
    <b:SourceType>Film</b:SourceType>
    <b:Guid>{23228382-1D20-4D6C-9432-EA341F2C6134}</b:Guid>
    <b:Title>Turning Cyberspace into Sacred Space</b:Title>
    <b:Year>2007</b:Year>
    <b:Author>
      <b:Director>
        <b:NameList>
          <b:Person>
            <b:Last>Helland</b:Last>
            <b:First>Christopher</b:First>
          </b:Person>
        </b:NameList>
      </b:Director>
    </b:Author>
    <b:YearAccessed>2025</b:YearAccessed>
    <b:MonthAccessed>December</b:MonthAccessed>
    <b:URL>https://www.youtube.com/watch?v=xS8al7exOCs</b:URL>
    <b:RefOrder>15</b:RefOrder>
  </b:Source>
  <b:Source>
    <b:Tag>Gra24</b:Tag>
    <b:SourceType>JournalArticle</b:SourceType>
    <b:Guid>{748163AE-66F6-4B20-BCC5-C174D241951A}</b:Guid>
    <b:Title>What is real in Virtual Reality?</b:Title>
    <b:Year>2024</b:Year>
    <b:Author>
      <b:Author>
        <b:NameList>
          <b:Person>
            <b:Last>Grabarczyk</b:Last>
            <b:First>Paweł.</b:First>
          </b:Person>
        </b:NameList>
      </b:Author>
    </b:Author>
    <b:JournalName>Roczniki Filozoficzne / Annales de Philosophie / Annals of Philosophy</b:JournalName>
    <b:Pages>79-98</b:Pages>
    <b:Volume>72</b:Volume>
    <b:Issue>1</b:Issue>
    <b:RefOrder>16</b:RefOrder>
  </b:Source>
  <b:Source>
    <b:Tag>Bra01</b:Tag>
    <b:SourceType>Book</b:SourceType>
    <b:Guid>{2C649E94-11D2-4580-97FA-613FF01A31A7}</b:Guid>
    <b:Author>
      <b:Author>
        <b:NameList>
          <b:Person>
            <b:Last>Brasher</b:Last>
            <b:First>Brenda</b:First>
          </b:Person>
        </b:NameList>
      </b:Author>
    </b:Author>
    <b:Title>Give me that Online Religion</b:Title>
    <b:Year>2001</b:Year>
    <b:Pages>128</b:Pages>
    <b:Publisher>Jossey-Bass</b:Publisher>
    <b:RefOrder>17</b:RefOrder>
  </b:Source>
</b:Sources>
</file>

<file path=customXml/itemProps1.xml><?xml version="1.0" encoding="utf-8"?>
<ds:datastoreItem xmlns:ds="http://schemas.openxmlformats.org/officeDocument/2006/customXml" ds:itemID="{7CA26FBB-5631-4D23-AAFD-25CD5586E35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15</Pages>
  <Words>5009</Words>
  <Characters>28553</Characters>
  <Application>Microsoft Office Word</Application>
  <DocSecurity>0</DocSecurity>
  <Lines>237</Lines>
  <Paragraphs>66</Paragraphs>
  <ScaleCrop>false</ScaleCrop>
  <Company/>
  <LinksUpToDate>false</LinksUpToDate>
  <CharactersWithSpaces>33496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Hough (staff)</dc:creator>
  <cp:keywords/>
  <dc:description/>
  <cp:lastModifiedBy>Olivia Hough (staff)</cp:lastModifiedBy>
  <cp:revision>1</cp:revision>
  <dcterms:created xsi:type="dcterms:W3CDTF">2026-01-05T23:37:00Z</dcterms:created>
  <dcterms:modified xsi:type="dcterms:W3CDTF">2026-01-05T23:40:00Z</dcterms:modified>
</cp:coreProperties>
</file>