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227FD" w14:textId="77777777" w:rsidR="00D1528E" w:rsidRPr="001142C9" w:rsidRDefault="00D1528E" w:rsidP="001142C9">
      <w:pPr>
        <w:spacing w:line="360" w:lineRule="auto"/>
        <w:jc w:val="center"/>
        <w:rPr>
          <w:rFonts w:ascii="Arial" w:hAnsi="Arial" w:cs="Arial"/>
          <w:b/>
          <w:color w:val="374151"/>
          <w:sz w:val="24"/>
          <w:szCs w:val="24"/>
        </w:rPr>
      </w:pPr>
      <w:r w:rsidRPr="001142C9">
        <w:rPr>
          <w:rFonts w:ascii="Arial" w:hAnsi="Arial" w:cs="Arial"/>
          <w:b/>
          <w:color w:val="374151"/>
          <w:sz w:val="24"/>
          <w:szCs w:val="24"/>
        </w:rPr>
        <w:t>Advancing Sustainability in the Hospitality Sector: Integrating Circular Economy Principles into Corporate Social Responsibility Practices</w:t>
      </w:r>
    </w:p>
    <w:p w14:paraId="5F4B03B7" w14:textId="536B6C7E" w:rsidR="00C10121" w:rsidRDefault="00C10121" w:rsidP="001142C9">
      <w:pPr>
        <w:spacing w:line="360" w:lineRule="auto"/>
        <w:jc w:val="center"/>
        <w:rPr>
          <w:rFonts w:ascii="Arial" w:hAnsi="Arial" w:cs="Arial"/>
          <w:b/>
          <w:sz w:val="24"/>
          <w:szCs w:val="24"/>
        </w:rPr>
      </w:pPr>
      <w:bookmarkStart w:id="0" w:name="_Hlk157697270"/>
      <w:r>
        <w:rPr>
          <w:rFonts w:ascii="Arial" w:hAnsi="Arial" w:cs="Arial"/>
          <w:b/>
          <w:sz w:val="24"/>
          <w:szCs w:val="24"/>
        </w:rPr>
        <w:t>Student name: Oluwatosin Osoba</w:t>
      </w:r>
    </w:p>
    <w:p w14:paraId="0E8C67AF" w14:textId="3FFD3F90" w:rsidR="00C10121" w:rsidRDefault="00C10121" w:rsidP="001142C9">
      <w:pPr>
        <w:spacing w:line="360" w:lineRule="auto"/>
        <w:jc w:val="center"/>
        <w:rPr>
          <w:rFonts w:ascii="Arial" w:hAnsi="Arial" w:cs="Arial"/>
          <w:b/>
          <w:sz w:val="24"/>
          <w:szCs w:val="24"/>
        </w:rPr>
      </w:pPr>
      <w:r>
        <w:rPr>
          <w:rFonts w:ascii="Arial" w:hAnsi="Arial" w:cs="Arial"/>
          <w:b/>
          <w:sz w:val="24"/>
          <w:szCs w:val="24"/>
        </w:rPr>
        <w:t>Student number: 2013493</w:t>
      </w:r>
    </w:p>
    <w:p w14:paraId="4B4D3F4D" w14:textId="27341264" w:rsidR="00C10121" w:rsidRDefault="00C10121" w:rsidP="001142C9">
      <w:pPr>
        <w:spacing w:line="360" w:lineRule="auto"/>
        <w:jc w:val="center"/>
        <w:rPr>
          <w:rFonts w:ascii="Arial" w:hAnsi="Arial" w:cs="Arial"/>
          <w:b/>
          <w:sz w:val="24"/>
          <w:szCs w:val="24"/>
        </w:rPr>
      </w:pPr>
      <w:r>
        <w:rPr>
          <w:rFonts w:ascii="Arial" w:hAnsi="Arial" w:cs="Arial"/>
          <w:b/>
          <w:sz w:val="24"/>
          <w:szCs w:val="24"/>
        </w:rPr>
        <w:t xml:space="preserve">Module title &amp; code: </w:t>
      </w:r>
      <w:r w:rsidRPr="00C10121">
        <w:rPr>
          <w:rFonts w:ascii="Arial" w:hAnsi="Arial" w:cs="Arial"/>
          <w:b/>
          <w:sz w:val="24"/>
          <w:szCs w:val="24"/>
        </w:rPr>
        <w:t>Sustainable Hospitality &amp; Tourism Management (BMIH5006)</w:t>
      </w:r>
    </w:p>
    <w:bookmarkEnd w:id="0"/>
    <w:p w14:paraId="0434EA2F" w14:textId="15B51749" w:rsidR="00D1528E" w:rsidRDefault="00D1528E" w:rsidP="001142C9">
      <w:pPr>
        <w:spacing w:line="360" w:lineRule="auto"/>
        <w:jc w:val="center"/>
        <w:rPr>
          <w:rFonts w:ascii="Arial" w:hAnsi="Arial" w:cs="Arial"/>
          <w:b/>
          <w:sz w:val="24"/>
          <w:szCs w:val="24"/>
        </w:rPr>
      </w:pPr>
      <w:r w:rsidRPr="001142C9">
        <w:rPr>
          <w:rFonts w:ascii="Arial" w:hAnsi="Arial" w:cs="Arial"/>
          <w:b/>
          <w:sz w:val="24"/>
          <w:szCs w:val="24"/>
        </w:rPr>
        <w:t xml:space="preserve">Word Count: </w:t>
      </w:r>
      <w:r w:rsidR="00757D13" w:rsidRPr="001142C9">
        <w:rPr>
          <w:rFonts w:ascii="Arial" w:hAnsi="Arial" w:cs="Arial"/>
          <w:b/>
          <w:sz w:val="24"/>
          <w:szCs w:val="24"/>
        </w:rPr>
        <w:t>2140</w:t>
      </w:r>
    </w:p>
    <w:p w14:paraId="638C3AB5" w14:textId="77777777" w:rsidR="00C10121" w:rsidRPr="001142C9" w:rsidRDefault="00C10121" w:rsidP="00C10121">
      <w:pPr>
        <w:spacing w:line="360" w:lineRule="auto"/>
        <w:rPr>
          <w:rFonts w:ascii="Arial" w:hAnsi="Arial" w:cs="Arial"/>
          <w:b/>
          <w:sz w:val="24"/>
          <w:szCs w:val="24"/>
        </w:rPr>
      </w:pPr>
    </w:p>
    <w:p w14:paraId="5220864B"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In the 21</w:t>
      </w:r>
      <w:r w:rsidRPr="001142C9">
        <w:rPr>
          <w:rFonts w:ascii="Arial" w:hAnsi="Arial" w:cs="Arial"/>
          <w:sz w:val="24"/>
          <w:szCs w:val="24"/>
          <w:vertAlign w:val="superscript"/>
        </w:rPr>
        <w:t>st</w:t>
      </w:r>
      <w:r w:rsidRPr="001142C9">
        <w:rPr>
          <w:rFonts w:ascii="Arial" w:hAnsi="Arial" w:cs="Arial"/>
          <w:sz w:val="24"/>
          <w:szCs w:val="24"/>
        </w:rPr>
        <w:t xml:space="preserve"> century, the attention of every organization in terms of products and services have been directed towards corporate social responsibility. Consumers are influenced to consume their product without have adverse effect on the environment, its resources and climate a large. Organization like the hospitality sectors have also seen this concept as a marketing tools for consumers engagement and profit maximization.  One of the revolutionary concepts that has sprung up in lieu of this is the circular economy. </w:t>
      </w:r>
      <w:proofErr w:type="spellStart"/>
      <w:r w:rsidRPr="001142C9">
        <w:rPr>
          <w:rFonts w:ascii="Arial" w:hAnsi="Arial" w:cs="Arial"/>
          <w:sz w:val="24"/>
          <w:szCs w:val="24"/>
        </w:rPr>
        <w:t>Rodiriguez</w:t>
      </w:r>
      <w:proofErr w:type="spellEnd"/>
      <w:r w:rsidRPr="001142C9">
        <w:rPr>
          <w:rFonts w:ascii="Arial" w:hAnsi="Arial" w:cs="Arial"/>
          <w:sz w:val="24"/>
          <w:szCs w:val="24"/>
        </w:rPr>
        <w:t xml:space="preserve">-Anton and Alonso-Almeida (2019) describe circular economy as a model that aim resources maximization and minimizing waste by promoting sustainability through close-loop system of production. </w:t>
      </w:r>
      <w:proofErr w:type="spellStart"/>
      <w:r w:rsidRPr="001142C9">
        <w:rPr>
          <w:rFonts w:ascii="Arial" w:hAnsi="Arial" w:cs="Arial"/>
          <w:sz w:val="24"/>
          <w:szCs w:val="24"/>
        </w:rPr>
        <w:t>Corveliec</w:t>
      </w:r>
      <w:proofErr w:type="spellEnd"/>
      <w:r w:rsidRPr="001142C9">
        <w:rPr>
          <w:rFonts w:ascii="Arial" w:hAnsi="Arial" w:cs="Arial"/>
          <w:sz w:val="24"/>
          <w:szCs w:val="24"/>
        </w:rPr>
        <w:t xml:space="preserve"> et al. (2022) added that it modifies the conventional system of “take, make and dispose”, by introducing concept such as reusing, recycling and recovering.  This system has offered numerous advantages such the efficient use of resources, environmental sustainability, cost saving, innovation and job creation. However, Korhonen et al. (2018) critique that its implementation often poses serious challenges in terms of infrastructure, technology, and implementation, </w:t>
      </w:r>
      <w:proofErr w:type="spellStart"/>
      <w:r w:rsidRPr="001142C9">
        <w:rPr>
          <w:rFonts w:ascii="Arial" w:hAnsi="Arial" w:cs="Arial"/>
          <w:sz w:val="24"/>
          <w:szCs w:val="24"/>
        </w:rPr>
        <w:t>Corveliec</w:t>
      </w:r>
      <w:proofErr w:type="spellEnd"/>
      <w:r w:rsidRPr="001142C9">
        <w:rPr>
          <w:rFonts w:ascii="Arial" w:hAnsi="Arial" w:cs="Arial"/>
          <w:sz w:val="24"/>
          <w:szCs w:val="24"/>
        </w:rPr>
        <w:t xml:space="preserve"> et al. (2022) added that while circular economy offers a promising long-term benefit, initial investment in implementation is costly. This essay takes Marriot International as a case study to explore how hospitality sector implement circular economy within their corporate social responsibility.</w:t>
      </w:r>
    </w:p>
    <w:p w14:paraId="44CCC8FB"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Rodriguez-Anton and Alonso-Almeida (2019) define circular economy as a regenerative system that target the end-of-life of products and make attempts at restoring them.  Resources that are considered waste in the previous economy, are recycled, reused and </w:t>
      </w:r>
      <w:r w:rsidRPr="001142C9">
        <w:rPr>
          <w:rFonts w:ascii="Arial" w:hAnsi="Arial" w:cs="Arial"/>
          <w:sz w:val="24"/>
          <w:szCs w:val="24"/>
        </w:rPr>
        <w:lastRenderedPageBreak/>
        <w:t xml:space="preserve">regenerated for further or continuous use.  This is described by </w:t>
      </w:r>
      <w:proofErr w:type="spellStart"/>
      <w:r w:rsidRPr="001142C9">
        <w:rPr>
          <w:rFonts w:ascii="Arial" w:hAnsi="Arial" w:cs="Arial"/>
          <w:sz w:val="24"/>
          <w:szCs w:val="24"/>
        </w:rPr>
        <w:t>Corveliec</w:t>
      </w:r>
      <w:proofErr w:type="spellEnd"/>
      <w:r w:rsidRPr="001142C9">
        <w:rPr>
          <w:rFonts w:ascii="Arial" w:hAnsi="Arial" w:cs="Arial"/>
          <w:sz w:val="24"/>
          <w:szCs w:val="24"/>
        </w:rPr>
        <w:t xml:space="preserve"> et al. (2022) as a closed-loop system for products, materials and resources, others description for circular economy is the model that allows the reducing, reusing, recycling and recovering of materials at every stage of the product lifecycle. </w:t>
      </w:r>
    </w:p>
    <w:p w14:paraId="7F4727EF"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Kirchherr </w:t>
      </w:r>
      <w:proofErr w:type="spellStart"/>
      <w:r w:rsidRPr="001142C9">
        <w:rPr>
          <w:rFonts w:ascii="Arial" w:hAnsi="Arial" w:cs="Arial"/>
          <w:color w:val="222222"/>
          <w:sz w:val="24"/>
          <w:szCs w:val="24"/>
          <w:shd w:val="clear" w:color="auto" w:fill="FFFFFF"/>
        </w:rPr>
        <w:t>etc</w:t>
      </w:r>
      <w:proofErr w:type="spellEnd"/>
      <w:r w:rsidRPr="001142C9">
        <w:rPr>
          <w:rFonts w:ascii="Arial" w:hAnsi="Arial" w:cs="Arial"/>
          <w:color w:val="222222"/>
          <w:sz w:val="24"/>
          <w:szCs w:val="24"/>
          <w:shd w:val="clear" w:color="auto" w:fill="FFFFFF"/>
        </w:rPr>
        <w:t xml:space="preserve"> al. (2017) stated that the core principles of circular economy are rooted in four concepts; reduce, reuse, recycle and recover. An economy is said to circular, it the design of its products and all the processes involved have been aimed at minimizing resources right from inception, the resources that are put into use are expected to reused and not discarded after it offers the required services to the consumers. These products should also have the tendency to be converted into new products to extend its lifestyle, if such products </w:t>
      </w:r>
      <w:proofErr w:type="spellStart"/>
      <w:r w:rsidRPr="001142C9">
        <w:rPr>
          <w:rFonts w:ascii="Arial" w:hAnsi="Arial" w:cs="Arial"/>
          <w:color w:val="222222"/>
          <w:sz w:val="24"/>
          <w:szCs w:val="24"/>
          <w:shd w:val="clear" w:color="auto" w:fill="FFFFFF"/>
        </w:rPr>
        <w:t>can not</w:t>
      </w:r>
      <w:proofErr w:type="spellEnd"/>
      <w:r w:rsidRPr="001142C9">
        <w:rPr>
          <w:rFonts w:ascii="Arial" w:hAnsi="Arial" w:cs="Arial"/>
          <w:color w:val="222222"/>
          <w:sz w:val="24"/>
          <w:szCs w:val="24"/>
          <w:shd w:val="clear" w:color="auto" w:fill="FFFFFF"/>
        </w:rPr>
        <w:t xml:space="preserve"> be totally converted into reusable resources, some valuable resources can still be extracted.  </w:t>
      </w:r>
    </w:p>
    <w:p w14:paraId="67D40B7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Introducing the circular economy into the business landscape has offered numerous advantages, one of which the environment itself benefits. </w:t>
      </w:r>
      <w:proofErr w:type="spellStart"/>
      <w:r w:rsidRPr="001142C9">
        <w:rPr>
          <w:rFonts w:ascii="Arial" w:hAnsi="Arial" w:cs="Arial"/>
          <w:sz w:val="24"/>
          <w:szCs w:val="24"/>
        </w:rPr>
        <w:t>Geissdoerfer</w:t>
      </w:r>
      <w:proofErr w:type="spellEnd"/>
      <w:r w:rsidRPr="001142C9">
        <w:rPr>
          <w:rFonts w:ascii="Arial" w:hAnsi="Arial" w:cs="Arial"/>
          <w:sz w:val="24"/>
          <w:szCs w:val="24"/>
        </w:rPr>
        <w:t xml:space="preserve"> et a. (2017) stated that the goal of circular economy is to reduce waste and maximize the use of resources, studies have shown that this would help reduce pollution and ensure the sustainable use of resources. There is a global climate challenges which is linked with pollution, circular economy can offer a lasting solution to this challenge. Another advantage highlighted by Korhonen et al. (2018) is that it offers economic benefits by creating new job and business opportunity, since resources can be utilized effectively and reuse the cost of waste management is reduce and thus increase the overall profitability.  </w:t>
      </w:r>
      <w:proofErr w:type="spellStart"/>
      <w:r w:rsidRPr="001142C9">
        <w:rPr>
          <w:rFonts w:ascii="Arial" w:hAnsi="Arial" w:cs="Arial"/>
          <w:sz w:val="24"/>
          <w:szCs w:val="24"/>
        </w:rPr>
        <w:t>Morseletto</w:t>
      </w:r>
      <w:proofErr w:type="spellEnd"/>
      <w:r w:rsidRPr="001142C9">
        <w:rPr>
          <w:rFonts w:ascii="Arial" w:hAnsi="Arial" w:cs="Arial"/>
          <w:sz w:val="24"/>
          <w:szCs w:val="24"/>
        </w:rPr>
        <w:t xml:space="preserve"> (2020) also added that its offer social benefits, customers engagement increase, since they feel responsible in their consumption of goods and services. Circular economy can increase the overall public health and create a sustainable future for the future generation. </w:t>
      </w:r>
    </w:p>
    <w:p w14:paraId="4CC88FA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However, there are several critiques of the circular economy and its adoption in business, </w:t>
      </w:r>
      <w:proofErr w:type="spellStart"/>
      <w:r w:rsidRPr="001142C9">
        <w:rPr>
          <w:rFonts w:ascii="Arial" w:hAnsi="Arial" w:cs="Arial"/>
          <w:sz w:val="24"/>
          <w:szCs w:val="24"/>
        </w:rPr>
        <w:t>Morseletto</w:t>
      </w:r>
      <w:proofErr w:type="spellEnd"/>
      <w:r w:rsidRPr="001142C9">
        <w:rPr>
          <w:rFonts w:ascii="Arial" w:hAnsi="Arial" w:cs="Arial"/>
          <w:sz w:val="24"/>
          <w:szCs w:val="24"/>
        </w:rPr>
        <w:t xml:space="preserve"> (2020) stated that circular economy is difficult to implement, the existing system before circular economy is regarded as an open loop, where products and services only follows direction from production to consumer. Adopting the system will mean change in product designs, readjustment of the supply </w:t>
      </w:r>
      <w:proofErr w:type="spellStart"/>
      <w:r w:rsidRPr="001142C9">
        <w:rPr>
          <w:rFonts w:ascii="Arial" w:hAnsi="Arial" w:cs="Arial"/>
          <w:sz w:val="24"/>
          <w:szCs w:val="24"/>
        </w:rPr>
        <w:t>chai</w:t>
      </w:r>
      <w:proofErr w:type="spellEnd"/>
      <w:r w:rsidRPr="001142C9">
        <w:rPr>
          <w:rFonts w:ascii="Arial" w:hAnsi="Arial" w:cs="Arial"/>
          <w:sz w:val="24"/>
          <w:szCs w:val="24"/>
        </w:rPr>
        <w:t xml:space="preserve"> system and creating systems towards the consumer end that allows the smooth process of recycling and </w:t>
      </w:r>
      <w:r w:rsidRPr="001142C9">
        <w:rPr>
          <w:rFonts w:ascii="Arial" w:hAnsi="Arial" w:cs="Arial"/>
          <w:sz w:val="24"/>
          <w:szCs w:val="24"/>
        </w:rPr>
        <w:lastRenderedPageBreak/>
        <w:t>reusing. Another challenge identified is the viability of this economy, Yong (2007) argue that, though circular economy seems to have a promising benefit, but the benefits would only come to place as a long-term benefit, installing the infrastructure, having legal permissions and following regulatory framework, cost of awareness and training for customers about the new economy.</w:t>
      </w:r>
    </w:p>
    <w:p w14:paraId="453BAEB8"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As discussed above, the principle of circular economy has it root in sustainability, which is one of the goals of corporate social responsibility. Lindgreen and Swaen (2010) define corporate social responsibility as a form of business model target sustainable development by creating a social, economic and environmental benefits   for all its stakeholders.  Its holds both the producers and the consumers responsible to achieve this goal. The key aspect of CSR includes; environmental sustainability, social responsibility, ethical business practices, stakeholder’s engagement, and corporate governance. Tai and Chuang (2014) added that CSR helps to reflect the commitments of organizations to positive contribution to the society and its stakeholders. It has evolved in the recent years to be a new business strategy for organizations in the 21</w:t>
      </w:r>
      <w:r w:rsidRPr="001142C9">
        <w:rPr>
          <w:rFonts w:ascii="Arial" w:hAnsi="Arial" w:cs="Arial"/>
          <w:sz w:val="24"/>
          <w:szCs w:val="24"/>
          <w:vertAlign w:val="superscript"/>
        </w:rPr>
        <w:t>st</w:t>
      </w:r>
      <w:r w:rsidRPr="001142C9">
        <w:rPr>
          <w:rFonts w:ascii="Arial" w:hAnsi="Arial" w:cs="Arial"/>
          <w:sz w:val="24"/>
          <w:szCs w:val="24"/>
        </w:rPr>
        <w:t xml:space="preserve"> century. </w:t>
      </w:r>
    </w:p>
    <w:p w14:paraId="1DAA936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However, there has been various criticism regarding the adoption of CSR, Rauhala (2015) stated that the concept of CSR can be referred to as “Greenwashing”, this means </w:t>
      </w:r>
      <w:proofErr w:type="gramStart"/>
      <w:r w:rsidRPr="001142C9">
        <w:rPr>
          <w:rFonts w:ascii="Arial" w:hAnsi="Arial" w:cs="Arial"/>
          <w:sz w:val="24"/>
          <w:szCs w:val="24"/>
        </w:rPr>
        <w:t>company’s</w:t>
      </w:r>
      <w:proofErr w:type="gramEnd"/>
      <w:r w:rsidRPr="001142C9">
        <w:rPr>
          <w:rFonts w:ascii="Arial" w:hAnsi="Arial" w:cs="Arial"/>
          <w:sz w:val="24"/>
          <w:szCs w:val="24"/>
        </w:rPr>
        <w:t xml:space="preserve"> only seems to commit to CSR practices for marketing purpose rather than genuinely bee committed to its goals. This approach would not lead to the roper addressing of the root causes of social and environmental problems. Another critic is that, there is lack of accountability and transparency in terms of CSR practices among organization, Zhang and Yang (2021) opine that there are no global and legal systems that can holds organizations accountable for their social and environmental impact, such activities thus lack transparency and accountability.  Katona (2019) also added that the drive of most organization when engaging CSR is profit maximization rather than commitments.</w:t>
      </w:r>
    </w:p>
    <w:p w14:paraId="33E57FA1"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As close look at CSR and Circular economy shows a peculiarity in working together, the goals of CSR is to ensure ethical governance, environmental responsibility, and positive impact in the society. Circular economy also shared in the same goals by minimizing environmental footprint, they achieve this by closing the open loop of production, this </w:t>
      </w:r>
      <w:r w:rsidRPr="001142C9">
        <w:rPr>
          <w:rFonts w:ascii="Arial" w:hAnsi="Arial" w:cs="Arial"/>
          <w:sz w:val="24"/>
          <w:szCs w:val="24"/>
        </w:rPr>
        <w:lastRenderedPageBreak/>
        <w:t xml:space="preserve">reduces pollution which </w:t>
      </w:r>
      <w:proofErr w:type="spellStart"/>
      <w:r w:rsidRPr="001142C9">
        <w:rPr>
          <w:rFonts w:ascii="Arial" w:hAnsi="Arial" w:cs="Arial"/>
          <w:sz w:val="24"/>
          <w:szCs w:val="24"/>
        </w:rPr>
        <w:t>s</w:t>
      </w:r>
      <w:proofErr w:type="spellEnd"/>
      <w:r w:rsidRPr="001142C9">
        <w:rPr>
          <w:rFonts w:ascii="Arial" w:hAnsi="Arial" w:cs="Arial"/>
          <w:sz w:val="24"/>
          <w:szCs w:val="24"/>
        </w:rPr>
        <w:t xml:space="preserve"> directly related to carbon footprint.  Organization can source for resources and materials responsibly, which means creating a sustainable supply chain, and align it with the ethical conditions made available by CSR. CSR and circular economy fit in because their duo can help in enhancing brand reputation, the sustainability agenda proposed by these two concepts can serve as a powerful tool for differentiation and brand image strengthening. Another link between CSR and circular economy is the creation of social responsibility and community engagement, this can be achieved through job creation and innovation, however Killing et al. (2023) suggests that more emphasis should be placed solely on environmental aspects, this is because of the perception that circular economy do not have principles that directly translate to social benefits.</w:t>
      </w:r>
    </w:p>
    <w:p w14:paraId="065E1996"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To put this concept into a better perspective, Marriot International, one of the top ten hospitality organization globally will be use as case study, the review of their CSR policy and will help to understand and detect their limitation and possible challenges. The CSR of Marriot is deeply rooted in their Serve360 project (Marriot, 2022), with the theme “doing good in every direction”. The content of the policy is such that the Serv360 is built on four pillars, which include; embrace, engage, sustain, and inspire. The embrace concept is aimed at improving diversity and inclusion at workplace both within their workforce and even as a form of guest experience. The second pillar is based on empowering employees and partnering with communities, the “sustain” pillar is aimed at minimizing the environmental footprint through responsible operation within the organization and effective resources management. The “inspire” concept is aimed at promoting ethical standards and sustainable hospitality practices. Marriot (2022) added that this pillar has led to the initiation of various target such as reducing water consumption by 30% and waste to landfill by 45%, and food waste by 50% by 2025. </w:t>
      </w:r>
    </w:p>
    <w:p w14:paraId="630837A7"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Marriot has implemented this through several initiatives such as adopting the Green building standard, this would ensure that their hotels and other unit ensure that they have LEED certification and embrace the use of sustainable design principles in their renovation process or building of new hotels. Marriot have also embraced community engagement by partnering with local organizations to educates and partake in environmental projects. Another important thing to note is how they source for their </w:t>
      </w:r>
      <w:r w:rsidRPr="001142C9">
        <w:rPr>
          <w:rFonts w:ascii="Arial" w:hAnsi="Arial" w:cs="Arial"/>
          <w:sz w:val="24"/>
          <w:szCs w:val="24"/>
        </w:rPr>
        <w:lastRenderedPageBreak/>
        <w:t>products, it must be environmentally friendly and does not lead to it degradation. Overall, Marriot embrace employee engagement.</w:t>
      </w:r>
    </w:p>
    <w:p w14:paraId="4D4BE94B"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However, there are critiques and limitation regarding CSR policy a Marriot, the Serve360 has faced many critiques, one of which is greenwashing, which describe the concept the CSR campaign by organization may just be a means of marketing and not being socially responsible to their consumers and the environment at large. Marriot has address this by being transparent and giving annual report of their Serv360 progress, they have dutifully reported their achievements and shortcomings.  Another major concern is whether or not the CSR policy is evenly distributed across all their global reach and regions. Other issue are labor issues and limited community impact. </w:t>
      </w:r>
    </w:p>
    <w:p w14:paraId="7441C419"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CSR policies </w:t>
      </w:r>
      <w:proofErr w:type="gramStart"/>
      <w:r w:rsidRPr="001142C9">
        <w:rPr>
          <w:rFonts w:ascii="Arial" w:hAnsi="Arial" w:cs="Arial"/>
          <w:sz w:val="24"/>
          <w:szCs w:val="24"/>
        </w:rPr>
        <w:t>has</w:t>
      </w:r>
      <w:proofErr w:type="gramEnd"/>
      <w:r w:rsidRPr="001142C9">
        <w:rPr>
          <w:rFonts w:ascii="Arial" w:hAnsi="Arial" w:cs="Arial"/>
          <w:sz w:val="24"/>
          <w:szCs w:val="24"/>
        </w:rPr>
        <w:t xml:space="preserve"> enhanced their brand reputation and have also help them to save cost, the CSR policies has also been the reason for improved employee engagement and </w:t>
      </w:r>
      <w:proofErr w:type="gramStart"/>
      <w:r w:rsidRPr="001142C9">
        <w:rPr>
          <w:rFonts w:ascii="Arial" w:hAnsi="Arial" w:cs="Arial"/>
          <w:sz w:val="24"/>
          <w:szCs w:val="24"/>
        </w:rPr>
        <w:t>its</w:t>
      </w:r>
      <w:proofErr w:type="gramEnd"/>
      <w:r w:rsidRPr="001142C9">
        <w:rPr>
          <w:rFonts w:ascii="Arial" w:hAnsi="Arial" w:cs="Arial"/>
          <w:sz w:val="24"/>
          <w:szCs w:val="24"/>
        </w:rPr>
        <w:t xml:space="preserve"> improves their risk management system. How well does the CSR policy of Marriot fit into the theory of circular economy? Is the question that would be answer in the next paragraph.</w:t>
      </w:r>
    </w:p>
    <w:p w14:paraId="1A0CFBD4"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One of the organizations that embraces circular economy in their operation is the Marriot International, this hospitality industry has waved the concept of circular economy into their “Serve360” CSR policy (Sanvitale,2020). Landau (2020) added that the concept is aimed at prioritizing resources efficiency, waste reduction and close-looped system. With respect to minimizing waste generation, a sustainability report of Marriot (2020), show that they introduce software and campaign to combat food waste, one of the </w:t>
      </w:r>
      <w:proofErr w:type="spellStart"/>
      <w:r w:rsidRPr="001142C9">
        <w:rPr>
          <w:rFonts w:ascii="Arial" w:hAnsi="Arial" w:cs="Arial"/>
          <w:sz w:val="24"/>
          <w:szCs w:val="24"/>
        </w:rPr>
        <w:t>ssytem</w:t>
      </w:r>
      <w:proofErr w:type="spellEnd"/>
      <w:r w:rsidRPr="001142C9">
        <w:rPr>
          <w:rFonts w:ascii="Arial" w:hAnsi="Arial" w:cs="Arial"/>
          <w:sz w:val="24"/>
          <w:szCs w:val="24"/>
        </w:rPr>
        <w:t xml:space="preserve"> is the “Winnow”, it consists of a scale, camera and a tablet, it adopts AI technology and help chef to know when they are overproducing and supply other data about food and waste. The report also showed that Marriot implement the “Food Waste Warrior” program, which is projected to reduce food waste by 50% by 2025, food waste digester at selected hotels are results. This is the same case for water conservation, they have witnessed 30% water reduction since 2009.</w:t>
      </w:r>
    </w:p>
    <w:p w14:paraId="7F25BA85"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In terms of reusing and repurposing, Ruiz et al. (2022) stated that Marriot has embraced the concept of linen reuse programs, furniture and equipment reuse. Outdated hotel uniforms are also recycled into carpet padding and tote bag, this is an approach to close </w:t>
      </w:r>
      <w:r w:rsidRPr="001142C9">
        <w:rPr>
          <w:rFonts w:ascii="Arial" w:hAnsi="Arial" w:cs="Arial"/>
          <w:sz w:val="24"/>
          <w:szCs w:val="24"/>
        </w:rPr>
        <w:lastRenderedPageBreak/>
        <w:t>the widely open loop of waste system in the hospitality sector. These activities are part of the Serve360 project (Marriot, 2022), this project encapsulate all the 17 sustainable development goals, with reports such as 25.6% global reduction in carbon intensity per square meter of conditioned space from 2016 baseline. They have a target of sourcing for a minimum of 30% of their overall electricity from renewable energy by 2025, they are currently at 17.2% which is a huge improvement and an obvious evidence of adopting circular economy in their operation.</w:t>
      </w:r>
    </w:p>
    <w:p w14:paraId="65717D98"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In terms of design and infrastructure, they have a goal of sourcing from locals and environmentally sustainable supplier, this is to achieve their goals of low carbon footprint as an organization. They have also adopted green building standard; the hotels are renovated to incorporate sustainable designs in their energy and electricity, heating and cooling systems.  Marriot have also partnered with various circular economy forerunners like Close loop partner to explore innovative waste management technique and solution in their hospitality operation. However, despite their numerous goals and achievement, maintaining uniformity in their brands and various hotel chain across regions has not been fully done, question about greenwashing still needs answers and other issues associated to this industry. By integrating waste minimization, recycling and adopting certain circular principle, Marriot has embraced circular economy and has been able to fit in CSR policies into this system. </w:t>
      </w:r>
    </w:p>
    <w:p w14:paraId="4DEC2508" w14:textId="77777777" w:rsidR="00D1528E" w:rsidRPr="001142C9" w:rsidRDefault="00BB5801" w:rsidP="001142C9">
      <w:pPr>
        <w:spacing w:line="360" w:lineRule="auto"/>
        <w:jc w:val="both"/>
        <w:rPr>
          <w:rFonts w:ascii="Arial" w:hAnsi="Arial" w:cs="Arial"/>
          <w:sz w:val="24"/>
          <w:szCs w:val="24"/>
        </w:rPr>
      </w:pPr>
      <w:r w:rsidRPr="001142C9">
        <w:rPr>
          <w:rFonts w:ascii="Arial" w:hAnsi="Arial" w:cs="Arial"/>
          <w:sz w:val="24"/>
          <w:szCs w:val="24"/>
        </w:rPr>
        <w:t>Integrating circular economy principles int</w:t>
      </w:r>
      <w:r w:rsidR="00757D13" w:rsidRPr="001142C9">
        <w:rPr>
          <w:rFonts w:ascii="Arial" w:hAnsi="Arial" w:cs="Arial"/>
          <w:sz w:val="24"/>
          <w:szCs w:val="24"/>
        </w:rPr>
        <w:t>o</w:t>
      </w:r>
      <w:r w:rsidRPr="001142C9">
        <w:rPr>
          <w:rFonts w:ascii="Arial" w:hAnsi="Arial" w:cs="Arial"/>
          <w:sz w:val="24"/>
          <w:szCs w:val="24"/>
        </w:rPr>
        <w:t xml:space="preserve"> Corporate social responsibility (CSR) framework, has witness a growth, especially with emphasis on sustainability and environmental responsibility. Hospitality organization are part of the major groups that adopt this. The circular economy has offered numerous advantage such as cost saving and environmental sustainability It has been reported to be a source of job creation and innovation. The challenges peculiar to it is in its implementation which is expensive and has a long-term rate of return. Circular economy concept aligns with goals of sustainability and ethical business practices. </w:t>
      </w:r>
      <w:r w:rsidRPr="001142C9">
        <w:rPr>
          <w:rFonts w:ascii="Arial" w:hAnsi="Arial" w:cs="Arial"/>
          <w:color w:val="374151"/>
          <w:sz w:val="24"/>
          <w:szCs w:val="24"/>
        </w:rPr>
        <w:t xml:space="preserve">Companies like Marriot International exemplify the integration of circular economy principles into CSR policies through initiatives aimed at waste reduction, resource conservation, and community engagement. However, critiques </w:t>
      </w:r>
      <w:r w:rsidRPr="001142C9">
        <w:rPr>
          <w:rFonts w:ascii="Arial" w:hAnsi="Arial" w:cs="Arial"/>
          <w:color w:val="374151"/>
          <w:sz w:val="24"/>
          <w:szCs w:val="24"/>
        </w:rPr>
        <w:lastRenderedPageBreak/>
        <w:t>regarding greenwashing, accountability, and regional disparities highlight areas for improvement in CSR implementation.</w:t>
      </w:r>
    </w:p>
    <w:p w14:paraId="77558490" w14:textId="77777777" w:rsidR="00D1528E" w:rsidRPr="001142C9" w:rsidRDefault="00D1528E" w:rsidP="001142C9">
      <w:pPr>
        <w:spacing w:line="360" w:lineRule="auto"/>
        <w:rPr>
          <w:rFonts w:ascii="Arial" w:hAnsi="Arial" w:cs="Arial"/>
        </w:rPr>
      </w:pPr>
    </w:p>
    <w:p w14:paraId="26CB6E4B" w14:textId="77777777" w:rsidR="00D1528E" w:rsidRPr="001142C9" w:rsidRDefault="00D1528E" w:rsidP="001142C9">
      <w:pPr>
        <w:spacing w:line="360" w:lineRule="auto"/>
        <w:jc w:val="both"/>
        <w:rPr>
          <w:rFonts w:ascii="Arial" w:hAnsi="Arial" w:cs="Arial"/>
          <w:b/>
          <w:sz w:val="24"/>
          <w:szCs w:val="24"/>
        </w:rPr>
      </w:pPr>
      <w:r w:rsidRPr="001142C9">
        <w:rPr>
          <w:rFonts w:ascii="Arial" w:hAnsi="Arial" w:cs="Arial"/>
          <w:b/>
          <w:sz w:val="24"/>
          <w:szCs w:val="24"/>
        </w:rPr>
        <w:t>Reference</w:t>
      </w:r>
    </w:p>
    <w:p w14:paraId="6552EEF6" w14:textId="77777777" w:rsidR="00D1528E" w:rsidRPr="001142C9" w:rsidRDefault="00D1528E" w:rsidP="001142C9">
      <w:pPr>
        <w:spacing w:line="360" w:lineRule="auto"/>
        <w:jc w:val="both"/>
        <w:rPr>
          <w:rFonts w:ascii="Arial" w:hAnsi="Arial" w:cs="Arial"/>
          <w:color w:val="222222"/>
          <w:sz w:val="24"/>
          <w:szCs w:val="24"/>
          <w:shd w:val="clear" w:color="auto" w:fill="FFFFFF"/>
        </w:rPr>
      </w:pPr>
      <w:proofErr w:type="spellStart"/>
      <w:r w:rsidRPr="001142C9">
        <w:rPr>
          <w:rFonts w:ascii="Arial" w:hAnsi="Arial" w:cs="Arial"/>
          <w:color w:val="222222"/>
          <w:sz w:val="24"/>
          <w:szCs w:val="24"/>
          <w:shd w:val="clear" w:color="auto" w:fill="FFFFFF"/>
        </w:rPr>
        <w:t>Corvellec</w:t>
      </w:r>
      <w:proofErr w:type="spellEnd"/>
      <w:r w:rsidRPr="001142C9">
        <w:rPr>
          <w:rFonts w:ascii="Arial" w:hAnsi="Arial" w:cs="Arial"/>
          <w:color w:val="222222"/>
          <w:sz w:val="24"/>
          <w:szCs w:val="24"/>
          <w:shd w:val="clear" w:color="auto" w:fill="FFFFFF"/>
        </w:rPr>
        <w:t>, H., Stowell, A.F. and Johansson, N., 2022. Critiques of the circular economy. </w:t>
      </w:r>
      <w:r w:rsidRPr="001142C9">
        <w:rPr>
          <w:rFonts w:ascii="Arial" w:hAnsi="Arial" w:cs="Arial"/>
          <w:i/>
          <w:iCs/>
          <w:color w:val="222222"/>
          <w:sz w:val="24"/>
          <w:szCs w:val="24"/>
          <w:shd w:val="clear" w:color="auto" w:fill="FFFFFF"/>
        </w:rPr>
        <w:t>Journal of industrial ecology</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26</w:t>
      </w:r>
      <w:r w:rsidRPr="001142C9">
        <w:rPr>
          <w:rFonts w:ascii="Arial" w:hAnsi="Arial" w:cs="Arial"/>
          <w:color w:val="222222"/>
          <w:sz w:val="24"/>
          <w:szCs w:val="24"/>
          <w:shd w:val="clear" w:color="auto" w:fill="FFFFFF"/>
        </w:rPr>
        <w:t>(2), pp.421-432.</w:t>
      </w:r>
    </w:p>
    <w:p w14:paraId="39A64AA7" w14:textId="77777777" w:rsidR="00D1528E" w:rsidRPr="001142C9" w:rsidRDefault="00D1528E" w:rsidP="001142C9">
      <w:pPr>
        <w:spacing w:line="360" w:lineRule="auto"/>
        <w:jc w:val="both"/>
        <w:rPr>
          <w:rFonts w:ascii="Arial" w:hAnsi="Arial" w:cs="Arial"/>
          <w:color w:val="222222"/>
          <w:sz w:val="24"/>
          <w:szCs w:val="24"/>
          <w:shd w:val="clear" w:color="auto" w:fill="FFFFFF"/>
        </w:rPr>
      </w:pPr>
      <w:proofErr w:type="spellStart"/>
      <w:r w:rsidRPr="001142C9">
        <w:rPr>
          <w:rFonts w:ascii="Arial" w:hAnsi="Arial" w:cs="Arial"/>
          <w:color w:val="222222"/>
          <w:sz w:val="24"/>
          <w:szCs w:val="24"/>
          <w:shd w:val="clear" w:color="auto" w:fill="FFFFFF"/>
        </w:rPr>
        <w:t>Geissdoerfer</w:t>
      </w:r>
      <w:proofErr w:type="spellEnd"/>
      <w:r w:rsidRPr="001142C9">
        <w:rPr>
          <w:rFonts w:ascii="Arial" w:hAnsi="Arial" w:cs="Arial"/>
          <w:color w:val="222222"/>
          <w:sz w:val="24"/>
          <w:szCs w:val="24"/>
          <w:shd w:val="clear" w:color="auto" w:fill="FFFFFF"/>
        </w:rPr>
        <w:t xml:space="preserve">, M., </w:t>
      </w:r>
      <w:proofErr w:type="spellStart"/>
      <w:r w:rsidRPr="001142C9">
        <w:rPr>
          <w:rFonts w:ascii="Arial" w:hAnsi="Arial" w:cs="Arial"/>
          <w:color w:val="222222"/>
          <w:sz w:val="24"/>
          <w:szCs w:val="24"/>
          <w:shd w:val="clear" w:color="auto" w:fill="FFFFFF"/>
        </w:rPr>
        <w:t>Savaget</w:t>
      </w:r>
      <w:proofErr w:type="spellEnd"/>
      <w:r w:rsidRPr="001142C9">
        <w:rPr>
          <w:rFonts w:ascii="Arial" w:hAnsi="Arial" w:cs="Arial"/>
          <w:color w:val="222222"/>
          <w:sz w:val="24"/>
          <w:szCs w:val="24"/>
          <w:shd w:val="clear" w:color="auto" w:fill="FFFFFF"/>
        </w:rPr>
        <w:t xml:space="preserve">, P., </w:t>
      </w:r>
      <w:proofErr w:type="spellStart"/>
      <w:r w:rsidRPr="001142C9">
        <w:rPr>
          <w:rFonts w:ascii="Arial" w:hAnsi="Arial" w:cs="Arial"/>
          <w:color w:val="222222"/>
          <w:sz w:val="24"/>
          <w:szCs w:val="24"/>
          <w:shd w:val="clear" w:color="auto" w:fill="FFFFFF"/>
        </w:rPr>
        <w:t>Bocken</w:t>
      </w:r>
      <w:proofErr w:type="spellEnd"/>
      <w:r w:rsidRPr="001142C9">
        <w:rPr>
          <w:rFonts w:ascii="Arial" w:hAnsi="Arial" w:cs="Arial"/>
          <w:color w:val="222222"/>
          <w:sz w:val="24"/>
          <w:szCs w:val="24"/>
          <w:shd w:val="clear" w:color="auto" w:fill="FFFFFF"/>
        </w:rPr>
        <w:t xml:space="preserve">, N.M. and </w:t>
      </w:r>
      <w:proofErr w:type="spellStart"/>
      <w:r w:rsidRPr="001142C9">
        <w:rPr>
          <w:rFonts w:ascii="Arial" w:hAnsi="Arial" w:cs="Arial"/>
          <w:color w:val="222222"/>
          <w:sz w:val="24"/>
          <w:szCs w:val="24"/>
          <w:shd w:val="clear" w:color="auto" w:fill="FFFFFF"/>
        </w:rPr>
        <w:t>Hultink</w:t>
      </w:r>
      <w:proofErr w:type="spellEnd"/>
      <w:r w:rsidRPr="001142C9">
        <w:rPr>
          <w:rFonts w:ascii="Arial" w:hAnsi="Arial" w:cs="Arial"/>
          <w:color w:val="222222"/>
          <w:sz w:val="24"/>
          <w:szCs w:val="24"/>
          <w:shd w:val="clear" w:color="auto" w:fill="FFFFFF"/>
        </w:rPr>
        <w:t xml:space="preserve">, E.J., 2017. The Circular Economy–A new sustainability </w:t>
      </w:r>
      <w:proofErr w:type="gramStart"/>
      <w:r w:rsidRPr="001142C9">
        <w:rPr>
          <w:rFonts w:ascii="Arial" w:hAnsi="Arial" w:cs="Arial"/>
          <w:color w:val="222222"/>
          <w:sz w:val="24"/>
          <w:szCs w:val="24"/>
          <w:shd w:val="clear" w:color="auto" w:fill="FFFFFF"/>
        </w:rPr>
        <w:t>paradigm?.</w:t>
      </w:r>
      <w:proofErr w:type="gramEnd"/>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Journal of cleaner production</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143</w:t>
      </w:r>
      <w:r w:rsidRPr="001142C9">
        <w:rPr>
          <w:rFonts w:ascii="Arial" w:hAnsi="Arial" w:cs="Arial"/>
          <w:color w:val="222222"/>
          <w:sz w:val="24"/>
          <w:szCs w:val="24"/>
          <w:shd w:val="clear" w:color="auto" w:fill="FFFFFF"/>
        </w:rPr>
        <w:t>, pp.757-768.</w:t>
      </w:r>
    </w:p>
    <w:p w14:paraId="3B8AC91A"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Katona, K., 2019. Criticism of the Corporate Social Responsibility in View of the Catholic Social Thoughts. </w:t>
      </w:r>
      <w:proofErr w:type="spellStart"/>
      <w:r w:rsidRPr="001142C9">
        <w:rPr>
          <w:rFonts w:ascii="Arial" w:hAnsi="Arial" w:cs="Arial"/>
          <w:i/>
          <w:iCs/>
          <w:color w:val="222222"/>
          <w:sz w:val="24"/>
          <w:szCs w:val="24"/>
          <w:shd w:val="clear" w:color="auto" w:fill="FFFFFF"/>
        </w:rPr>
        <w:t>Iustum</w:t>
      </w:r>
      <w:proofErr w:type="spellEnd"/>
      <w:r w:rsidRPr="001142C9">
        <w:rPr>
          <w:rFonts w:ascii="Arial" w:hAnsi="Arial" w:cs="Arial"/>
          <w:i/>
          <w:iCs/>
          <w:color w:val="222222"/>
          <w:sz w:val="24"/>
          <w:szCs w:val="24"/>
          <w:shd w:val="clear" w:color="auto" w:fill="FFFFFF"/>
        </w:rPr>
        <w:t xml:space="preserve"> </w:t>
      </w:r>
      <w:proofErr w:type="spellStart"/>
      <w:r w:rsidRPr="001142C9">
        <w:rPr>
          <w:rFonts w:ascii="Arial" w:hAnsi="Arial" w:cs="Arial"/>
          <w:i/>
          <w:iCs/>
          <w:color w:val="222222"/>
          <w:sz w:val="24"/>
          <w:szCs w:val="24"/>
          <w:shd w:val="clear" w:color="auto" w:fill="FFFFFF"/>
        </w:rPr>
        <w:t>Aequum</w:t>
      </w:r>
      <w:proofErr w:type="spellEnd"/>
      <w:r w:rsidRPr="001142C9">
        <w:rPr>
          <w:rFonts w:ascii="Arial" w:hAnsi="Arial" w:cs="Arial"/>
          <w:i/>
          <w:iCs/>
          <w:color w:val="222222"/>
          <w:sz w:val="24"/>
          <w:szCs w:val="24"/>
          <w:shd w:val="clear" w:color="auto" w:fill="FFFFFF"/>
        </w:rPr>
        <w:t xml:space="preserve"> </w:t>
      </w:r>
      <w:proofErr w:type="spellStart"/>
      <w:r w:rsidRPr="001142C9">
        <w:rPr>
          <w:rFonts w:ascii="Arial" w:hAnsi="Arial" w:cs="Arial"/>
          <w:i/>
          <w:iCs/>
          <w:color w:val="222222"/>
          <w:sz w:val="24"/>
          <w:szCs w:val="24"/>
          <w:shd w:val="clear" w:color="auto" w:fill="FFFFFF"/>
        </w:rPr>
        <w:t>Salutare</w:t>
      </w:r>
      <w:proofErr w:type="spellEnd"/>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15</w:t>
      </w:r>
      <w:r w:rsidRPr="001142C9">
        <w:rPr>
          <w:rFonts w:ascii="Arial" w:hAnsi="Arial" w:cs="Arial"/>
          <w:color w:val="222222"/>
          <w:sz w:val="24"/>
          <w:szCs w:val="24"/>
          <w:shd w:val="clear" w:color="auto" w:fill="FFFFFF"/>
        </w:rPr>
        <w:t>, p.23.</w:t>
      </w:r>
    </w:p>
    <w:p w14:paraId="5651BB84"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Kirchherr, J., </w:t>
      </w:r>
      <w:proofErr w:type="spellStart"/>
      <w:r w:rsidRPr="001142C9">
        <w:rPr>
          <w:rFonts w:ascii="Arial" w:hAnsi="Arial" w:cs="Arial"/>
          <w:color w:val="222222"/>
          <w:sz w:val="24"/>
          <w:szCs w:val="24"/>
          <w:shd w:val="clear" w:color="auto" w:fill="FFFFFF"/>
        </w:rPr>
        <w:t>Reike</w:t>
      </w:r>
      <w:proofErr w:type="spellEnd"/>
      <w:r w:rsidRPr="001142C9">
        <w:rPr>
          <w:rFonts w:ascii="Arial" w:hAnsi="Arial" w:cs="Arial"/>
          <w:color w:val="222222"/>
          <w:sz w:val="24"/>
          <w:szCs w:val="24"/>
          <w:shd w:val="clear" w:color="auto" w:fill="FFFFFF"/>
        </w:rPr>
        <w:t>, D. and Hekkert, M., 2017. Conceptualizing the circular economy: An analysis of 114 definitions. </w:t>
      </w:r>
      <w:r w:rsidRPr="001142C9">
        <w:rPr>
          <w:rFonts w:ascii="Arial" w:hAnsi="Arial" w:cs="Arial"/>
          <w:i/>
          <w:iCs/>
          <w:color w:val="222222"/>
          <w:sz w:val="24"/>
          <w:szCs w:val="24"/>
          <w:shd w:val="clear" w:color="auto" w:fill="FFFFFF"/>
        </w:rPr>
        <w:t>Resources, conservation and recycling</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127</w:t>
      </w:r>
      <w:r w:rsidRPr="001142C9">
        <w:rPr>
          <w:rFonts w:ascii="Arial" w:hAnsi="Arial" w:cs="Arial"/>
          <w:color w:val="222222"/>
          <w:sz w:val="24"/>
          <w:szCs w:val="24"/>
          <w:shd w:val="clear" w:color="auto" w:fill="FFFFFF"/>
        </w:rPr>
        <w:t>, pp.221-232.</w:t>
      </w:r>
    </w:p>
    <w:p w14:paraId="1893A553"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Kolling, C., Ribeiro, J.L.D., Morea, D. and </w:t>
      </w:r>
      <w:proofErr w:type="spellStart"/>
      <w:r w:rsidRPr="001142C9">
        <w:rPr>
          <w:rFonts w:ascii="Arial" w:hAnsi="Arial" w:cs="Arial"/>
          <w:color w:val="222222"/>
          <w:sz w:val="24"/>
          <w:szCs w:val="24"/>
          <w:shd w:val="clear" w:color="auto" w:fill="FFFFFF"/>
        </w:rPr>
        <w:t>Iazzolino</w:t>
      </w:r>
      <w:proofErr w:type="spellEnd"/>
      <w:r w:rsidRPr="001142C9">
        <w:rPr>
          <w:rFonts w:ascii="Arial" w:hAnsi="Arial" w:cs="Arial"/>
          <w:color w:val="222222"/>
          <w:sz w:val="24"/>
          <w:szCs w:val="24"/>
          <w:shd w:val="clear" w:color="auto" w:fill="FFFFFF"/>
        </w:rPr>
        <w:t>, G., 2023. Corporate social responsibility and circular economy from the perspective of consumers: A cross</w:t>
      </w:r>
      <w:r w:rsidRPr="001142C9">
        <w:rPr>
          <w:rFonts w:ascii="Cambria Math" w:hAnsi="Cambria Math" w:cs="Cambria Math"/>
          <w:color w:val="222222"/>
          <w:sz w:val="24"/>
          <w:szCs w:val="24"/>
          <w:shd w:val="clear" w:color="auto" w:fill="FFFFFF"/>
        </w:rPr>
        <w:t>‐</w:t>
      </w:r>
      <w:r w:rsidRPr="001142C9">
        <w:rPr>
          <w:rFonts w:ascii="Arial" w:hAnsi="Arial" w:cs="Arial"/>
          <w:color w:val="222222"/>
          <w:sz w:val="24"/>
          <w:szCs w:val="24"/>
          <w:shd w:val="clear" w:color="auto" w:fill="FFFFFF"/>
        </w:rPr>
        <w:t>cultural analysis in the cosmetic industry. </w:t>
      </w:r>
      <w:r w:rsidRPr="001142C9">
        <w:rPr>
          <w:rFonts w:ascii="Arial" w:hAnsi="Arial" w:cs="Arial"/>
          <w:i/>
          <w:iCs/>
          <w:color w:val="222222"/>
          <w:sz w:val="24"/>
          <w:szCs w:val="24"/>
          <w:shd w:val="clear" w:color="auto" w:fill="FFFFFF"/>
        </w:rPr>
        <w:t>Corporate Social Responsibility and Environmental Management</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30</w:t>
      </w:r>
      <w:r w:rsidRPr="001142C9">
        <w:rPr>
          <w:rFonts w:ascii="Arial" w:hAnsi="Arial" w:cs="Arial"/>
          <w:color w:val="222222"/>
          <w:sz w:val="24"/>
          <w:szCs w:val="24"/>
          <w:shd w:val="clear" w:color="auto" w:fill="FFFFFF"/>
        </w:rPr>
        <w:t>(3), pp.1226-1243.</w:t>
      </w:r>
    </w:p>
    <w:p w14:paraId="733A29FB"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Korhonen, J., </w:t>
      </w:r>
      <w:proofErr w:type="spellStart"/>
      <w:r w:rsidRPr="001142C9">
        <w:rPr>
          <w:rFonts w:ascii="Arial" w:hAnsi="Arial" w:cs="Arial"/>
          <w:color w:val="222222"/>
          <w:sz w:val="24"/>
          <w:szCs w:val="24"/>
          <w:shd w:val="clear" w:color="auto" w:fill="FFFFFF"/>
        </w:rPr>
        <w:t>Honkasalo</w:t>
      </w:r>
      <w:proofErr w:type="spellEnd"/>
      <w:r w:rsidRPr="001142C9">
        <w:rPr>
          <w:rFonts w:ascii="Arial" w:hAnsi="Arial" w:cs="Arial"/>
          <w:color w:val="222222"/>
          <w:sz w:val="24"/>
          <w:szCs w:val="24"/>
          <w:shd w:val="clear" w:color="auto" w:fill="FFFFFF"/>
        </w:rPr>
        <w:t>, A. and Seppälä, J., 2018. Circular economy: the concept and its limitations. </w:t>
      </w:r>
      <w:r w:rsidRPr="001142C9">
        <w:rPr>
          <w:rFonts w:ascii="Arial" w:hAnsi="Arial" w:cs="Arial"/>
          <w:i/>
          <w:iCs/>
          <w:color w:val="222222"/>
          <w:sz w:val="24"/>
          <w:szCs w:val="24"/>
          <w:shd w:val="clear" w:color="auto" w:fill="FFFFFF"/>
        </w:rPr>
        <w:t>Ecological economics</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143</w:t>
      </w:r>
      <w:r w:rsidRPr="001142C9">
        <w:rPr>
          <w:rFonts w:ascii="Arial" w:hAnsi="Arial" w:cs="Arial"/>
          <w:color w:val="222222"/>
          <w:sz w:val="24"/>
          <w:szCs w:val="24"/>
          <w:shd w:val="clear" w:color="auto" w:fill="FFFFFF"/>
        </w:rPr>
        <w:t>, pp.37-46.</w:t>
      </w:r>
    </w:p>
    <w:p w14:paraId="1969714E"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Marriot (2020) </w:t>
      </w:r>
      <w:proofErr w:type="spellStart"/>
      <w:r w:rsidRPr="001142C9">
        <w:rPr>
          <w:rFonts w:ascii="Arial" w:hAnsi="Arial" w:cs="Arial"/>
          <w:color w:val="222222"/>
          <w:sz w:val="24"/>
          <w:szCs w:val="24"/>
          <w:shd w:val="clear" w:color="auto" w:fill="FFFFFF"/>
        </w:rPr>
        <w:t>Sustainablity</w:t>
      </w:r>
      <w:proofErr w:type="spellEnd"/>
      <w:r w:rsidRPr="001142C9">
        <w:rPr>
          <w:rFonts w:ascii="Arial" w:hAnsi="Arial" w:cs="Arial"/>
          <w:color w:val="222222"/>
          <w:sz w:val="24"/>
          <w:szCs w:val="24"/>
          <w:shd w:val="clear" w:color="auto" w:fill="FFFFFF"/>
        </w:rPr>
        <w:t xml:space="preserve"> Program Annual report 2020 </w:t>
      </w:r>
      <w:proofErr w:type="spellStart"/>
      <w:r w:rsidRPr="001142C9">
        <w:rPr>
          <w:rFonts w:ascii="Arial" w:hAnsi="Arial" w:cs="Arial"/>
          <w:color w:val="222222"/>
          <w:sz w:val="24"/>
          <w:szCs w:val="24"/>
          <w:shd w:val="clear" w:color="auto" w:fill="FFFFFF"/>
        </w:rPr>
        <w:t>Availabe</w:t>
      </w:r>
      <w:proofErr w:type="spellEnd"/>
      <w:r w:rsidRPr="001142C9">
        <w:rPr>
          <w:rFonts w:ascii="Arial" w:hAnsi="Arial" w:cs="Arial"/>
          <w:color w:val="222222"/>
          <w:sz w:val="24"/>
          <w:szCs w:val="24"/>
          <w:shd w:val="clear" w:color="auto" w:fill="FFFFFF"/>
        </w:rPr>
        <w:t xml:space="preserve"> at: </w:t>
      </w:r>
      <w:hyperlink r:id="rId5" w:history="1">
        <w:r w:rsidRPr="001142C9">
          <w:rPr>
            <w:rStyle w:val="Hyperlink"/>
            <w:rFonts w:ascii="Arial" w:hAnsi="Arial" w:cs="Arial"/>
            <w:sz w:val="24"/>
            <w:szCs w:val="24"/>
            <w:shd w:val="clear" w:color="auto" w:fill="FFFFFF"/>
          </w:rPr>
          <w:t>https://www.marriott.com/marriottassets/marriott/BKKDT/PDF/BKKDT_Food_Waste_Annual_Report.pdf</w:t>
        </w:r>
      </w:hyperlink>
      <w:r w:rsidRPr="001142C9">
        <w:rPr>
          <w:rFonts w:ascii="Arial" w:hAnsi="Arial" w:cs="Arial"/>
          <w:color w:val="222222"/>
          <w:sz w:val="24"/>
          <w:szCs w:val="24"/>
          <w:shd w:val="clear" w:color="auto" w:fill="FFFFFF"/>
        </w:rPr>
        <w:t xml:space="preserve"> [Accessed on: 28</w:t>
      </w:r>
      <w:r w:rsidRPr="001142C9">
        <w:rPr>
          <w:rFonts w:ascii="Arial" w:hAnsi="Arial" w:cs="Arial"/>
          <w:color w:val="222222"/>
          <w:sz w:val="24"/>
          <w:szCs w:val="24"/>
          <w:shd w:val="clear" w:color="auto" w:fill="FFFFFF"/>
          <w:vertAlign w:val="superscript"/>
        </w:rPr>
        <w:t xml:space="preserve"> </w:t>
      </w:r>
      <w:r w:rsidRPr="001142C9">
        <w:rPr>
          <w:rFonts w:ascii="Arial" w:hAnsi="Arial" w:cs="Arial"/>
          <w:color w:val="222222"/>
          <w:sz w:val="24"/>
          <w:szCs w:val="24"/>
          <w:shd w:val="clear" w:color="auto" w:fill="FFFFFF"/>
        </w:rPr>
        <w:t>January 2024]</w:t>
      </w:r>
    </w:p>
    <w:p w14:paraId="7D2C7F32"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 xml:space="preserve">Marriot (2023) 2022 Serve 360 Report Available at: </w:t>
      </w:r>
      <w:hyperlink r:id="rId6" w:history="1">
        <w:r w:rsidRPr="001142C9">
          <w:rPr>
            <w:rStyle w:val="Hyperlink"/>
            <w:rFonts w:ascii="Arial" w:hAnsi="Arial" w:cs="Arial"/>
            <w:sz w:val="24"/>
            <w:szCs w:val="24"/>
            <w:shd w:val="clear" w:color="auto" w:fill="FFFFFF"/>
          </w:rPr>
          <w:t>http://serve360.marriott.com/wp-content/uploads/2022/10/Marriott-2022-Serve-360-ESG-Report-accessible_F.pdf</w:t>
        </w:r>
      </w:hyperlink>
      <w:r w:rsidRPr="001142C9">
        <w:rPr>
          <w:rFonts w:ascii="Arial" w:hAnsi="Arial" w:cs="Arial"/>
          <w:sz w:val="24"/>
          <w:szCs w:val="24"/>
        </w:rPr>
        <w:t xml:space="preserve"> Accessed on: 28 January 2024</w:t>
      </w:r>
    </w:p>
    <w:p w14:paraId="2F189468"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lastRenderedPageBreak/>
        <w:t xml:space="preserve">Moraga, G., </w:t>
      </w:r>
      <w:proofErr w:type="spellStart"/>
      <w:r w:rsidRPr="001142C9">
        <w:rPr>
          <w:rFonts w:ascii="Arial" w:hAnsi="Arial" w:cs="Arial"/>
          <w:color w:val="222222"/>
          <w:sz w:val="24"/>
          <w:szCs w:val="24"/>
          <w:shd w:val="clear" w:color="auto" w:fill="FFFFFF"/>
        </w:rPr>
        <w:t>Huysveld</w:t>
      </w:r>
      <w:proofErr w:type="spellEnd"/>
      <w:r w:rsidRPr="001142C9">
        <w:rPr>
          <w:rFonts w:ascii="Arial" w:hAnsi="Arial" w:cs="Arial"/>
          <w:color w:val="222222"/>
          <w:sz w:val="24"/>
          <w:szCs w:val="24"/>
          <w:shd w:val="clear" w:color="auto" w:fill="FFFFFF"/>
        </w:rPr>
        <w:t xml:space="preserve">, S., Mathieux, F., </w:t>
      </w:r>
      <w:proofErr w:type="spellStart"/>
      <w:r w:rsidRPr="001142C9">
        <w:rPr>
          <w:rFonts w:ascii="Arial" w:hAnsi="Arial" w:cs="Arial"/>
          <w:color w:val="222222"/>
          <w:sz w:val="24"/>
          <w:szCs w:val="24"/>
          <w:shd w:val="clear" w:color="auto" w:fill="FFFFFF"/>
        </w:rPr>
        <w:t>Blengini</w:t>
      </w:r>
      <w:proofErr w:type="spellEnd"/>
      <w:r w:rsidRPr="001142C9">
        <w:rPr>
          <w:rFonts w:ascii="Arial" w:hAnsi="Arial" w:cs="Arial"/>
          <w:color w:val="222222"/>
          <w:sz w:val="24"/>
          <w:szCs w:val="24"/>
          <w:shd w:val="clear" w:color="auto" w:fill="FFFFFF"/>
        </w:rPr>
        <w:t xml:space="preserve">, G.A., </w:t>
      </w:r>
      <w:proofErr w:type="spellStart"/>
      <w:r w:rsidRPr="001142C9">
        <w:rPr>
          <w:rFonts w:ascii="Arial" w:hAnsi="Arial" w:cs="Arial"/>
          <w:color w:val="222222"/>
          <w:sz w:val="24"/>
          <w:szCs w:val="24"/>
          <w:shd w:val="clear" w:color="auto" w:fill="FFFFFF"/>
        </w:rPr>
        <w:t>Alaerts</w:t>
      </w:r>
      <w:proofErr w:type="spellEnd"/>
      <w:r w:rsidRPr="001142C9">
        <w:rPr>
          <w:rFonts w:ascii="Arial" w:hAnsi="Arial" w:cs="Arial"/>
          <w:color w:val="222222"/>
          <w:sz w:val="24"/>
          <w:szCs w:val="24"/>
          <w:shd w:val="clear" w:color="auto" w:fill="FFFFFF"/>
        </w:rPr>
        <w:t xml:space="preserve">, L., Van Acker, K., De Meester, S. and </w:t>
      </w:r>
      <w:proofErr w:type="spellStart"/>
      <w:r w:rsidRPr="001142C9">
        <w:rPr>
          <w:rFonts w:ascii="Arial" w:hAnsi="Arial" w:cs="Arial"/>
          <w:color w:val="222222"/>
          <w:sz w:val="24"/>
          <w:szCs w:val="24"/>
          <w:shd w:val="clear" w:color="auto" w:fill="FFFFFF"/>
        </w:rPr>
        <w:t>Dewulf</w:t>
      </w:r>
      <w:proofErr w:type="spellEnd"/>
      <w:r w:rsidRPr="001142C9">
        <w:rPr>
          <w:rFonts w:ascii="Arial" w:hAnsi="Arial" w:cs="Arial"/>
          <w:color w:val="222222"/>
          <w:sz w:val="24"/>
          <w:szCs w:val="24"/>
          <w:shd w:val="clear" w:color="auto" w:fill="FFFFFF"/>
        </w:rPr>
        <w:t xml:space="preserve">, J., 2019. Circular economy indicators: What do they </w:t>
      </w:r>
      <w:proofErr w:type="gramStart"/>
      <w:r w:rsidRPr="001142C9">
        <w:rPr>
          <w:rFonts w:ascii="Arial" w:hAnsi="Arial" w:cs="Arial"/>
          <w:color w:val="222222"/>
          <w:sz w:val="24"/>
          <w:szCs w:val="24"/>
          <w:shd w:val="clear" w:color="auto" w:fill="FFFFFF"/>
        </w:rPr>
        <w:t>measure?.</w:t>
      </w:r>
      <w:proofErr w:type="gramEnd"/>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Resources, Conservation and Recycling</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146</w:t>
      </w:r>
      <w:r w:rsidRPr="001142C9">
        <w:rPr>
          <w:rFonts w:ascii="Arial" w:hAnsi="Arial" w:cs="Arial"/>
          <w:color w:val="222222"/>
          <w:sz w:val="24"/>
          <w:szCs w:val="24"/>
          <w:shd w:val="clear" w:color="auto" w:fill="FFFFFF"/>
        </w:rPr>
        <w:t>, pp.452-461.</w:t>
      </w:r>
    </w:p>
    <w:p w14:paraId="5D021B58" w14:textId="77777777" w:rsidR="00D1528E" w:rsidRPr="001142C9" w:rsidRDefault="00D1528E" w:rsidP="001142C9">
      <w:pPr>
        <w:spacing w:line="360" w:lineRule="auto"/>
        <w:jc w:val="both"/>
        <w:rPr>
          <w:rFonts w:ascii="Arial" w:hAnsi="Arial" w:cs="Arial"/>
          <w:color w:val="222222"/>
          <w:sz w:val="24"/>
          <w:szCs w:val="24"/>
          <w:shd w:val="clear" w:color="auto" w:fill="FFFFFF"/>
        </w:rPr>
      </w:pPr>
      <w:proofErr w:type="spellStart"/>
      <w:r w:rsidRPr="001142C9">
        <w:rPr>
          <w:rFonts w:ascii="Arial" w:hAnsi="Arial" w:cs="Arial"/>
          <w:color w:val="222222"/>
          <w:sz w:val="24"/>
          <w:szCs w:val="24"/>
          <w:shd w:val="clear" w:color="auto" w:fill="FFFFFF"/>
        </w:rPr>
        <w:t>Morseletto</w:t>
      </w:r>
      <w:proofErr w:type="spellEnd"/>
      <w:r w:rsidRPr="001142C9">
        <w:rPr>
          <w:rFonts w:ascii="Arial" w:hAnsi="Arial" w:cs="Arial"/>
          <w:color w:val="222222"/>
          <w:sz w:val="24"/>
          <w:szCs w:val="24"/>
          <w:shd w:val="clear" w:color="auto" w:fill="FFFFFF"/>
        </w:rPr>
        <w:t>, P., 2020. Targets for a circular economy. </w:t>
      </w:r>
      <w:r w:rsidRPr="001142C9">
        <w:rPr>
          <w:rFonts w:ascii="Arial" w:hAnsi="Arial" w:cs="Arial"/>
          <w:i/>
          <w:iCs/>
          <w:color w:val="222222"/>
          <w:sz w:val="24"/>
          <w:szCs w:val="24"/>
          <w:shd w:val="clear" w:color="auto" w:fill="FFFFFF"/>
        </w:rPr>
        <w:t>Resources, Conservation and Recycling</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153</w:t>
      </w:r>
      <w:r w:rsidRPr="001142C9">
        <w:rPr>
          <w:rFonts w:ascii="Arial" w:hAnsi="Arial" w:cs="Arial"/>
          <w:color w:val="222222"/>
          <w:sz w:val="24"/>
          <w:szCs w:val="24"/>
          <w:shd w:val="clear" w:color="auto" w:fill="FFFFFF"/>
        </w:rPr>
        <w:t>, p.104553.</w:t>
      </w:r>
    </w:p>
    <w:p w14:paraId="34DFD656"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Landau, T., 2020. Action and progress on sustainability challenges: case examples from Marriott, Booking and </w:t>
      </w:r>
      <w:proofErr w:type="spellStart"/>
      <w:r w:rsidRPr="001142C9">
        <w:rPr>
          <w:rFonts w:ascii="Arial" w:hAnsi="Arial" w:cs="Arial"/>
          <w:color w:val="222222"/>
          <w:sz w:val="24"/>
          <w:szCs w:val="24"/>
          <w:shd w:val="clear" w:color="auto" w:fill="FFFFFF"/>
        </w:rPr>
        <w:t>Soneva</w:t>
      </w:r>
      <w:proofErr w:type="spellEnd"/>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Worldwide Hospitality and Tourism Themes</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w:t>
      </w:r>
      <w:r w:rsidRPr="001142C9">
        <w:rPr>
          <w:rFonts w:ascii="Arial" w:hAnsi="Arial" w:cs="Arial"/>
          <w:color w:val="222222"/>
          <w:sz w:val="24"/>
          <w:szCs w:val="24"/>
          <w:shd w:val="clear" w:color="auto" w:fill="FFFFFF"/>
        </w:rPr>
        <w:t>(5), pp.563-573.</w:t>
      </w:r>
    </w:p>
    <w:p w14:paraId="0A2E7324"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Lindgreen, A. and Swaen, V., 2010. Corporate social responsibility. </w:t>
      </w:r>
      <w:r w:rsidRPr="001142C9">
        <w:rPr>
          <w:rFonts w:ascii="Arial" w:hAnsi="Arial" w:cs="Arial"/>
          <w:i/>
          <w:iCs/>
          <w:color w:val="222222"/>
          <w:sz w:val="24"/>
          <w:szCs w:val="24"/>
          <w:shd w:val="clear" w:color="auto" w:fill="FFFFFF"/>
        </w:rPr>
        <w:t>International journal of management reviews</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w:t>
      </w:r>
      <w:r w:rsidRPr="001142C9">
        <w:rPr>
          <w:rFonts w:ascii="Arial" w:hAnsi="Arial" w:cs="Arial"/>
          <w:color w:val="222222"/>
          <w:sz w:val="24"/>
          <w:szCs w:val="24"/>
          <w:shd w:val="clear" w:color="auto" w:fill="FFFFFF"/>
        </w:rPr>
        <w:t>(1), pp.1-7.</w:t>
      </w:r>
    </w:p>
    <w:p w14:paraId="3303F403"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 xml:space="preserve">Prieto-Sandoval, V., Jaca, C. and </w:t>
      </w:r>
      <w:proofErr w:type="spellStart"/>
      <w:r w:rsidRPr="001142C9">
        <w:rPr>
          <w:rFonts w:ascii="Arial" w:hAnsi="Arial" w:cs="Arial"/>
          <w:color w:val="222222"/>
          <w:sz w:val="24"/>
          <w:szCs w:val="24"/>
          <w:shd w:val="clear" w:color="auto" w:fill="FFFFFF"/>
        </w:rPr>
        <w:t>Ormazabal</w:t>
      </w:r>
      <w:proofErr w:type="spellEnd"/>
      <w:r w:rsidRPr="001142C9">
        <w:rPr>
          <w:rFonts w:ascii="Arial" w:hAnsi="Arial" w:cs="Arial"/>
          <w:color w:val="222222"/>
          <w:sz w:val="24"/>
          <w:szCs w:val="24"/>
          <w:shd w:val="clear" w:color="auto" w:fill="FFFFFF"/>
        </w:rPr>
        <w:t>, M., 2018. Towards a consensus on the circular economy. </w:t>
      </w:r>
      <w:r w:rsidRPr="001142C9">
        <w:rPr>
          <w:rFonts w:ascii="Arial" w:hAnsi="Arial" w:cs="Arial"/>
          <w:i/>
          <w:iCs/>
          <w:color w:val="222222"/>
          <w:sz w:val="24"/>
          <w:szCs w:val="24"/>
          <w:shd w:val="clear" w:color="auto" w:fill="FFFFFF"/>
        </w:rPr>
        <w:t>Journal of cleaner production</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179</w:t>
      </w:r>
      <w:r w:rsidRPr="001142C9">
        <w:rPr>
          <w:rFonts w:ascii="Arial" w:hAnsi="Arial" w:cs="Arial"/>
          <w:color w:val="222222"/>
          <w:sz w:val="24"/>
          <w:szCs w:val="24"/>
          <w:shd w:val="clear" w:color="auto" w:fill="FFFFFF"/>
        </w:rPr>
        <w:t>, pp.605-615.</w:t>
      </w:r>
    </w:p>
    <w:p w14:paraId="39B4D8F4"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Rauhala, J., 2015. Corporate Social Responsibility: Approaches and Criticism.</w:t>
      </w:r>
    </w:p>
    <w:p w14:paraId="69F3D584"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sz w:val="24"/>
          <w:szCs w:val="24"/>
        </w:rPr>
        <w:t xml:space="preserve">Rodriguez-Anton J. M. and Alonso-Almeida M. M. (2019) The Circular Economy Strategy in Hospitality: A </w:t>
      </w:r>
      <w:proofErr w:type="spellStart"/>
      <w:r w:rsidRPr="001142C9">
        <w:rPr>
          <w:rFonts w:ascii="Arial" w:hAnsi="Arial" w:cs="Arial"/>
          <w:sz w:val="24"/>
          <w:szCs w:val="24"/>
        </w:rPr>
        <w:t>Multicase</w:t>
      </w:r>
      <w:proofErr w:type="spellEnd"/>
      <w:r w:rsidRPr="001142C9">
        <w:rPr>
          <w:rFonts w:ascii="Arial" w:hAnsi="Arial" w:cs="Arial"/>
          <w:sz w:val="24"/>
          <w:szCs w:val="24"/>
        </w:rPr>
        <w:t xml:space="preserve"> Approach </w:t>
      </w:r>
      <w:r w:rsidRPr="001142C9">
        <w:rPr>
          <w:rFonts w:ascii="Arial" w:hAnsi="Arial" w:cs="Arial"/>
          <w:i/>
          <w:sz w:val="24"/>
          <w:szCs w:val="24"/>
        </w:rPr>
        <w:t xml:space="preserve">Sustainability </w:t>
      </w:r>
      <w:r w:rsidRPr="001142C9">
        <w:rPr>
          <w:rFonts w:ascii="Arial" w:hAnsi="Arial" w:cs="Arial"/>
          <w:sz w:val="24"/>
          <w:szCs w:val="24"/>
        </w:rPr>
        <w:t>11(20): 5665</w:t>
      </w:r>
    </w:p>
    <w:p w14:paraId="4A5310BA"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 xml:space="preserve">Ruiz Molina, M.E., Belda-Miquel, S., </w:t>
      </w:r>
      <w:proofErr w:type="spellStart"/>
      <w:r w:rsidRPr="001142C9">
        <w:rPr>
          <w:rFonts w:ascii="Arial" w:hAnsi="Arial" w:cs="Arial"/>
          <w:color w:val="222222"/>
          <w:sz w:val="24"/>
          <w:szCs w:val="24"/>
          <w:shd w:val="clear" w:color="auto" w:fill="FFFFFF"/>
        </w:rPr>
        <w:t>Hytti</w:t>
      </w:r>
      <w:proofErr w:type="spellEnd"/>
      <w:r w:rsidRPr="001142C9">
        <w:rPr>
          <w:rFonts w:ascii="Arial" w:hAnsi="Arial" w:cs="Arial"/>
          <w:color w:val="222222"/>
          <w:sz w:val="24"/>
          <w:szCs w:val="24"/>
          <w:shd w:val="clear" w:color="auto" w:fill="FFFFFF"/>
        </w:rPr>
        <w:t>, A. and Gil-Saura, I., 2022. Addressing sustainable food management in hotels: proposing a framework and examining hotel groups. </w:t>
      </w:r>
      <w:r w:rsidRPr="001142C9">
        <w:rPr>
          <w:rFonts w:ascii="Arial" w:hAnsi="Arial" w:cs="Arial"/>
          <w:i/>
          <w:iCs/>
          <w:color w:val="222222"/>
          <w:sz w:val="24"/>
          <w:szCs w:val="24"/>
          <w:shd w:val="clear" w:color="auto" w:fill="FFFFFF"/>
        </w:rPr>
        <w:t>British Food Journal</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124</w:t>
      </w:r>
      <w:r w:rsidRPr="001142C9">
        <w:rPr>
          <w:rFonts w:ascii="Arial" w:hAnsi="Arial" w:cs="Arial"/>
          <w:color w:val="222222"/>
          <w:sz w:val="24"/>
          <w:szCs w:val="24"/>
          <w:shd w:val="clear" w:color="auto" w:fill="FFFFFF"/>
        </w:rPr>
        <w:t>(2), pp.462-492.</w:t>
      </w:r>
    </w:p>
    <w:p w14:paraId="6FB59F5C"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Sanvitale, A.L., 2020. Corporate Social Responsibility in the Hotel Industry: A Study of Marriott International and Odyssey Hotel Group.</w:t>
      </w:r>
    </w:p>
    <w:p w14:paraId="25AF8CED"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Tai, F.M. and Chuang, S.H., 2014. Corporate social responsibility. </w:t>
      </w:r>
      <w:proofErr w:type="spellStart"/>
      <w:r w:rsidRPr="001142C9">
        <w:rPr>
          <w:rFonts w:ascii="Arial" w:hAnsi="Arial" w:cs="Arial"/>
          <w:i/>
          <w:iCs/>
          <w:color w:val="222222"/>
          <w:sz w:val="24"/>
          <w:szCs w:val="24"/>
          <w:shd w:val="clear" w:color="auto" w:fill="FFFFFF"/>
        </w:rPr>
        <w:t>Ibusiness</w:t>
      </w:r>
      <w:proofErr w:type="spellEnd"/>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6</w:t>
      </w:r>
      <w:r w:rsidRPr="001142C9">
        <w:rPr>
          <w:rFonts w:ascii="Arial" w:hAnsi="Arial" w:cs="Arial"/>
          <w:color w:val="222222"/>
          <w:sz w:val="24"/>
          <w:szCs w:val="24"/>
          <w:shd w:val="clear" w:color="auto" w:fill="FFFFFF"/>
        </w:rPr>
        <w:t>(03), p.117.</w:t>
      </w:r>
    </w:p>
    <w:p w14:paraId="5ABE275A" w14:textId="77777777" w:rsidR="00D1528E" w:rsidRPr="001142C9" w:rsidRDefault="00D1528E" w:rsidP="001142C9">
      <w:pPr>
        <w:spacing w:line="360" w:lineRule="auto"/>
        <w:jc w:val="both"/>
        <w:rPr>
          <w:rFonts w:ascii="Arial" w:hAnsi="Arial" w:cs="Arial"/>
          <w:color w:val="222222"/>
          <w:sz w:val="24"/>
          <w:szCs w:val="24"/>
          <w:shd w:val="clear" w:color="auto" w:fill="FFFFFF"/>
        </w:rPr>
      </w:pPr>
      <w:r w:rsidRPr="001142C9">
        <w:rPr>
          <w:rFonts w:ascii="Arial" w:hAnsi="Arial" w:cs="Arial"/>
          <w:color w:val="222222"/>
          <w:sz w:val="24"/>
          <w:szCs w:val="24"/>
          <w:shd w:val="clear" w:color="auto" w:fill="FFFFFF"/>
        </w:rPr>
        <w:t>Yong, R., 2007. The circular economy in China. </w:t>
      </w:r>
      <w:r w:rsidRPr="001142C9">
        <w:rPr>
          <w:rFonts w:ascii="Arial" w:hAnsi="Arial" w:cs="Arial"/>
          <w:i/>
          <w:iCs/>
          <w:color w:val="222222"/>
          <w:sz w:val="24"/>
          <w:szCs w:val="24"/>
          <w:shd w:val="clear" w:color="auto" w:fill="FFFFFF"/>
        </w:rPr>
        <w:t>Journal of material cycles and waste management</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9</w:t>
      </w:r>
      <w:r w:rsidRPr="001142C9">
        <w:rPr>
          <w:rFonts w:ascii="Arial" w:hAnsi="Arial" w:cs="Arial"/>
          <w:color w:val="222222"/>
          <w:sz w:val="24"/>
          <w:szCs w:val="24"/>
          <w:shd w:val="clear" w:color="auto" w:fill="FFFFFF"/>
        </w:rPr>
        <w:t>, pp.121-129.</w:t>
      </w:r>
    </w:p>
    <w:p w14:paraId="4BF89DEF" w14:textId="77777777" w:rsidR="00D1528E" w:rsidRPr="001142C9" w:rsidRDefault="00D1528E" w:rsidP="001142C9">
      <w:pPr>
        <w:spacing w:line="360" w:lineRule="auto"/>
        <w:jc w:val="both"/>
        <w:rPr>
          <w:rFonts w:ascii="Arial" w:hAnsi="Arial" w:cs="Arial"/>
          <w:sz w:val="24"/>
          <w:szCs w:val="24"/>
        </w:rPr>
      </w:pPr>
      <w:r w:rsidRPr="001142C9">
        <w:rPr>
          <w:rFonts w:ascii="Arial" w:hAnsi="Arial" w:cs="Arial"/>
          <w:color w:val="222222"/>
          <w:sz w:val="24"/>
          <w:szCs w:val="24"/>
          <w:shd w:val="clear" w:color="auto" w:fill="FFFFFF"/>
        </w:rPr>
        <w:t>Zhang, Y. and Yang, F., 2021. Corporate social responsibility disclosure: Responding to investors’ criticism on social media. </w:t>
      </w:r>
      <w:r w:rsidRPr="001142C9">
        <w:rPr>
          <w:rFonts w:ascii="Arial" w:hAnsi="Arial" w:cs="Arial"/>
          <w:i/>
          <w:iCs/>
          <w:color w:val="222222"/>
          <w:sz w:val="24"/>
          <w:szCs w:val="24"/>
          <w:shd w:val="clear" w:color="auto" w:fill="FFFFFF"/>
        </w:rPr>
        <w:t>International Journal of Environmental Research and Public Health</w:t>
      </w:r>
      <w:r w:rsidRPr="001142C9">
        <w:rPr>
          <w:rFonts w:ascii="Arial" w:hAnsi="Arial" w:cs="Arial"/>
          <w:color w:val="222222"/>
          <w:sz w:val="24"/>
          <w:szCs w:val="24"/>
          <w:shd w:val="clear" w:color="auto" w:fill="FFFFFF"/>
        </w:rPr>
        <w:t>, </w:t>
      </w:r>
      <w:r w:rsidRPr="001142C9">
        <w:rPr>
          <w:rFonts w:ascii="Arial" w:hAnsi="Arial" w:cs="Arial"/>
          <w:i/>
          <w:iCs/>
          <w:color w:val="222222"/>
          <w:sz w:val="24"/>
          <w:szCs w:val="24"/>
          <w:shd w:val="clear" w:color="auto" w:fill="FFFFFF"/>
        </w:rPr>
        <w:t>18</w:t>
      </w:r>
      <w:r w:rsidRPr="001142C9">
        <w:rPr>
          <w:rFonts w:ascii="Arial" w:hAnsi="Arial" w:cs="Arial"/>
          <w:color w:val="222222"/>
          <w:sz w:val="24"/>
          <w:szCs w:val="24"/>
          <w:shd w:val="clear" w:color="auto" w:fill="FFFFFF"/>
        </w:rPr>
        <w:t>(14), p.7396.</w:t>
      </w:r>
    </w:p>
    <w:p w14:paraId="1BCFA56E" w14:textId="77777777" w:rsidR="00C44609" w:rsidRPr="001142C9" w:rsidRDefault="00C44609" w:rsidP="001142C9">
      <w:pPr>
        <w:spacing w:line="360" w:lineRule="auto"/>
        <w:jc w:val="both"/>
        <w:rPr>
          <w:rFonts w:ascii="Arial" w:hAnsi="Arial" w:cs="Arial"/>
          <w:sz w:val="24"/>
          <w:szCs w:val="24"/>
        </w:rPr>
      </w:pPr>
    </w:p>
    <w:sectPr w:rsidR="00C44609" w:rsidRPr="001142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64693"/>
    <w:multiLevelType w:val="hybridMultilevel"/>
    <w:tmpl w:val="0B7CFE2E"/>
    <w:lvl w:ilvl="0" w:tplc="855233B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039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28E"/>
    <w:rsid w:val="001142C9"/>
    <w:rsid w:val="00402FE9"/>
    <w:rsid w:val="00757D13"/>
    <w:rsid w:val="00BB5801"/>
    <w:rsid w:val="00C10121"/>
    <w:rsid w:val="00C44609"/>
    <w:rsid w:val="00D152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30765"/>
  <w15:chartTrackingRefBased/>
  <w15:docId w15:val="{94827F47-1A18-43B3-8894-9BAAC38EB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2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528E"/>
    <w:pPr>
      <w:ind w:left="720"/>
      <w:contextualSpacing/>
    </w:pPr>
  </w:style>
  <w:style w:type="character" w:styleId="Hyperlink">
    <w:name w:val="Hyperlink"/>
    <w:basedOn w:val="DefaultParagraphFont"/>
    <w:uiPriority w:val="99"/>
    <w:unhideWhenUsed/>
    <w:rsid w:val="00D152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rve360.marriott.com/wp-content/uploads/2022/10/Marriott-2022-Serve-360-ESG-Report-accessible_F.pdf" TargetMode="External"/><Relationship Id="rId5" Type="http://schemas.openxmlformats.org/officeDocument/2006/relationships/hyperlink" Target="https://www.marriott.com/marriottassets/marriott/BKKDT/PDF/BKKDT_Food_Waste_Annual_Report.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2686</Words>
  <Characters>15316</Characters>
  <Application>Microsoft Office Word</Application>
  <DocSecurity>0</DocSecurity>
  <Lines>127</Lines>
  <Paragraphs>35</Paragraphs>
  <ScaleCrop>false</ScaleCrop>
  <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2</cp:revision>
  <dcterms:created xsi:type="dcterms:W3CDTF">2024-02-01T16:30:00Z</dcterms:created>
  <dcterms:modified xsi:type="dcterms:W3CDTF">2024-02-01T16:30:00Z</dcterms:modified>
</cp:coreProperties>
</file>