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26768" w:rsidRDefault="00D8200A">
      <w:r>
        <w:fldChar w:fldCharType="begin"/>
      </w:r>
      <w:r>
        <w:instrText xml:space="preserve"> HYPERLINK "</w:instrText>
      </w:r>
      <w:r w:rsidRPr="00D8200A">
        <w:instrText>https://www.ashridge.org.uk/Website/IC.nsf/wFARATT/The%20Drivers%20of%20Corporate%20Social%20Responsibility:%20A%20Critical%20Review/$file/TheDriversOfCorporateSocialResponsibility.pdf</w:instrText>
      </w:r>
      <w:r>
        <w:instrText xml:space="preserve">" </w:instrText>
      </w:r>
      <w:r>
        <w:fldChar w:fldCharType="separate"/>
      </w:r>
      <w:r w:rsidRPr="001525A2">
        <w:rPr>
          <w:rStyle w:val="Hyperlink"/>
        </w:rPr>
        <w:t>https://www.ashridge.org.uk/Website/IC.nsf/wFARATT/The%20Drivers%20of%20Corporate%20Social%20Responsibility:%20A%20Critical%20Review/$file/TheDriversOfCorporateSocialResponsibility.pdf</w:t>
      </w:r>
      <w:r>
        <w:fldChar w:fldCharType="end"/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THE DRIVERS OF CORPORATE SOCIAL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30"/>
          <w:szCs w:val="30"/>
        </w:rPr>
      </w:pPr>
      <w:r>
        <w:rPr>
          <w:rFonts w:ascii="Times New Roman" w:hAnsi="Times New Roman" w:cs="Times New Roman"/>
          <w:b/>
          <w:bCs/>
          <w:sz w:val="30"/>
          <w:szCs w:val="30"/>
        </w:rPr>
        <w:t>RESPONSIBILITY: A CRITICAL REVIEW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 xml:space="preserve">Matthew </w:t>
      </w:r>
      <w:proofErr w:type="spellStart"/>
      <w:r>
        <w:rPr>
          <w:rFonts w:ascii="Times New Roman" w:hAnsi="Times New Roman" w:cs="Times New Roman"/>
          <w:sz w:val="19"/>
          <w:szCs w:val="19"/>
        </w:rPr>
        <w:t>Haigh</w:t>
      </w:r>
      <w:proofErr w:type="spellEnd"/>
      <w:r>
        <w:rPr>
          <w:rFonts w:ascii="Times New Roman" w:hAnsi="Times New Roman" w:cs="Times New Roman"/>
          <w:sz w:val="19"/>
          <w:szCs w:val="19"/>
        </w:rPr>
        <w:t>, University of Amsterdam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 xml:space="preserve">Marc T. Jones, </w:t>
      </w:r>
      <w:proofErr w:type="spellStart"/>
      <w:r>
        <w:rPr>
          <w:rFonts w:ascii="Times New Roman" w:hAnsi="Times New Roman" w:cs="Times New Roman"/>
          <w:sz w:val="19"/>
          <w:szCs w:val="19"/>
        </w:rPr>
        <w:t>Ashridge</w:t>
      </w:r>
      <w:proofErr w:type="spellEnd"/>
      <w:r>
        <w:rPr>
          <w:rFonts w:ascii="Times New Roman" w:hAnsi="Times New Roman" w:cs="Times New Roman"/>
          <w:sz w:val="19"/>
          <w:szCs w:val="19"/>
        </w:rPr>
        <w:t xml:space="preserve"> Business School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19"/>
          <w:szCs w:val="19"/>
        </w:rPr>
      </w:pPr>
      <w:r>
        <w:rPr>
          <w:rFonts w:ascii="Times New Roman" w:hAnsi="Times New Roman" w:cs="Times New Roman"/>
          <w:b/>
          <w:bCs/>
          <w:sz w:val="19"/>
          <w:szCs w:val="19"/>
        </w:rPr>
        <w:t>Abstract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r>
        <w:rPr>
          <w:rFonts w:ascii="Times New Roman" w:hAnsi="Times New Roman" w:cs="Times New Roman"/>
          <w:i/>
          <w:iCs/>
          <w:sz w:val="19"/>
          <w:szCs w:val="19"/>
        </w:rPr>
        <w:t>The paper criticises the dominant discourse of corporate social responsibility (CSR) by examining six sets of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proofErr w:type="gramStart"/>
      <w:r>
        <w:rPr>
          <w:rFonts w:ascii="Times New Roman" w:hAnsi="Times New Roman" w:cs="Times New Roman"/>
          <w:i/>
          <w:iCs/>
          <w:sz w:val="19"/>
          <w:szCs w:val="19"/>
        </w:rPr>
        <w:t>factors</w:t>
      </w:r>
      <w:proofErr w:type="gramEnd"/>
      <w:r>
        <w:rPr>
          <w:rFonts w:ascii="Times New Roman" w:hAnsi="Times New Roman" w:cs="Times New Roman"/>
          <w:i/>
          <w:iCs/>
          <w:sz w:val="19"/>
          <w:szCs w:val="19"/>
        </w:rPr>
        <w:t xml:space="preserve"> conventionally considered as promoting outcomes consistent with core principles of social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proofErr w:type="gramStart"/>
      <w:r>
        <w:rPr>
          <w:rFonts w:ascii="Times New Roman" w:hAnsi="Times New Roman" w:cs="Times New Roman"/>
          <w:i/>
          <w:iCs/>
          <w:sz w:val="19"/>
          <w:szCs w:val="19"/>
        </w:rPr>
        <w:t>responsibility</w:t>
      </w:r>
      <w:proofErr w:type="gramEnd"/>
      <w:r>
        <w:rPr>
          <w:rFonts w:ascii="Times New Roman" w:hAnsi="Times New Roman" w:cs="Times New Roman"/>
          <w:i/>
          <w:iCs/>
          <w:sz w:val="19"/>
          <w:szCs w:val="19"/>
        </w:rPr>
        <w:t>: intra-organizational factors, competitive dynamics, institutional investors, end-consumers,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proofErr w:type="gramStart"/>
      <w:r>
        <w:rPr>
          <w:rFonts w:ascii="Times New Roman" w:hAnsi="Times New Roman" w:cs="Times New Roman"/>
          <w:i/>
          <w:iCs/>
          <w:sz w:val="19"/>
          <w:szCs w:val="19"/>
        </w:rPr>
        <w:t>government</w:t>
      </w:r>
      <w:proofErr w:type="gramEnd"/>
      <w:r>
        <w:rPr>
          <w:rFonts w:ascii="Times New Roman" w:hAnsi="Times New Roman" w:cs="Times New Roman"/>
          <w:i/>
          <w:iCs/>
          <w:sz w:val="19"/>
          <w:szCs w:val="19"/>
        </w:rPr>
        <w:t xml:space="preserve"> regulators and non-governmental organizations. Each factor is addressed conceptually,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proofErr w:type="gramStart"/>
      <w:r>
        <w:rPr>
          <w:rFonts w:ascii="Times New Roman" w:hAnsi="Times New Roman" w:cs="Times New Roman"/>
          <w:i/>
          <w:iCs/>
          <w:sz w:val="19"/>
          <w:szCs w:val="19"/>
        </w:rPr>
        <w:t>empirically</w:t>
      </w:r>
      <w:proofErr w:type="gramEnd"/>
      <w:r>
        <w:rPr>
          <w:rFonts w:ascii="Times New Roman" w:hAnsi="Times New Roman" w:cs="Times New Roman"/>
          <w:i/>
          <w:iCs/>
          <w:sz w:val="19"/>
          <w:szCs w:val="19"/>
        </w:rPr>
        <w:t>, and with respect to its likely future significance in promoting outcomes consistent with CSR. Our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proofErr w:type="gramStart"/>
      <w:r>
        <w:rPr>
          <w:rFonts w:ascii="Times New Roman" w:hAnsi="Times New Roman" w:cs="Times New Roman"/>
          <w:i/>
          <w:iCs/>
          <w:sz w:val="19"/>
          <w:szCs w:val="19"/>
        </w:rPr>
        <w:t>overall</w:t>
      </w:r>
      <w:proofErr w:type="gramEnd"/>
      <w:r>
        <w:rPr>
          <w:rFonts w:ascii="Times New Roman" w:hAnsi="Times New Roman" w:cs="Times New Roman"/>
          <w:i/>
          <w:iCs/>
          <w:sz w:val="19"/>
          <w:szCs w:val="19"/>
        </w:rPr>
        <w:t xml:space="preserve"> conclusions are not promising on any of these dimensions.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i/>
          <w:iCs/>
          <w:sz w:val="19"/>
          <w:szCs w:val="19"/>
        </w:rPr>
      </w:pPr>
      <w:bookmarkStart w:id="0" w:name="_GoBack"/>
      <w:bookmarkEnd w:id="0"/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19"/>
          <w:szCs w:val="19"/>
        </w:rPr>
      </w:pPr>
      <w:r>
        <w:rPr>
          <w:rFonts w:ascii="Times New Roman" w:hAnsi="Times New Roman" w:cs="Times New Roman"/>
          <w:b/>
          <w:bCs/>
          <w:sz w:val="19"/>
          <w:szCs w:val="19"/>
        </w:rPr>
        <w:t>CORPORATE SOCIAL RESPONSIBILITY AND STAKEHOLDERE MANAGEMENT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Business ethicists borrow from the works of such as Thomas Hobbes, John Locke and Jean-Jacques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Rousseau to assert that normative obligations on the firm imposed by the social contract require constructive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responses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to the needs of owner and non-owner groups (Palmer, 2001). Ethics and responsibility are most often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spellStart"/>
      <w:proofErr w:type="gramStart"/>
      <w:r>
        <w:rPr>
          <w:rFonts w:ascii="Times New Roman" w:hAnsi="Times New Roman" w:cs="Times New Roman"/>
          <w:sz w:val="19"/>
          <w:szCs w:val="19"/>
        </w:rPr>
        <w:t>unreflexively</w:t>
      </w:r>
      <w:proofErr w:type="spellEnd"/>
      <w:proofErr w:type="gramEnd"/>
      <w:r>
        <w:rPr>
          <w:rFonts w:ascii="Times New Roman" w:hAnsi="Times New Roman" w:cs="Times New Roman"/>
          <w:sz w:val="19"/>
          <w:szCs w:val="19"/>
        </w:rPr>
        <w:t xml:space="preserve"> presented as atomised problems for individual decision-makers in the firm, solvable through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straightforward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application of logical rules and codes of conduct. Relevant definitions of responsibility are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narrow</w:t>
      </w:r>
      <w:proofErr w:type="gramEnd"/>
      <w:r>
        <w:rPr>
          <w:rFonts w:ascii="Times New Roman" w:hAnsi="Times New Roman" w:cs="Times New Roman"/>
          <w:sz w:val="19"/>
          <w:szCs w:val="19"/>
        </w:rPr>
        <w:t>: “issues of corporate responsibility are of smaller scope than the ethical foundations of capitalism”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(</w:t>
      </w:r>
      <w:proofErr w:type="spellStart"/>
      <w:r>
        <w:rPr>
          <w:rFonts w:ascii="Times New Roman" w:hAnsi="Times New Roman" w:cs="Times New Roman"/>
          <w:sz w:val="19"/>
          <w:szCs w:val="19"/>
        </w:rPr>
        <w:t>Goodpaster</w:t>
      </w:r>
      <w:proofErr w:type="spellEnd"/>
      <w:r>
        <w:rPr>
          <w:rFonts w:ascii="Times New Roman" w:hAnsi="Times New Roman" w:cs="Times New Roman"/>
          <w:sz w:val="19"/>
          <w:szCs w:val="19"/>
        </w:rPr>
        <w:t>, 1983, p. 3).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Ethical questions are restricted to external corporate effects such as the means of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production</w:t>
      </w:r>
      <w:proofErr w:type="gramEnd"/>
      <w:r>
        <w:rPr>
          <w:rFonts w:ascii="Times New Roman" w:hAnsi="Times New Roman" w:cs="Times New Roman"/>
          <w:sz w:val="19"/>
          <w:szCs w:val="19"/>
        </w:rPr>
        <w:t>, in which relevant questions are held to arise in places such as stockholder and consumer protection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and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occupational health and safety. Exemplary behaviour is encoded in governance guidelines emanating from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organisations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such as stock exchanges.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Departing from the deference that conventional approaches to CSR show toward corporate interests,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Daly (1996) calls for systems thinking on sustainable economic development as a tenable approach to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reconfiguring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the capitalist apparatus. In contrast, the CSR-related research that we address flags moral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justification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with one hand as it defers to the mechanics of capital on the other. Four aspects describe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conventional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approaches. One, corporate entities are assumed responsible only for their own (acquisitive)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behaviour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and not for capitalism itself. This assumption would explain why most CSR researchers leave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undefined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categories of obligation and forms that the social contract should take and rarely consider alternatives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to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neo-liberalism (Lehman, 1999). Two, a related assumption is that self-regulation is a proper normative ideal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for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corporate entities (</w:t>
      </w:r>
      <w:proofErr w:type="spellStart"/>
      <w:r>
        <w:rPr>
          <w:rFonts w:ascii="Times New Roman" w:hAnsi="Times New Roman" w:cs="Times New Roman"/>
          <w:sz w:val="19"/>
          <w:szCs w:val="19"/>
        </w:rPr>
        <w:t>Gray</w:t>
      </w:r>
      <w:proofErr w:type="spellEnd"/>
      <w:r>
        <w:rPr>
          <w:rFonts w:ascii="Times New Roman" w:hAnsi="Times New Roman" w:cs="Times New Roman"/>
          <w:sz w:val="19"/>
          <w:szCs w:val="19"/>
        </w:rPr>
        <w:t>, Owen and Maunders, 1988). Voluntary CSR reporting is assumed, without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examination</w:t>
      </w:r>
      <w:proofErr w:type="gramEnd"/>
      <w:r>
        <w:rPr>
          <w:rFonts w:ascii="Times New Roman" w:hAnsi="Times New Roman" w:cs="Times New Roman"/>
          <w:sz w:val="19"/>
          <w:szCs w:val="19"/>
        </w:rPr>
        <w:t>, to sufficiently acquit the firm of extra-legal responsibilities. Three, economics is not identified as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a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matter of choice. Institutional and legal status qua, market forces and the legality of corporations to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accumulate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private property are reified as part of the “fundamental legitimacy of capitalism” (</w:t>
      </w:r>
      <w:proofErr w:type="spellStart"/>
      <w:r>
        <w:rPr>
          <w:rFonts w:ascii="Times New Roman" w:hAnsi="Times New Roman" w:cs="Times New Roman"/>
          <w:sz w:val="19"/>
          <w:szCs w:val="19"/>
        </w:rPr>
        <w:t>Goodpaster</w:t>
      </w:r>
      <w:proofErr w:type="spellEnd"/>
      <w:r>
        <w:rPr>
          <w:rFonts w:ascii="Times New Roman" w:hAnsi="Times New Roman" w:cs="Times New Roman"/>
          <w:sz w:val="19"/>
          <w:szCs w:val="19"/>
        </w:rPr>
        <w:t>, 1983,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3), in accordance with its neo-liberal underpinnings (Lehman, 1999). Moral agency is received with as little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critical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reflection. Finally, inherent contradictions between the pursuit of economic growth and goals of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ecological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maintenance and social justice are considered, if at all, as trivial. In their review of the business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ethics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literature, Bowie and </w:t>
      </w:r>
      <w:proofErr w:type="spellStart"/>
      <w:r>
        <w:rPr>
          <w:rFonts w:ascii="Times New Roman" w:hAnsi="Times New Roman" w:cs="Times New Roman"/>
          <w:sz w:val="19"/>
          <w:szCs w:val="19"/>
        </w:rPr>
        <w:t>Dunfee</w:t>
      </w:r>
      <w:proofErr w:type="spellEnd"/>
      <w:r>
        <w:rPr>
          <w:rFonts w:ascii="Times New Roman" w:hAnsi="Times New Roman" w:cs="Times New Roman"/>
          <w:sz w:val="19"/>
          <w:szCs w:val="19"/>
        </w:rPr>
        <w:t xml:space="preserve"> (2002) note that the CSR-related management-focused research (the subject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of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this essay) tends to avoid reflecting on conflicts between ethical and profit motives.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19"/>
          <w:szCs w:val="19"/>
        </w:rPr>
      </w:pPr>
      <w:r>
        <w:rPr>
          <w:rFonts w:ascii="Times New Roman" w:hAnsi="Times New Roman" w:cs="Times New Roman"/>
          <w:b/>
          <w:bCs/>
          <w:sz w:val="19"/>
          <w:szCs w:val="19"/>
        </w:rPr>
        <w:t>DETERMINANTS OF CSR PRACTICES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r>
        <w:rPr>
          <w:rFonts w:ascii="Times New Roman" w:hAnsi="Times New Roman" w:cs="Times New Roman"/>
          <w:sz w:val="19"/>
          <w:szCs w:val="19"/>
        </w:rPr>
        <w:t>Influences on CSR practice tend to overlap or interact in quite complex ways; e.g., when investment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firms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spend media dollars to educate potential financial consumers as to the advantages of social investment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funds</w:t>
      </w:r>
      <w:proofErr w:type="gramEnd"/>
      <w:r>
        <w:rPr>
          <w:rFonts w:ascii="Times New Roman" w:hAnsi="Times New Roman" w:cs="Times New Roman"/>
          <w:sz w:val="19"/>
          <w:szCs w:val="19"/>
        </w:rPr>
        <w:t>. Yet, they are analytically distinct in terms of their internal logics and immediate empirical referents. We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proceed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by identifying six sets of influences that might promote social responsibility actions within the firm: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internal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pressures on business managers, pressures from business competitors, investors and consumers, and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regulatory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pressures coming from governments and non-governmental organizations. We address each</w:t>
      </w:r>
    </w:p>
    <w:p w:rsidR="00D8200A" w:rsidRDefault="00D8200A" w:rsidP="00D8200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19"/>
          <w:szCs w:val="19"/>
        </w:rPr>
      </w:pPr>
      <w:proofErr w:type="gramStart"/>
      <w:r>
        <w:rPr>
          <w:rFonts w:ascii="Times New Roman" w:hAnsi="Times New Roman" w:cs="Times New Roman"/>
          <w:sz w:val="19"/>
          <w:szCs w:val="19"/>
        </w:rPr>
        <w:t>sequentially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with respect to (i) its internal logic (the conceptual arguments for and against it); (ii) its empirical</w:t>
      </w:r>
    </w:p>
    <w:p w:rsidR="00D8200A" w:rsidRDefault="00D8200A" w:rsidP="00D8200A">
      <w:proofErr w:type="gramStart"/>
      <w:r>
        <w:rPr>
          <w:rFonts w:ascii="Times New Roman" w:hAnsi="Times New Roman" w:cs="Times New Roman"/>
          <w:sz w:val="19"/>
          <w:szCs w:val="19"/>
        </w:rPr>
        <w:t>salience</w:t>
      </w:r>
      <w:proofErr w:type="gramEnd"/>
      <w:r>
        <w:rPr>
          <w:rFonts w:ascii="Times New Roman" w:hAnsi="Times New Roman" w:cs="Times New Roman"/>
          <w:sz w:val="19"/>
          <w:szCs w:val="19"/>
        </w:rPr>
        <w:t xml:space="preserve"> in terms of the latest relevant research, and (iii) our considered opinion regarding its prospects to be a</w:t>
      </w:r>
    </w:p>
    <w:sectPr w:rsidR="00D820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200A"/>
    <w:rsid w:val="00A26768"/>
    <w:rsid w:val="00A53AC2"/>
    <w:rsid w:val="00D82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00A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00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1</Pages>
  <Words>732</Words>
  <Characters>4178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Griffiths, Steve</dc:creator>
  <cp:lastModifiedBy>Griffiths, Steve</cp:lastModifiedBy>
  <cp:revision>1</cp:revision>
  <cp:lastPrinted>2014-01-07T12:18:00Z</cp:lastPrinted>
  <dcterms:created xsi:type="dcterms:W3CDTF">2014-01-07T11:58:00Z</dcterms:created>
  <dcterms:modified xsi:type="dcterms:W3CDTF">2014-01-07T16:32:00Z</dcterms:modified>
</cp:coreProperties>
</file>