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5D7CF" w14:textId="7AFA9B5C" w:rsidR="006F5312" w:rsidRPr="00073D09" w:rsidRDefault="00FA6B6C" w:rsidP="00FA6B6C">
      <w:pPr>
        <w:jc w:val="left"/>
      </w:pPr>
      <w:r>
        <w:rPr>
          <w:noProof/>
        </w:rPr>
        <w:drawing>
          <wp:inline distT="0" distB="0" distL="0" distR="0" wp14:anchorId="7B2713D3" wp14:editId="369617FA">
            <wp:extent cx="2385391" cy="1192467"/>
            <wp:effectExtent l="0" t="0" r="0" b="8255"/>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97423" cy="1198482"/>
                    </a:xfrm>
                    <a:prstGeom prst="rect">
                      <a:avLst/>
                    </a:prstGeom>
                  </pic:spPr>
                </pic:pic>
              </a:graphicData>
            </a:graphic>
          </wp:inline>
        </w:drawing>
      </w:r>
    </w:p>
    <w:p w14:paraId="7D50286B" w14:textId="77777777" w:rsidR="006F5312" w:rsidRPr="00073D09" w:rsidRDefault="006F5312" w:rsidP="00065C51"/>
    <w:p w14:paraId="2C5E03C1" w14:textId="77777777" w:rsidR="006F5312" w:rsidRPr="00073D09" w:rsidRDefault="006F5312" w:rsidP="00065C51"/>
    <w:p w14:paraId="23DA99E6" w14:textId="77777777" w:rsidR="006F5312" w:rsidRPr="00073D09" w:rsidRDefault="006F5312" w:rsidP="00065C51"/>
    <w:p w14:paraId="2D409809" w14:textId="77777777" w:rsidR="006F5312" w:rsidRPr="00073D09" w:rsidRDefault="006F5312" w:rsidP="00065C51"/>
    <w:p w14:paraId="6257B481" w14:textId="6A41A896" w:rsidR="008A07D9" w:rsidRPr="00FA6B6C" w:rsidRDefault="00483DAF" w:rsidP="00FA6B6C">
      <w:pPr>
        <w:pStyle w:val="NoSpacing"/>
        <w:spacing w:before="120" w:after="120" w:line="360" w:lineRule="auto"/>
        <w:jc w:val="center"/>
        <w:rPr>
          <w:sz w:val="36"/>
          <w:szCs w:val="36"/>
        </w:rPr>
      </w:pPr>
      <w:r w:rsidRPr="00FA6B6C">
        <w:rPr>
          <w:sz w:val="36"/>
          <w:szCs w:val="36"/>
        </w:rPr>
        <w:t>Environmental</w:t>
      </w:r>
      <w:r w:rsidR="00FA6B6C" w:rsidRPr="00FA6B6C">
        <w:rPr>
          <w:sz w:val="36"/>
          <w:szCs w:val="36"/>
        </w:rPr>
        <w:t xml:space="preserve"> </w:t>
      </w:r>
      <w:r w:rsidRPr="00FA6B6C">
        <w:rPr>
          <w:sz w:val="36"/>
          <w:szCs w:val="36"/>
        </w:rPr>
        <w:t>Factors and Human Resource Management:</w:t>
      </w:r>
    </w:p>
    <w:p w14:paraId="24FAE25A" w14:textId="45302066" w:rsidR="00483DAF" w:rsidRPr="00FA6B6C" w:rsidRDefault="00483DAF" w:rsidP="00FA6B6C">
      <w:pPr>
        <w:pStyle w:val="NoSpacing"/>
        <w:spacing w:before="120" w:after="120" w:line="360" w:lineRule="auto"/>
        <w:jc w:val="center"/>
        <w:rPr>
          <w:sz w:val="44"/>
          <w:szCs w:val="44"/>
        </w:rPr>
      </w:pPr>
      <w:r w:rsidRPr="00FA6B6C">
        <w:rPr>
          <w:sz w:val="44"/>
          <w:szCs w:val="44"/>
        </w:rPr>
        <w:t>An Evaluation of Apple Inc.</w:t>
      </w:r>
    </w:p>
    <w:p w14:paraId="283F9F6D" w14:textId="77777777" w:rsidR="006F5312" w:rsidRPr="00073D09" w:rsidRDefault="006F5312" w:rsidP="00065C51"/>
    <w:p w14:paraId="7B78F655" w14:textId="77777777" w:rsidR="006F5312" w:rsidRPr="00073D09" w:rsidRDefault="006F5312" w:rsidP="00065C51"/>
    <w:p w14:paraId="0E98EBC2" w14:textId="77777777" w:rsidR="006F5312" w:rsidRPr="00073D09" w:rsidRDefault="006F5312" w:rsidP="00065C51"/>
    <w:p w14:paraId="5C0A2D74" w14:textId="77777777" w:rsidR="008A07D9" w:rsidRPr="00073D09" w:rsidRDefault="008A07D9" w:rsidP="00065C51"/>
    <w:p w14:paraId="4D232779" w14:textId="77777777" w:rsidR="008A07D9" w:rsidRPr="00073D09" w:rsidRDefault="008A07D9" w:rsidP="00065C51"/>
    <w:p w14:paraId="4D92057A" w14:textId="77777777" w:rsidR="008A07D9" w:rsidRPr="00073D09" w:rsidRDefault="008A07D9" w:rsidP="00065C51"/>
    <w:p w14:paraId="5252B58D" w14:textId="77777777" w:rsidR="00FA6B6C" w:rsidRPr="00FA6B6C" w:rsidRDefault="00FA6B6C" w:rsidP="00FA6B6C">
      <w:pPr>
        <w:rPr>
          <w:lang w:val="en-US"/>
        </w:rPr>
      </w:pPr>
      <w:r w:rsidRPr="00FA6B6C">
        <w:rPr>
          <w:lang w:val="en-US"/>
        </w:rPr>
        <w:t>Name: Mihai-Iustin Radoi</w:t>
      </w:r>
    </w:p>
    <w:p w14:paraId="4A0BC74D" w14:textId="77777777" w:rsidR="00FA6B6C" w:rsidRPr="00FA6B6C" w:rsidRDefault="00FA6B6C" w:rsidP="00FA6B6C">
      <w:pPr>
        <w:rPr>
          <w:lang w:val="en-US"/>
        </w:rPr>
      </w:pPr>
      <w:r w:rsidRPr="00FA6B6C">
        <w:rPr>
          <w:lang w:val="en-US"/>
        </w:rPr>
        <w:t>Student ID: 2416097</w:t>
      </w:r>
    </w:p>
    <w:p w14:paraId="40E9B016" w14:textId="11B53F15" w:rsidR="00FA6B6C" w:rsidRPr="00FA6B6C" w:rsidRDefault="00FA6B6C" w:rsidP="00FA6B6C">
      <w:pPr>
        <w:rPr>
          <w:lang w:val="en-US"/>
        </w:rPr>
      </w:pPr>
      <w:r w:rsidRPr="00FA6B6C">
        <w:rPr>
          <w:lang w:val="en-US"/>
        </w:rPr>
        <w:t>Module code: LCBB501</w:t>
      </w:r>
      <w:r>
        <w:rPr>
          <w:lang w:val="en-US"/>
        </w:rPr>
        <w:t>2</w:t>
      </w:r>
    </w:p>
    <w:p w14:paraId="60151109" w14:textId="7BD507B8" w:rsidR="00FA6B6C" w:rsidRPr="00FA6B6C" w:rsidRDefault="00FA6B6C" w:rsidP="00FA6B6C">
      <w:pPr>
        <w:rPr>
          <w:lang w:val="en-US"/>
        </w:rPr>
      </w:pPr>
      <w:r w:rsidRPr="00FA6B6C">
        <w:rPr>
          <w:lang w:val="en-US"/>
        </w:rPr>
        <w:t>Module name: Principles of Human Resource Management</w:t>
      </w:r>
    </w:p>
    <w:p w14:paraId="07743EA9" w14:textId="73422918" w:rsidR="008A07D9" w:rsidRPr="00073D09" w:rsidRDefault="00FA6B6C" w:rsidP="00FA6B6C">
      <w:r w:rsidRPr="00FA6B6C">
        <w:rPr>
          <w:lang w:val="en-US"/>
        </w:rPr>
        <w:t xml:space="preserve">Lecturer: </w:t>
      </w:r>
      <w:r w:rsidRPr="00FA6B6C">
        <w:t>Dr. Rameses Manalang</w:t>
      </w:r>
    </w:p>
    <w:p w14:paraId="0CBEC3BC" w14:textId="77777777" w:rsidR="008A07D9" w:rsidRPr="00073D09" w:rsidRDefault="008A07D9" w:rsidP="00065C51"/>
    <w:p w14:paraId="6239F4CD" w14:textId="77777777" w:rsidR="008A07D9" w:rsidRPr="00073D09" w:rsidRDefault="008A07D9" w:rsidP="00065C51"/>
    <w:p w14:paraId="6A9E7A4C" w14:textId="77777777" w:rsidR="008A07D9" w:rsidRPr="00073D09" w:rsidRDefault="008A07D9" w:rsidP="00065C51"/>
    <w:p w14:paraId="4903FA3E" w14:textId="77777777" w:rsidR="008A07D9" w:rsidRPr="00073D09" w:rsidRDefault="008A07D9" w:rsidP="00065C51"/>
    <w:p w14:paraId="0437EA95" w14:textId="77777777" w:rsidR="008A07D9" w:rsidRPr="00073D09" w:rsidRDefault="008A07D9" w:rsidP="00065C51"/>
    <w:p w14:paraId="5BC4267A" w14:textId="77777777" w:rsidR="006F5312" w:rsidRPr="00073D09" w:rsidRDefault="006F5312" w:rsidP="00065C51"/>
    <w:p w14:paraId="4DE26B05" w14:textId="77777777" w:rsidR="006F5312" w:rsidRPr="00073D09" w:rsidRDefault="006F5312" w:rsidP="00065C51"/>
    <w:sdt>
      <w:sdtPr>
        <w:rPr>
          <w:rFonts w:asciiTheme="minorHAnsi" w:eastAsiaTheme="minorHAnsi" w:hAnsiTheme="minorHAnsi" w:cstheme="minorBidi"/>
          <w:color w:val="auto"/>
          <w:kern w:val="2"/>
          <w:sz w:val="24"/>
          <w:szCs w:val="24"/>
          <w14:ligatures w14:val="standardContextual"/>
        </w:rPr>
        <w:id w:val="-1067728432"/>
        <w:docPartObj>
          <w:docPartGallery w:val="Table of Contents"/>
          <w:docPartUnique/>
        </w:docPartObj>
      </w:sdtPr>
      <w:sdtEndPr>
        <w:rPr>
          <w:rFonts w:ascii="Times New Roman" w:hAnsi="Times New Roman" w:cs="Times New Roman"/>
        </w:rPr>
      </w:sdtEndPr>
      <w:sdtContent>
        <w:p w14:paraId="57227B72" w14:textId="6694EE1A" w:rsidR="008A07D9" w:rsidRPr="00073D09" w:rsidRDefault="008A07D9" w:rsidP="00065C51">
          <w:pPr>
            <w:pStyle w:val="TOCHeading"/>
          </w:pPr>
          <w:r w:rsidRPr="00073D09">
            <w:t>Contents</w:t>
          </w:r>
        </w:p>
        <w:p w14:paraId="69F30996" w14:textId="403086D8" w:rsidR="007B6C4E" w:rsidRDefault="008A07D9">
          <w:pPr>
            <w:pStyle w:val="TOC1"/>
            <w:tabs>
              <w:tab w:val="right" w:leader="dot" w:pos="9350"/>
            </w:tabs>
            <w:rPr>
              <w:rFonts w:asciiTheme="minorHAnsi" w:eastAsiaTheme="minorEastAsia" w:hAnsiTheme="minorHAnsi" w:cstheme="minorBidi"/>
              <w:noProof/>
              <w:lang w:val="en-US"/>
            </w:rPr>
          </w:pPr>
          <w:r w:rsidRPr="00073D09">
            <w:fldChar w:fldCharType="begin"/>
          </w:r>
          <w:r w:rsidRPr="00073D09">
            <w:instrText xml:space="preserve"> TOC \o "1-3" \h \z \u </w:instrText>
          </w:r>
          <w:r w:rsidRPr="00073D09">
            <w:fldChar w:fldCharType="separate"/>
          </w:r>
          <w:hyperlink w:anchor="_Toc238235962" w:history="1">
            <w:r w:rsidR="007B6C4E" w:rsidRPr="006E687D">
              <w:rPr>
                <w:rStyle w:val="Hyperlink"/>
                <w:noProof/>
              </w:rPr>
              <w:t xml:space="preserve">1. </w:t>
            </w:r>
            <w:r w:rsidR="007B6C4E" w:rsidRPr="006E687D">
              <w:rPr>
                <w:rStyle w:val="Hyperlink"/>
                <w:rFonts w:cs="Arial"/>
                <w:noProof/>
              </w:rPr>
              <w:t>Introduction</w:t>
            </w:r>
            <w:r w:rsidR="007B6C4E">
              <w:rPr>
                <w:noProof/>
                <w:webHidden/>
              </w:rPr>
              <w:tab/>
            </w:r>
            <w:r w:rsidR="007B6C4E">
              <w:rPr>
                <w:noProof/>
                <w:webHidden/>
              </w:rPr>
              <w:fldChar w:fldCharType="begin"/>
            </w:r>
            <w:r w:rsidR="007B6C4E">
              <w:rPr>
                <w:noProof/>
                <w:webHidden/>
              </w:rPr>
              <w:instrText xml:space="preserve"> PAGEREF _Toc238235962 \h </w:instrText>
            </w:r>
            <w:r w:rsidR="007B6C4E">
              <w:rPr>
                <w:noProof/>
                <w:webHidden/>
              </w:rPr>
            </w:r>
            <w:r w:rsidR="007B6C4E">
              <w:rPr>
                <w:noProof/>
                <w:webHidden/>
              </w:rPr>
              <w:fldChar w:fldCharType="separate"/>
            </w:r>
            <w:r w:rsidR="007B6C4E">
              <w:rPr>
                <w:noProof/>
                <w:webHidden/>
              </w:rPr>
              <w:t>3</w:t>
            </w:r>
            <w:r w:rsidR="007B6C4E">
              <w:rPr>
                <w:noProof/>
                <w:webHidden/>
              </w:rPr>
              <w:fldChar w:fldCharType="end"/>
            </w:r>
          </w:hyperlink>
        </w:p>
        <w:p w14:paraId="2BC3A399" w14:textId="63B2184F" w:rsidR="007B6C4E" w:rsidRDefault="007B6C4E">
          <w:pPr>
            <w:pStyle w:val="TOC1"/>
            <w:tabs>
              <w:tab w:val="right" w:leader="dot" w:pos="9350"/>
            </w:tabs>
            <w:rPr>
              <w:rFonts w:asciiTheme="minorHAnsi" w:eastAsiaTheme="minorEastAsia" w:hAnsiTheme="minorHAnsi" w:cstheme="minorBidi"/>
              <w:noProof/>
              <w:lang w:val="en-US"/>
            </w:rPr>
          </w:pPr>
          <w:hyperlink w:anchor="_Toc238235963" w:history="1">
            <w:r w:rsidRPr="006E687D">
              <w:rPr>
                <w:rStyle w:val="Hyperlink"/>
                <w:noProof/>
              </w:rPr>
              <w:t>2. Internal and External Environment</w:t>
            </w:r>
            <w:r>
              <w:rPr>
                <w:noProof/>
                <w:webHidden/>
              </w:rPr>
              <w:tab/>
            </w:r>
            <w:r>
              <w:rPr>
                <w:noProof/>
                <w:webHidden/>
              </w:rPr>
              <w:fldChar w:fldCharType="begin"/>
            </w:r>
            <w:r>
              <w:rPr>
                <w:noProof/>
                <w:webHidden/>
              </w:rPr>
              <w:instrText xml:space="preserve"> PAGEREF _Toc238235963 \h </w:instrText>
            </w:r>
            <w:r>
              <w:rPr>
                <w:noProof/>
                <w:webHidden/>
              </w:rPr>
            </w:r>
            <w:r>
              <w:rPr>
                <w:noProof/>
                <w:webHidden/>
              </w:rPr>
              <w:fldChar w:fldCharType="separate"/>
            </w:r>
            <w:r>
              <w:rPr>
                <w:noProof/>
                <w:webHidden/>
              </w:rPr>
              <w:t>4</w:t>
            </w:r>
            <w:r>
              <w:rPr>
                <w:noProof/>
                <w:webHidden/>
              </w:rPr>
              <w:fldChar w:fldCharType="end"/>
            </w:r>
          </w:hyperlink>
        </w:p>
        <w:p w14:paraId="0B67F1D6" w14:textId="4B38C01A" w:rsidR="007B6C4E" w:rsidRDefault="007B6C4E">
          <w:pPr>
            <w:pStyle w:val="TOC1"/>
            <w:tabs>
              <w:tab w:val="right" w:leader="dot" w:pos="9350"/>
            </w:tabs>
            <w:rPr>
              <w:rFonts w:asciiTheme="minorHAnsi" w:eastAsiaTheme="minorEastAsia" w:hAnsiTheme="minorHAnsi" w:cstheme="minorBidi"/>
              <w:noProof/>
              <w:lang w:val="en-US"/>
            </w:rPr>
          </w:pPr>
          <w:hyperlink w:anchor="_Toc238235964" w:history="1">
            <w:r w:rsidRPr="006E687D">
              <w:rPr>
                <w:rStyle w:val="Hyperlink"/>
                <w:noProof/>
              </w:rPr>
              <w:t>3. Organisation Application</w:t>
            </w:r>
            <w:r>
              <w:rPr>
                <w:noProof/>
                <w:webHidden/>
              </w:rPr>
              <w:tab/>
            </w:r>
            <w:r>
              <w:rPr>
                <w:noProof/>
                <w:webHidden/>
              </w:rPr>
              <w:fldChar w:fldCharType="begin"/>
            </w:r>
            <w:r>
              <w:rPr>
                <w:noProof/>
                <w:webHidden/>
              </w:rPr>
              <w:instrText xml:space="preserve"> PAGEREF _Toc238235964 \h </w:instrText>
            </w:r>
            <w:r>
              <w:rPr>
                <w:noProof/>
                <w:webHidden/>
              </w:rPr>
            </w:r>
            <w:r>
              <w:rPr>
                <w:noProof/>
                <w:webHidden/>
              </w:rPr>
              <w:fldChar w:fldCharType="separate"/>
            </w:r>
            <w:r>
              <w:rPr>
                <w:noProof/>
                <w:webHidden/>
              </w:rPr>
              <w:t>5</w:t>
            </w:r>
            <w:r>
              <w:rPr>
                <w:noProof/>
                <w:webHidden/>
              </w:rPr>
              <w:fldChar w:fldCharType="end"/>
            </w:r>
          </w:hyperlink>
        </w:p>
        <w:p w14:paraId="2DB55CA2" w14:textId="21E4448C" w:rsidR="007B6C4E" w:rsidRDefault="007B6C4E">
          <w:pPr>
            <w:pStyle w:val="TOC1"/>
            <w:tabs>
              <w:tab w:val="right" w:leader="dot" w:pos="9350"/>
            </w:tabs>
            <w:rPr>
              <w:rFonts w:asciiTheme="minorHAnsi" w:eastAsiaTheme="minorEastAsia" w:hAnsiTheme="minorHAnsi" w:cstheme="minorBidi"/>
              <w:noProof/>
              <w:lang w:val="en-US"/>
            </w:rPr>
          </w:pPr>
          <w:hyperlink w:anchor="_Toc238235965" w:history="1">
            <w:r w:rsidRPr="006E687D">
              <w:rPr>
                <w:rStyle w:val="Hyperlink"/>
                <w:noProof/>
              </w:rPr>
              <w:t>4. Application of the PESTLE Model</w:t>
            </w:r>
            <w:r>
              <w:rPr>
                <w:noProof/>
                <w:webHidden/>
              </w:rPr>
              <w:tab/>
            </w:r>
            <w:r>
              <w:rPr>
                <w:noProof/>
                <w:webHidden/>
              </w:rPr>
              <w:fldChar w:fldCharType="begin"/>
            </w:r>
            <w:r>
              <w:rPr>
                <w:noProof/>
                <w:webHidden/>
              </w:rPr>
              <w:instrText xml:space="preserve"> PAGEREF _Toc238235965 \h </w:instrText>
            </w:r>
            <w:r>
              <w:rPr>
                <w:noProof/>
                <w:webHidden/>
              </w:rPr>
            </w:r>
            <w:r>
              <w:rPr>
                <w:noProof/>
                <w:webHidden/>
              </w:rPr>
              <w:fldChar w:fldCharType="separate"/>
            </w:r>
            <w:r>
              <w:rPr>
                <w:noProof/>
                <w:webHidden/>
              </w:rPr>
              <w:t>6</w:t>
            </w:r>
            <w:r>
              <w:rPr>
                <w:noProof/>
                <w:webHidden/>
              </w:rPr>
              <w:fldChar w:fldCharType="end"/>
            </w:r>
          </w:hyperlink>
        </w:p>
        <w:p w14:paraId="21AF8E0B" w14:textId="572F510A" w:rsidR="007B6C4E" w:rsidRDefault="007B6C4E">
          <w:pPr>
            <w:pStyle w:val="TOC1"/>
            <w:tabs>
              <w:tab w:val="right" w:leader="dot" w:pos="9350"/>
            </w:tabs>
            <w:rPr>
              <w:rFonts w:asciiTheme="minorHAnsi" w:eastAsiaTheme="minorEastAsia" w:hAnsiTheme="minorHAnsi" w:cstheme="minorBidi"/>
              <w:noProof/>
              <w:lang w:val="en-US"/>
            </w:rPr>
          </w:pPr>
          <w:hyperlink w:anchor="_Toc238235966" w:history="1">
            <w:r w:rsidRPr="006E687D">
              <w:rPr>
                <w:rStyle w:val="Hyperlink"/>
                <w:noProof/>
              </w:rPr>
              <w:t>5. Conclusion</w:t>
            </w:r>
            <w:r>
              <w:rPr>
                <w:noProof/>
                <w:webHidden/>
              </w:rPr>
              <w:tab/>
            </w:r>
            <w:r>
              <w:rPr>
                <w:noProof/>
                <w:webHidden/>
              </w:rPr>
              <w:fldChar w:fldCharType="begin"/>
            </w:r>
            <w:r>
              <w:rPr>
                <w:noProof/>
                <w:webHidden/>
              </w:rPr>
              <w:instrText xml:space="preserve"> PAGEREF _Toc238235966 \h </w:instrText>
            </w:r>
            <w:r>
              <w:rPr>
                <w:noProof/>
                <w:webHidden/>
              </w:rPr>
            </w:r>
            <w:r>
              <w:rPr>
                <w:noProof/>
                <w:webHidden/>
              </w:rPr>
              <w:fldChar w:fldCharType="separate"/>
            </w:r>
            <w:r>
              <w:rPr>
                <w:noProof/>
                <w:webHidden/>
              </w:rPr>
              <w:t>9</w:t>
            </w:r>
            <w:r>
              <w:rPr>
                <w:noProof/>
                <w:webHidden/>
              </w:rPr>
              <w:fldChar w:fldCharType="end"/>
            </w:r>
          </w:hyperlink>
        </w:p>
        <w:p w14:paraId="66E8F1A5" w14:textId="637EB61E" w:rsidR="007B6C4E" w:rsidRDefault="007B6C4E">
          <w:pPr>
            <w:pStyle w:val="TOC1"/>
            <w:tabs>
              <w:tab w:val="right" w:leader="dot" w:pos="9350"/>
            </w:tabs>
            <w:rPr>
              <w:rFonts w:asciiTheme="minorHAnsi" w:eastAsiaTheme="minorEastAsia" w:hAnsiTheme="minorHAnsi" w:cstheme="minorBidi"/>
              <w:noProof/>
              <w:lang w:val="en-US"/>
            </w:rPr>
          </w:pPr>
          <w:hyperlink w:anchor="_Toc238235967" w:history="1">
            <w:r w:rsidRPr="006E687D">
              <w:rPr>
                <w:rStyle w:val="Hyperlink"/>
                <w:noProof/>
              </w:rPr>
              <w:t>6. Reference List</w:t>
            </w:r>
            <w:r>
              <w:rPr>
                <w:noProof/>
                <w:webHidden/>
              </w:rPr>
              <w:tab/>
            </w:r>
            <w:r>
              <w:rPr>
                <w:noProof/>
                <w:webHidden/>
              </w:rPr>
              <w:fldChar w:fldCharType="begin"/>
            </w:r>
            <w:r>
              <w:rPr>
                <w:noProof/>
                <w:webHidden/>
              </w:rPr>
              <w:instrText xml:space="preserve"> PAGEREF _Toc238235967 \h </w:instrText>
            </w:r>
            <w:r>
              <w:rPr>
                <w:noProof/>
                <w:webHidden/>
              </w:rPr>
            </w:r>
            <w:r>
              <w:rPr>
                <w:noProof/>
                <w:webHidden/>
              </w:rPr>
              <w:fldChar w:fldCharType="separate"/>
            </w:r>
            <w:r>
              <w:rPr>
                <w:noProof/>
                <w:webHidden/>
              </w:rPr>
              <w:t>11</w:t>
            </w:r>
            <w:r>
              <w:rPr>
                <w:noProof/>
                <w:webHidden/>
              </w:rPr>
              <w:fldChar w:fldCharType="end"/>
            </w:r>
          </w:hyperlink>
        </w:p>
        <w:p w14:paraId="60E6AA8A" w14:textId="118B22E2" w:rsidR="008A07D9" w:rsidRPr="00073D09" w:rsidRDefault="008A07D9" w:rsidP="00065C51">
          <w:r w:rsidRPr="00073D09">
            <w:fldChar w:fldCharType="end"/>
          </w:r>
        </w:p>
      </w:sdtContent>
    </w:sdt>
    <w:p w14:paraId="192FAF98" w14:textId="77777777" w:rsidR="006F5312" w:rsidRPr="00073D09" w:rsidRDefault="006F5312" w:rsidP="00065C51"/>
    <w:p w14:paraId="47402909" w14:textId="77777777" w:rsidR="006F5312" w:rsidRPr="00073D09" w:rsidRDefault="006F5312" w:rsidP="00065C51"/>
    <w:p w14:paraId="737064D2" w14:textId="77777777" w:rsidR="006F5312" w:rsidRPr="00073D09" w:rsidRDefault="006F5312" w:rsidP="00065C51"/>
    <w:p w14:paraId="4C665850" w14:textId="77777777" w:rsidR="006F5312" w:rsidRPr="00073D09" w:rsidRDefault="006F5312" w:rsidP="00065C51"/>
    <w:p w14:paraId="5906C62A" w14:textId="77777777" w:rsidR="006F5312" w:rsidRPr="00073D09" w:rsidRDefault="006F5312" w:rsidP="00065C51"/>
    <w:p w14:paraId="6858DF62" w14:textId="77777777" w:rsidR="006F5312" w:rsidRPr="00073D09" w:rsidRDefault="006F5312" w:rsidP="00065C51"/>
    <w:p w14:paraId="77C186FE" w14:textId="77777777" w:rsidR="006F5312" w:rsidRPr="00073D09" w:rsidRDefault="006F5312" w:rsidP="00065C51"/>
    <w:p w14:paraId="7195E3F2" w14:textId="77777777" w:rsidR="006F5312" w:rsidRPr="00073D09" w:rsidRDefault="006F5312" w:rsidP="00065C51"/>
    <w:p w14:paraId="7CD747CA" w14:textId="77777777" w:rsidR="006F5312" w:rsidRPr="00073D09" w:rsidRDefault="006F5312" w:rsidP="00065C51"/>
    <w:p w14:paraId="5012E446" w14:textId="77777777" w:rsidR="006F5312" w:rsidRPr="00073D09" w:rsidRDefault="006F5312" w:rsidP="00065C51"/>
    <w:p w14:paraId="59C6C3A8" w14:textId="77777777" w:rsidR="006F5312" w:rsidRPr="00073D09" w:rsidRDefault="006F5312" w:rsidP="00065C51"/>
    <w:p w14:paraId="55054464" w14:textId="77777777" w:rsidR="006F5312" w:rsidRPr="00073D09" w:rsidRDefault="006F5312" w:rsidP="00065C51"/>
    <w:p w14:paraId="58DDC1FA" w14:textId="77777777" w:rsidR="008A07D9" w:rsidRPr="00073D09" w:rsidRDefault="008A07D9" w:rsidP="00065C51"/>
    <w:p w14:paraId="49195CD2" w14:textId="77777777" w:rsidR="006F5312" w:rsidRPr="00073D09" w:rsidRDefault="006F5312" w:rsidP="00065C51"/>
    <w:p w14:paraId="47CA6AD7" w14:textId="77777777" w:rsidR="00483DAF" w:rsidRPr="00073D09" w:rsidRDefault="00483DAF" w:rsidP="00065C51">
      <w:pPr>
        <w:pStyle w:val="Heading1"/>
      </w:pPr>
      <w:bookmarkStart w:id="0" w:name="_Toc238235962"/>
      <w:r w:rsidRPr="00073D09">
        <w:t xml:space="preserve">1. </w:t>
      </w:r>
      <w:r w:rsidRPr="00073D09">
        <w:rPr>
          <w:rStyle w:val="Heading1Char"/>
          <w:rFonts w:cs="Arial"/>
          <w:b/>
        </w:rPr>
        <w:t>Introduction</w:t>
      </w:r>
      <w:bookmarkEnd w:id="0"/>
    </w:p>
    <w:p w14:paraId="21252481" w14:textId="77777777" w:rsidR="001653E4" w:rsidRPr="001653E4" w:rsidRDefault="001653E4" w:rsidP="00065C51">
      <w:r w:rsidRPr="001653E4">
        <w:t>Human resource management (HRM) plays a vital role in enhancing organisational success, since the knowledge, skills, and behaviours of workers influence the organisation's ability to meet its goals. Fundamental HR responsibilities encompass recruitment and selection, which ensure the organization acquires necessary competencies; training and development, which preserve employee skills and flexibility; performance management, which synchronises individual efforts with strategic goals; and employee relations, which foster positive interactions between staff and management. These roles have particular importance in international corporations, where HR managers are required to reconcile company objectives with varying national institutional and cultural contexts (Collings, Wood and Szamosi, 2019).</w:t>
      </w:r>
    </w:p>
    <w:p w14:paraId="28F62A5A" w14:textId="1235965C" w:rsidR="001653E4" w:rsidRPr="001653E4" w:rsidRDefault="001653E4" w:rsidP="00065C51">
      <w:r w:rsidRPr="001653E4">
        <w:t xml:space="preserve">Apple Inc. serves as a pertinent example due to its multinational operations and considerable global workforce. In 2025, Apple reported a workforce exceeding 150,000 individuals and revealed significant investments in artificial intelligence, silicon engineering, and the enhancement of workforce skills, with intentions to hire over 20,000 workers in the United States (Apple, 2025a; Apple, 2025b). These expenditures augment the strategic significance of HRM as Apple </w:t>
      </w:r>
      <w:proofErr w:type="gramStart"/>
      <w:r w:rsidRPr="001653E4">
        <w:t>has to</w:t>
      </w:r>
      <w:proofErr w:type="gramEnd"/>
      <w:r w:rsidRPr="001653E4">
        <w:t xml:space="preserve"> acquire specialised competencies while adapting to varying </w:t>
      </w:r>
      <w:r w:rsidR="007B6C4E" w:rsidRPr="001653E4">
        <w:t>labour</w:t>
      </w:r>
      <w:r w:rsidRPr="001653E4">
        <w:t>-market, legal, and cultural contexts in its global operations. Multinational corporations therefore encounter an ongoing conflict between global integration, which fosters uniformity and coordination, and local responsiveness, which allows for adaptability to the circumstances of the host country (Chung and Sparrow, 2024).</w:t>
      </w:r>
    </w:p>
    <w:p w14:paraId="142026A6" w14:textId="77777777" w:rsidR="001653E4" w:rsidRPr="001653E4" w:rsidRDefault="001653E4" w:rsidP="00065C51">
      <w:pPr>
        <w:rPr>
          <w:b/>
        </w:rPr>
      </w:pPr>
      <w:r w:rsidRPr="001653E4">
        <w:t xml:space="preserve">This document assesses the impact of internal and external environmental elements on the efficacy of HR managers at Apple. It first delineates the internal and external company landscape and </w:t>
      </w:r>
      <w:r w:rsidRPr="001653E4">
        <w:lastRenderedPageBreak/>
        <w:t xml:space="preserve">rigorously assesses the advantages and drawbacks of PESTLE analysis. The research then analyses Apple’s global human resources strategies before using PESTLE to evaluate its effects on recruiting, training and </w:t>
      </w:r>
      <w:r w:rsidRPr="00065C51">
        <w:t>development, performance management, and employee relations in various national environments. The conclusion examines the ramifications of persistent environmental alterations for human resource managers in international corporations.</w:t>
      </w:r>
    </w:p>
    <w:p w14:paraId="65C15D80" w14:textId="0BDF6486" w:rsidR="00483DAF" w:rsidRPr="00073D09" w:rsidRDefault="00483DAF" w:rsidP="00065C51">
      <w:pPr>
        <w:pStyle w:val="Heading1"/>
      </w:pPr>
      <w:bookmarkStart w:id="1" w:name="_Toc238235963"/>
      <w:r w:rsidRPr="00073D09">
        <w:t>2. Internal and External Environment</w:t>
      </w:r>
      <w:bookmarkEnd w:id="1"/>
    </w:p>
    <w:p w14:paraId="694ECA64" w14:textId="77777777" w:rsidR="00065C51" w:rsidRPr="00065C51" w:rsidRDefault="00065C51" w:rsidP="00065C51">
      <w:r w:rsidRPr="00065C51">
        <w:t>The business landscape consists of internal and external elements that influence organisational choices, performance, and the efficacy of human resource management (HRM). Internal elements emerge from inside the organization and include organisational culture, leadership, structure, financial and technology assets, staff competencies, and strategic objectives. While managers may have more direct control over these characteristics than external circumstances, deficiencies in leadership, skills, or resources may limit an organization's ability to adapt successfully to environmental changes. External elements arise from outside the organization and include political, economic, social, technical, legal, and environmental changes. For multinational corporations (MNCs), such circumstances vary across national environments, necessitating HR managers to reconcile global organisational goals with local employee requirements.</w:t>
      </w:r>
    </w:p>
    <w:p w14:paraId="0EB73AB8" w14:textId="77777777" w:rsidR="00065C51" w:rsidRPr="00065C51" w:rsidRDefault="00065C51" w:rsidP="00065C51">
      <w:r w:rsidRPr="00065C51">
        <w:t>PESTLE is a framework for macro-environmental analysis that examines the Political, Economic, Social, Technological, Legal, and Environmental factors affecting an organization. It is beneficial since it offers an organised approach to recognising external changes that might provide opportunities, threats, or strategic challenges. This helps managers avoid focussing primarily on internal processes while making judgements (Yüksel, 2012). PESTLE may therefore facilitate proactive workforce planning by highlighting trends that might influence future skill requirements, employee anticipations, or employment methodologies. Nonetheless, it must not to be regarded as a forecasting instrument: external circumstances may fluctuate swiftly, relevant information may be lacking, and the framework does not inherently determine the significance of each element (CIPD, 2025).</w:t>
      </w:r>
    </w:p>
    <w:p w14:paraId="265456E6" w14:textId="77777777" w:rsidR="00065C51" w:rsidRPr="00065C51" w:rsidRDefault="00065C51" w:rsidP="00065C51">
      <w:r w:rsidRPr="00065C51">
        <w:t xml:space="preserve">The concept is distinctly pertinent to fundamental HR operations. Political and legal advancements shape immigration regulations, employment entitlements, working hours stipulations, and labour relations frameworks, impacting hiring practices, employee interactions, and performance </w:t>
      </w:r>
      <w:r w:rsidRPr="00065C51">
        <w:lastRenderedPageBreak/>
        <w:t>oversight. Economic circumstances affect workforce availability, salary anticipations, inflation rates, and staff retention. Societal elements, including as demographic shifts, cultural norms, and the need for flexible employment, may influence employee involvement, diversity initiatives, and managerial approaches. Technological advancement may modify employment structures and need specialised hiring, retraining, and professional growth. Ecological challenges may impact human resource management by heightening the need for sustainability-oriented skills and shaping workers' anticipations about corporate accountability.</w:t>
      </w:r>
    </w:p>
    <w:p w14:paraId="0C9675EC" w14:textId="77777777" w:rsidR="00065C51" w:rsidRPr="00065C51" w:rsidRDefault="00065C51" w:rsidP="00065C51">
      <w:r w:rsidRPr="00065C51">
        <w:t xml:space="preserve">Notwithstanding these advantages, PESTLE has significant constraints. It primarily delineates external circumstances and fails to articulate how an organization ought to react to them. Technological advancements may indicate a deficiency in skills; nevertheless, PESTLE analysis alone cannot ascertain whether HR need to hire specialised personnel, enhance current workers' capabilities, restructure roles, or outsource functions. The determination is contingent upon internal competencies, accessible resources, organisational ethos, and strategic imperatives. Moreover, PESTLE categories may </w:t>
      </w:r>
      <w:proofErr w:type="gramStart"/>
      <w:r w:rsidRPr="00065C51">
        <w:t>intersect:</w:t>
      </w:r>
      <w:proofErr w:type="gramEnd"/>
      <w:r w:rsidRPr="00065C51">
        <w:t xml:space="preserve"> political actions may lead to legal modifications, whilst economic forces might affect societal norms. Addressing elements in isolation may lead to an oversimplified understanding of the environment (Yüksel, 2012).</w:t>
      </w:r>
    </w:p>
    <w:p w14:paraId="34CAECA8" w14:textId="03369357" w:rsidR="006F5312" w:rsidRPr="00073D09" w:rsidRDefault="00065C51" w:rsidP="00065C51">
      <w:r w:rsidRPr="00065C51">
        <w:t xml:space="preserve">Thus, HR managers need to use PESTLE as an initial framework for environmental analysis instead of a comprehensive decision-making tool. </w:t>
      </w:r>
      <w:proofErr w:type="spellStart"/>
      <w:r w:rsidRPr="00065C51">
        <w:t>Its</w:t>
      </w:r>
      <w:proofErr w:type="spellEnd"/>
      <w:r w:rsidRPr="00065C51">
        <w:t xml:space="preserve"> worth escalates when foreign data is assessed in conjunction with internal evaluations and nation-specific labour insights. Research in International Human Resource Management indicates that the HR policies impacting local employees are influenced by intricate interactions among domestic workers, expatriates, and global HR strategies (Cooke et al., 2022). Consequently, a proficient HR response necessitates managerial discernment: managers should emphasise the most critical environmental influences and modify recruiting, training, performance management, and employee relations strategies to align with organisational competencies and the country context.</w:t>
      </w:r>
    </w:p>
    <w:p w14:paraId="14971190" w14:textId="77777777" w:rsidR="00483DAF" w:rsidRPr="00073D09" w:rsidRDefault="00483DAF" w:rsidP="00065C51">
      <w:pPr>
        <w:pStyle w:val="Heading1"/>
      </w:pPr>
      <w:bookmarkStart w:id="2" w:name="_Toc238235964"/>
      <w:r w:rsidRPr="00073D09">
        <w:t>3. Organisation Application</w:t>
      </w:r>
      <w:bookmarkEnd w:id="2"/>
    </w:p>
    <w:p w14:paraId="0CE56D1E" w14:textId="77777777" w:rsidR="00B530E4" w:rsidRPr="00B530E4" w:rsidRDefault="00B530E4" w:rsidP="00B530E4">
      <w:r w:rsidRPr="00B530E4">
        <w:t xml:space="preserve">Apple Inc. is a global technology corporation based in the United States that develops and sells smartphones, personal computers, tablets, wearables, accessories, and associated services. The company's offerings include the iPhone, Mac, iPad, and Apple Watch, with services such as the </w:t>
      </w:r>
      <w:r w:rsidRPr="00B530E4">
        <w:lastRenderedPageBreak/>
        <w:t>App Store, Apple Music, iCloud, and Apple TV. Apple's worldwide reach is shown by its workforce of almost 166,000 full-time equivalent workers as of September 2025, in addition to its operations and sales in foreign markets (Apple, 2025a). This framework renders HRM strategically significant since the organization has to acquire, develop, and preserve competencies while functioning in varied labour markets and institutional environments.</w:t>
      </w:r>
    </w:p>
    <w:p w14:paraId="5897E1DA" w14:textId="77777777" w:rsidR="00B530E4" w:rsidRPr="00B530E4" w:rsidRDefault="00B530E4" w:rsidP="00B530E4">
      <w:r w:rsidRPr="00B530E4">
        <w:t>The recruitment process is especially crucial as Apple amplifies its technology investments in domains like artificial intelligence (AI), software engineering, and semiconductor design. In 2025, Apple revealed intentions to recruit around 20,000 personnel in the United States, mostly for positions in research and development, silicon engineering, software development, artificial intelligence, and machine learning (Apple, 2025b). This suggests that HR managers need to integrate external hiring with strategic workforce planning to meet the need for limited technical skills.</w:t>
      </w:r>
    </w:p>
    <w:p w14:paraId="55C04CC0" w14:textId="77777777" w:rsidR="00B530E4" w:rsidRPr="00B530E4" w:rsidRDefault="00B530E4" w:rsidP="00B530E4">
      <w:r w:rsidRPr="00B530E4">
        <w:t>Training and development are essential as technology advancements alter the knowledge and skills needed within the organization and its broader supply chain. For instance, Apple’s Manufacturing Academy in Detroit provides courses in artificial intelligence, machine learning, automation, and manufacturing data, demonstrating how talent enhancement may bolster advanced manufacturing strategies (Apple, 2025c). Performance management should synchronise the efforts of specialised personnel with innovation, product excellence, and organisational goals. Simultaneously, employee relations should facilitate equitable treatment, effective communication, and adherence to diverse employment regulations and workplace norms across several nations.</w:t>
      </w:r>
    </w:p>
    <w:p w14:paraId="1266D4AF" w14:textId="77777777" w:rsidR="00B530E4" w:rsidRDefault="00B530E4" w:rsidP="00B530E4">
      <w:pPr>
        <w:rPr>
          <w:b/>
        </w:rPr>
      </w:pPr>
      <w:r w:rsidRPr="00B530E4">
        <w:t>Apple has a crucial worldwide HRM dilemma: ensuring enough global uniformity to bolster its organisational identity and strategy while tailoring procedures to the realities of host countries. Employees in the host nation could perceive HR policies differently due to the variations in local institutional frameworks, workforce characteristics, and interactions with expatriate staff across subsidiaries (Cooke et al., 2022). Apple's human resources managers are thus expected to be most proficient when universal concepts inform their practices, but particular HR procedures are tailored to the relevant country environment.</w:t>
      </w:r>
    </w:p>
    <w:p w14:paraId="2BFAC922" w14:textId="494FB886" w:rsidR="00483DAF" w:rsidRPr="00073D09" w:rsidRDefault="00483DAF" w:rsidP="00B530E4">
      <w:pPr>
        <w:pStyle w:val="Heading1"/>
      </w:pPr>
      <w:bookmarkStart w:id="3" w:name="_Toc238235965"/>
      <w:r w:rsidRPr="00073D09">
        <w:lastRenderedPageBreak/>
        <w:t>4. Application of the PESTLE Model</w:t>
      </w:r>
      <w:bookmarkEnd w:id="3"/>
    </w:p>
    <w:p w14:paraId="1F80E680" w14:textId="77777777" w:rsidR="00843DAA" w:rsidRPr="00843DAA" w:rsidRDefault="00843DAA" w:rsidP="00843DAA">
      <w:r w:rsidRPr="00843DAA">
        <w:t>Utilising PESTLE analysis on Apple reveals that external environmental factors affect the substance of HR practices and the ability of HR managers to execute them proficiently. Their impacts are not instantaneous, since Apple’s assets, corporate culture, leadership, and strategic objectives influence its reactions. This illustrates the primary difficulty in international human resource management of attaining global cohesion while being attuned to local circumstances (Chung and Sparrow, 2024).</w:t>
      </w:r>
    </w:p>
    <w:p w14:paraId="2F177645" w14:textId="77777777" w:rsidR="00843DAA" w:rsidRPr="00843DAA" w:rsidRDefault="00843DAA" w:rsidP="00843DAA">
      <w:r w:rsidRPr="00843DAA">
        <w:t>Political elements influence human resource management via governmental regulations, international interactions, and political stability. For Apple, modifications in trade relations, industrial policy, or limitations on global mobility might influence investment choices, operational locations, and labour strategies. Political instability might enhance the significance of hiring and retaining local personnel who comprehend the institutional landscape of the host nation. Nevertheless, HR managers lack the ability to influence political occurrences; their efficacy is contingent upon environmental analysis, scenario forecasting, and adaptable hiring or reassignment tactics. This exemplifies a constraint of PESTLE: recognising a political risk does not inherently dictate the appropriate HR reaction.</w:t>
      </w:r>
    </w:p>
    <w:p w14:paraId="322110A1" w14:textId="77777777" w:rsidR="00843DAA" w:rsidRPr="00843DAA" w:rsidRDefault="00843DAA" w:rsidP="00843DAA">
      <w:r w:rsidRPr="00843DAA">
        <w:t>Economic variables affect the accessibility and expense of labour, salary anticipations, and staff retention. Apple's need for technical and engineering expertise suggests that labour market dynamics may vary significantly across the United States, China, and India. A universally standardised compensation framework might enhance uniformity and apparent equity; nevertheless, it would struggle to recruit or retain personnel in contexts where salaries, inflation, cost of living, and talent rivalry vary. On the other hand, significant local adaptation could enhance competitiveness while simultaneously introducing administrative intricacies and diminishing internal coherence. Employees in the host country need not to be seen as a homogeneous entity, since their experiences and reactions to multinational HR practices are influenced by their own local setting (Cooke et al., 2022). HR managers should therefore use local labour market data when establishing compensation, recruiting, and retention strategies.</w:t>
      </w:r>
    </w:p>
    <w:p w14:paraId="3987C8FB" w14:textId="77777777" w:rsidR="00843DAA" w:rsidRPr="00843DAA" w:rsidRDefault="00843DAA" w:rsidP="00843DAA">
      <w:r w:rsidRPr="00843DAA">
        <w:t xml:space="preserve">Social determinants, especially cultural conventions and labour anticipations, impact communication, leadership, training, performance evaluation, and employee relations. Fuchs, </w:t>
      </w:r>
      <w:r w:rsidRPr="00843DAA">
        <w:lastRenderedPageBreak/>
        <w:t>Wiemann, and Wiemann (2024) demonstrate that culturally sensitivity in expatriate HR managers is crucial for training methodologies in subsidiaries, supported by findings from India, China, and Mexico. In a similar vein, Song (2022) discovers that experts in host countries and cross-cultural training may enhance cooperation inside culturally varied multinational corporations. Apple need to equip managers with cultural competence and engage local HR experts when modifying communication, feedback, and educational strategies. Nonetheless, culture must not to serve as a reductionist rationale for all country disparities; legislative frameworks, organisational architectures, and labour market circumstances may equally affect employee reactions.</w:t>
      </w:r>
    </w:p>
    <w:p w14:paraId="29360C84" w14:textId="77777777" w:rsidR="00843DAA" w:rsidRPr="00843DAA" w:rsidRDefault="00843DAA" w:rsidP="00843DAA">
      <w:r w:rsidRPr="00843DAA">
        <w:t xml:space="preserve">Technological elements hold particular importance since innovation is fundamental to Apple's business strategy. The 2025 investment strategies in AI, machine learning, software development, and silicon engineering heighten the need for specialised skills and might lead to shortages in competitive labour markets (Apple, 2025b). Human Resources managers may address this via strategic hiring, succession strategies, and skill enhancement; nevertheless, the efficacy depends on Apple's available development resources and the accessibility of relevant educational programs for workers. Apple's Manufacturing Academy, which </w:t>
      </w:r>
      <w:proofErr w:type="gramStart"/>
      <w:r w:rsidRPr="00843DAA">
        <w:t>offers assistance</w:t>
      </w:r>
      <w:proofErr w:type="gramEnd"/>
      <w:r w:rsidRPr="00843DAA">
        <w:t xml:space="preserve"> in domains such as AI, machine learning, automation, and manufacturing data, exemplifies a method that connects worker development with technical strategy (Apple, 2025c). Digitalisation may assist multinational corporations in achieving global coordination while addressing local needs, yet its advantages are contingent upon organisational resources and the characteristics of the host country (Du et al., 2024).</w:t>
      </w:r>
    </w:p>
    <w:p w14:paraId="198AFACC" w14:textId="77777777" w:rsidR="00843DAA" w:rsidRPr="00843DAA" w:rsidRDefault="00843DAA" w:rsidP="00843DAA">
      <w:r w:rsidRPr="00843DAA">
        <w:t xml:space="preserve">Legal elements engender significant disparities at the national level. Employment entitlements, regulations on working hours, data privacy responsibilities, employee advocacy, and labour relations frameworks may constrain the direct transference of HR practices from Apple’s headquarters in the United States to its international branches. </w:t>
      </w:r>
      <w:proofErr w:type="spellStart"/>
      <w:r w:rsidRPr="00843DAA">
        <w:t>Outila</w:t>
      </w:r>
      <w:proofErr w:type="spellEnd"/>
      <w:r w:rsidRPr="00843DAA">
        <w:t xml:space="preserve"> and Fey (2022) illustrate that performance-management strategies imported from multinational parent companies may clash with the institutional norms of the host country. Apple need to maintain fundamental ideas, such as goal establishment and equitable treatment, while modifying procedures—including feedback mechanisms, documentation, and employee engagement—to comply with local regulatory standards. Legal compliance transcends a mere administrative function: it influences the legitimacy, coherence, and operational efficacy of HR choices.</w:t>
      </w:r>
    </w:p>
    <w:p w14:paraId="03C42B98" w14:textId="77777777" w:rsidR="00843DAA" w:rsidRPr="00843DAA" w:rsidRDefault="00843DAA" w:rsidP="00843DAA">
      <w:r w:rsidRPr="00843DAA">
        <w:lastRenderedPageBreak/>
        <w:t>Environmental factors are progressively impacting recruiting, training, employee involvement, and employment dynamics. Apple's supply-chain strategy illustrates this link: it mandates that supplier personnel undergo training on labour rights and documents responsible recruiting training for supplier staff and labour agents across several nations (Apple, 2025d). Although this information pertains to suppliers instead than Apple's own employees, it illustrates that global labour practices are influenced by environmental, ethical, and human rights standards. Human resource managers may convert sustainability goals into job structuring, skill enhancement, and workforce involvement. Sustainable HRM necessitates that managers harmonise environmental obligations with economic outcomes and employee welfare, instead of seeing sustainability as an isolated endeavour (</w:t>
      </w:r>
      <w:proofErr w:type="spellStart"/>
      <w:r w:rsidRPr="00843DAA">
        <w:t>Bornay-Barrachina</w:t>
      </w:r>
      <w:proofErr w:type="spellEnd"/>
      <w:r w:rsidRPr="00843DAA">
        <w:t xml:space="preserve"> et al., 2023; Ren et al., 2023).</w:t>
      </w:r>
    </w:p>
    <w:p w14:paraId="7874E436" w14:textId="77777777" w:rsidR="00843DAA" w:rsidRDefault="00843DAA" w:rsidP="00843DAA">
      <w:pPr>
        <w:rPr>
          <w:b/>
        </w:rPr>
      </w:pPr>
      <w:r w:rsidRPr="00843DAA">
        <w:t>In summary, variations within countries indicate that Apple cannot presume a uniform HR strategy would provide the same effectiveness universally. Global standardising may facilitate coordination, uniform values, and organisational identity, while local adaption can improve legal adherence, workforce legitimacy, and labour market competitiveness. Overzealous standardising may overlook national circumstances, while excessive localisation might disrupt organisational coherence. Apple's human resources managers are expected to be most proficient when using PESTLE to discern country-specific influences, uphold global strategic tenets, and tailor specific HR practices to local political, economic, social, technical, legal, and environmental contexts. This equitable strategy demonstrates that multinational enterprises may simultaneously seek integration and responsiveness via intentionally designed human resource strategies (Chung and Sparrow, 2024).</w:t>
      </w:r>
    </w:p>
    <w:p w14:paraId="65E21796" w14:textId="7C94EDD4" w:rsidR="00483DAF" w:rsidRPr="00073D09" w:rsidRDefault="00483DAF" w:rsidP="00843DAA">
      <w:pPr>
        <w:pStyle w:val="Heading1"/>
      </w:pPr>
      <w:bookmarkStart w:id="4" w:name="_Toc238235966"/>
      <w:r w:rsidRPr="00073D09">
        <w:t>5. Conclusion</w:t>
      </w:r>
      <w:bookmarkEnd w:id="4"/>
    </w:p>
    <w:p w14:paraId="45ACE6E5" w14:textId="1D2A13B7" w:rsidR="00A96683" w:rsidRDefault="00A96683" w:rsidP="00A96683">
      <w:r>
        <w:t xml:space="preserve">This report has proven that ecological variables may significantly affect the efficacy of HR managers in global enterprises. PESTLE offers a valuable structure for recognising political, economic, social, technical, legal, and environmental influences that impact recruiting and selection, training and development, performance management, and employee relations. Nonetheless, the examination indicates that PESTLE is not an exhaustive decision-making instrument. While it can detect external threats and prospects, it </w:t>
      </w:r>
      <w:r w:rsidR="007B6C4E">
        <w:t>cannot</w:t>
      </w:r>
      <w:r>
        <w:t xml:space="preserve"> ascertain the most suitable HR reaction. Human Resources managers are required to assess external insights in conjunction </w:t>
      </w:r>
      <w:r>
        <w:lastRenderedPageBreak/>
        <w:t>with internal elements such as organisational culture, leadership, resources, personnel competencies, and strategic objectives.</w:t>
      </w:r>
    </w:p>
    <w:p w14:paraId="1522A690" w14:textId="77777777" w:rsidR="00A96683" w:rsidRDefault="00A96683" w:rsidP="00A96683">
      <w:r>
        <w:t xml:space="preserve">The submission to Apple demonstrates the significance of this integrated methodology. Apple's global endeavours and investments in artificial intelligence, software engineering, and silicon technology heighten its need for specialised expertise, strategic workforce management, and ongoing staff training. Simultaneously, variations in national labour markets, regulatory stipulations, employee anticipations, and cultural standards indicate that HR methodologies cannot be used uniformly across different regions. Studies suggest that intercultural sensitivity enhances training inside multinational subsidiaries, although performance-management methods could clash with the institutional norms of the host country if implemented without modification (Fuchs, Wiemann and Wiemann, 2024; </w:t>
      </w:r>
      <w:proofErr w:type="spellStart"/>
      <w:r>
        <w:t>Outila</w:t>
      </w:r>
      <w:proofErr w:type="spellEnd"/>
      <w:r>
        <w:t xml:space="preserve"> and Fey, 2022).</w:t>
      </w:r>
    </w:p>
    <w:p w14:paraId="60A9BF28" w14:textId="6D5C927D" w:rsidR="006F5312" w:rsidRPr="00073D09" w:rsidRDefault="00A96683" w:rsidP="00A96683">
      <w:r>
        <w:t>Anticipating the future, advancements in technology, the rivalry for specialised personnel, sustainability demands, and changing employment regulations will persist in influencing the responsibilities of HR managers. For Apple, the optimal strategy is between total worldwide uniformity and absolute localisation. HR managers need to uphold universally consistent principles about organisational goals, equitable treatment, and performance, while tailoring particular methods to the local political, economic, social, and legal contexts. This methodology allows HRM to bolster Apple’s strategic goals while ensuring legitimacy and efficiency across its global operations (Chung and Sparrow, 2024).</w:t>
      </w:r>
    </w:p>
    <w:p w14:paraId="76C04C7F" w14:textId="77777777" w:rsidR="006F5312" w:rsidRPr="00073D09" w:rsidRDefault="006F5312" w:rsidP="00065C51"/>
    <w:p w14:paraId="56F23078" w14:textId="77777777" w:rsidR="006F5312" w:rsidRPr="00073D09" w:rsidRDefault="006F5312" w:rsidP="00065C51"/>
    <w:p w14:paraId="46BA8B81" w14:textId="77777777" w:rsidR="006F5312" w:rsidRPr="00073D09" w:rsidRDefault="006F5312" w:rsidP="00065C51"/>
    <w:p w14:paraId="5A4A1709" w14:textId="77777777" w:rsidR="00A96683" w:rsidRDefault="00A96683">
      <w:pPr>
        <w:spacing w:line="278" w:lineRule="auto"/>
        <w:jc w:val="left"/>
        <w:rPr>
          <w:rFonts w:ascii="Arial" w:eastAsiaTheme="majorEastAsia" w:hAnsi="Arial" w:cstheme="majorBidi"/>
          <w:b/>
          <w:sz w:val="28"/>
          <w:szCs w:val="40"/>
        </w:rPr>
      </w:pPr>
      <w:r>
        <w:br w:type="page"/>
      </w:r>
    </w:p>
    <w:p w14:paraId="7F06979D" w14:textId="22BD7BFB" w:rsidR="00483DAF" w:rsidRPr="00073D09" w:rsidRDefault="006F5312" w:rsidP="00065C51">
      <w:pPr>
        <w:pStyle w:val="Heading1"/>
      </w:pPr>
      <w:bookmarkStart w:id="5" w:name="_Toc238235967"/>
      <w:r w:rsidRPr="00073D09">
        <w:lastRenderedPageBreak/>
        <w:t xml:space="preserve">6. </w:t>
      </w:r>
      <w:r w:rsidR="00483DAF" w:rsidRPr="00073D09">
        <w:t>Reference List</w:t>
      </w:r>
      <w:bookmarkEnd w:id="5"/>
    </w:p>
    <w:p w14:paraId="3F4F74D0" w14:textId="77777777" w:rsidR="00C02DD3" w:rsidRPr="00073D09" w:rsidRDefault="00C02DD3" w:rsidP="00065C51">
      <w:r w:rsidRPr="00073D09">
        <w:t xml:space="preserve">Apple (2025a) </w:t>
      </w:r>
      <w:r w:rsidRPr="00073D09">
        <w:rPr>
          <w:i/>
          <w:iCs/>
        </w:rPr>
        <w:t>Form 10-K: Annual report for the fiscal year ended 27 September 2025</w:t>
      </w:r>
      <w:r w:rsidRPr="00073D09">
        <w:t>. Available at: https://www.sec.gov/Archives/edgar/data/320193/000032019325000079/aapl-20250927.htm (Accessed: 20 August 2026).</w:t>
      </w:r>
    </w:p>
    <w:p w14:paraId="66411578" w14:textId="77777777" w:rsidR="00C02DD3" w:rsidRPr="00073D09" w:rsidRDefault="00C02DD3" w:rsidP="00065C51">
      <w:r w:rsidRPr="00073D09">
        <w:t xml:space="preserve">Apple (2025b) ‘Apple will spend more than $500 billion in the U.S. over the next four years’, </w:t>
      </w:r>
      <w:r w:rsidRPr="00073D09">
        <w:rPr>
          <w:i/>
          <w:iCs/>
        </w:rPr>
        <w:t>Apple Newsroom</w:t>
      </w:r>
      <w:r w:rsidRPr="00073D09">
        <w:t>, 24 February. Available at: https://www.apple.com/newsroom/2025/02/apple-will-spend-more-than-500-billion-usd-in-the-us-over-the-next-four-years/ (Accessed: 20 August 2026).</w:t>
      </w:r>
    </w:p>
    <w:p w14:paraId="2E126596" w14:textId="22337F6F" w:rsidR="00C02DD3" w:rsidRPr="00073D09" w:rsidRDefault="00C02DD3" w:rsidP="00065C51">
      <w:r w:rsidRPr="00073D09">
        <w:t xml:space="preserve">Apple (2025c) ‘Apple Manufacturing Academy opens in Detroit on August 19’, </w:t>
      </w:r>
      <w:r w:rsidRPr="00073D09">
        <w:rPr>
          <w:i/>
          <w:iCs/>
        </w:rPr>
        <w:t>Apple Newsroom</w:t>
      </w:r>
      <w:r w:rsidRPr="00073D09">
        <w:t>, 29 July. Available at: https://www.apple.com/newsroom/2025/07/apple-manufacturing-academy-opens-in-detroit-on-august-19/ (Accessed: 20 August 2026).</w:t>
      </w:r>
    </w:p>
    <w:p w14:paraId="12CFE531" w14:textId="77777777" w:rsidR="00C02DD3" w:rsidRPr="00073D09" w:rsidRDefault="00C02DD3" w:rsidP="00065C51">
      <w:r w:rsidRPr="00073D09">
        <w:t xml:space="preserve">Apple (2025d) </w:t>
      </w:r>
      <w:r w:rsidRPr="00073D09">
        <w:rPr>
          <w:i/>
          <w:iCs/>
        </w:rPr>
        <w:t>People and Environment in Our Supply Chain: 2025 Progress Report</w:t>
      </w:r>
      <w:r w:rsidRPr="00073D09">
        <w:t>. Available at: https://www.supplychainreports.apple/home/default.aspx (Accessed: 20 August 2026).</w:t>
      </w:r>
    </w:p>
    <w:p w14:paraId="4C983708" w14:textId="77777777" w:rsidR="00C02DD3" w:rsidRPr="00073D09" w:rsidRDefault="00C02DD3" w:rsidP="00065C51">
      <w:proofErr w:type="spellStart"/>
      <w:r w:rsidRPr="00073D09">
        <w:t>Bornay-Barrachina</w:t>
      </w:r>
      <w:proofErr w:type="spellEnd"/>
      <w:r w:rsidRPr="00073D09">
        <w:t xml:space="preserve">, M., Guerrero-Villegas, J., López-Fernández, M. and Ruiz-Rodríguez, M. (2023) ‘Pressures for sustainability and strategic responses on employment relationships: The role of the HR manager’, </w:t>
      </w:r>
      <w:r w:rsidRPr="00073D09">
        <w:rPr>
          <w:i/>
          <w:iCs/>
        </w:rPr>
        <w:t>European Research on Management and Business Economics</w:t>
      </w:r>
      <w:r w:rsidRPr="00073D09">
        <w:t>, 29(2), pp. 86–96.</w:t>
      </w:r>
    </w:p>
    <w:p w14:paraId="06840A85" w14:textId="77777777" w:rsidR="00C02DD3" w:rsidRPr="00073D09" w:rsidRDefault="00C02DD3" w:rsidP="00065C51">
      <w:r w:rsidRPr="00073D09">
        <w:t xml:space="preserve">Chung, C. and Sparrow, P. (2024) ‘Exploring the configuration of international HRM strategies for global integration and local responsiveness in MNEs’, </w:t>
      </w:r>
      <w:r w:rsidRPr="00073D09">
        <w:rPr>
          <w:i/>
          <w:iCs/>
        </w:rPr>
        <w:t>The International Journal of Human Resource Management</w:t>
      </w:r>
      <w:r w:rsidRPr="00073D09">
        <w:t>, 35(11), pp. 1943–1969.</w:t>
      </w:r>
    </w:p>
    <w:p w14:paraId="12945747" w14:textId="289B7487" w:rsidR="00C02DD3" w:rsidRPr="00073D09" w:rsidRDefault="00C02DD3" w:rsidP="00065C51">
      <w:r w:rsidRPr="00073D09">
        <w:t>CIPD (2025) ‘PESTLE analysis’. Available at: https://www.cipd.org/en/knowledge/factsheets/pestle-analysis-factsheet/ (Accessed: 20 August 2026).</w:t>
      </w:r>
    </w:p>
    <w:p w14:paraId="5FE4F2CB" w14:textId="77777777" w:rsidR="00C02DD3" w:rsidRPr="00073D09" w:rsidRDefault="00C02DD3" w:rsidP="00065C51">
      <w:r w:rsidRPr="00073D09">
        <w:t xml:space="preserve">Collings, D.G., Wood, G.T. and Szamosi, L.T. (eds.) (2019) </w:t>
      </w:r>
      <w:r w:rsidRPr="00073D09">
        <w:rPr>
          <w:i/>
          <w:iCs/>
        </w:rPr>
        <w:t>Human Resource Management: A Critical Approach</w:t>
      </w:r>
      <w:r w:rsidRPr="00073D09">
        <w:t>. 2nd edn. London: Routledge.</w:t>
      </w:r>
    </w:p>
    <w:p w14:paraId="6D4331D5" w14:textId="54C1B70E" w:rsidR="00C02DD3" w:rsidRPr="00073D09" w:rsidRDefault="00C02DD3" w:rsidP="00065C51">
      <w:r w:rsidRPr="00073D09">
        <w:lastRenderedPageBreak/>
        <w:t xml:space="preserve">Cooke, F.L., Veen, A., Wood, G. and He, Q. (2022) ‘Research on host-country nationals in multinational enterprises: The last five decades and ways forward’, </w:t>
      </w:r>
      <w:r w:rsidRPr="00073D09">
        <w:rPr>
          <w:i/>
          <w:iCs/>
        </w:rPr>
        <w:t>Journal of World Business</w:t>
      </w:r>
      <w:r w:rsidRPr="00073D09">
        <w:t>, 58(1), article 101383.</w:t>
      </w:r>
    </w:p>
    <w:p w14:paraId="45DB9B49" w14:textId="77777777" w:rsidR="00C02DD3" w:rsidRPr="00073D09" w:rsidRDefault="00C02DD3" w:rsidP="00065C51">
      <w:r w:rsidRPr="00073D09">
        <w:t xml:space="preserve">Du, X., Qi, Q., Li, Z. and Tang, C. (2024) ‘Can digitalisation balance the dual pressures of global integration and local response?’, </w:t>
      </w:r>
      <w:r w:rsidRPr="00073D09">
        <w:rPr>
          <w:i/>
          <w:iCs/>
        </w:rPr>
        <w:t>Technology Analysis &amp; Strategic Management</w:t>
      </w:r>
      <w:r w:rsidRPr="00073D09">
        <w:t>, 37(12), pp. 2639–2654.</w:t>
      </w:r>
    </w:p>
    <w:p w14:paraId="14E1105F" w14:textId="77777777" w:rsidR="00C02DD3" w:rsidRPr="00073D09" w:rsidRDefault="00C02DD3" w:rsidP="00065C51">
      <w:r w:rsidRPr="00073D09">
        <w:t xml:space="preserve">Fuchs, M., Wiemann, J. and Wiemann, K. (2024) ‘Intercultural sensitivity of expatriate human resource managers towards training practices in their host countries’, </w:t>
      </w:r>
      <w:r w:rsidRPr="00073D09">
        <w:rPr>
          <w:i/>
          <w:iCs/>
        </w:rPr>
        <w:t>Human Resource Development International</w:t>
      </w:r>
      <w:r w:rsidRPr="00073D09">
        <w:t>, 27(1).</w:t>
      </w:r>
    </w:p>
    <w:p w14:paraId="193DBF9E" w14:textId="77777777" w:rsidR="00C02DD3" w:rsidRPr="00073D09" w:rsidRDefault="00C02DD3" w:rsidP="00065C51">
      <w:proofErr w:type="spellStart"/>
      <w:r w:rsidRPr="00073D09">
        <w:t>Outila</w:t>
      </w:r>
      <w:proofErr w:type="spellEnd"/>
      <w:r w:rsidRPr="00073D09">
        <w:t xml:space="preserve">, V. and Fey, C.F. (2022) ‘“We have performance appraisal every day and every hour”: Transferring performance management to Russia’, </w:t>
      </w:r>
      <w:r w:rsidRPr="00073D09">
        <w:rPr>
          <w:i/>
          <w:iCs/>
        </w:rPr>
        <w:t>Journal of International Management</w:t>
      </w:r>
      <w:r w:rsidRPr="00073D09">
        <w:t>, 28(2), article 100901.</w:t>
      </w:r>
    </w:p>
    <w:p w14:paraId="70ECBF3A" w14:textId="77777777" w:rsidR="00C02DD3" w:rsidRPr="00073D09" w:rsidRDefault="00C02DD3" w:rsidP="00065C51">
      <w:r w:rsidRPr="00073D09">
        <w:t xml:space="preserve">Ren, S., Cooke, F.L., Stahl, G.K., Fan, D. and Timming, A.R. (2023) ‘Advancing the sustainability agenda through strategic human resource management: Insights and suggestions for future research’, </w:t>
      </w:r>
      <w:r w:rsidRPr="00073D09">
        <w:rPr>
          <w:i/>
          <w:iCs/>
        </w:rPr>
        <w:t>Human Resource Management</w:t>
      </w:r>
      <w:r w:rsidRPr="00073D09">
        <w:t>, 62(3), pp. 251–265.</w:t>
      </w:r>
    </w:p>
    <w:p w14:paraId="45710211" w14:textId="77777777" w:rsidR="00C02DD3" w:rsidRPr="00073D09" w:rsidRDefault="00C02DD3" w:rsidP="00065C51">
      <w:r w:rsidRPr="00073D09">
        <w:t xml:space="preserve">Song, S. (2022) ‘Cultural diversification, human resource-based coordination, and downside risks of </w:t>
      </w:r>
      <w:proofErr w:type="spellStart"/>
      <w:r w:rsidRPr="00073D09">
        <w:t>multinationality</w:t>
      </w:r>
      <w:proofErr w:type="spellEnd"/>
      <w:r w:rsidRPr="00073D09">
        <w:t xml:space="preserve">’, </w:t>
      </w:r>
      <w:r w:rsidRPr="00073D09">
        <w:rPr>
          <w:i/>
          <w:iCs/>
        </w:rPr>
        <w:t>Journal of Business Research</w:t>
      </w:r>
      <w:r w:rsidRPr="00073D09">
        <w:t>, 142, pp. 562–571.</w:t>
      </w:r>
    </w:p>
    <w:p w14:paraId="1B691288" w14:textId="77777777" w:rsidR="00C02DD3" w:rsidRPr="00073D09" w:rsidRDefault="00C02DD3" w:rsidP="00065C51">
      <w:r w:rsidRPr="00073D09">
        <w:t>Yüksel, İ. (2012) ‘Developing a multi-</w:t>
      </w:r>
      <w:proofErr w:type="gramStart"/>
      <w:r w:rsidRPr="00073D09">
        <w:t>criteria decision making</w:t>
      </w:r>
      <w:proofErr w:type="gramEnd"/>
      <w:r w:rsidRPr="00073D09">
        <w:t xml:space="preserve"> model for PESTEL analysis’, </w:t>
      </w:r>
      <w:r w:rsidRPr="00073D09">
        <w:rPr>
          <w:i/>
          <w:iCs/>
        </w:rPr>
        <w:t>International Journal of Business and Management</w:t>
      </w:r>
      <w:r w:rsidRPr="00073D09">
        <w:t>, 7(24), pp. 52–66.</w:t>
      </w:r>
    </w:p>
    <w:p w14:paraId="38DFC947" w14:textId="77777777" w:rsidR="00F40B66" w:rsidRPr="006F5312" w:rsidRDefault="00F40B66" w:rsidP="00065C51"/>
    <w:sectPr w:rsidR="00F40B66" w:rsidRPr="006F531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2F8"/>
    <w:rsid w:val="00065C51"/>
    <w:rsid w:val="00073D09"/>
    <w:rsid w:val="001653E4"/>
    <w:rsid w:val="002C3DC2"/>
    <w:rsid w:val="003362F8"/>
    <w:rsid w:val="004346AC"/>
    <w:rsid w:val="00483DAF"/>
    <w:rsid w:val="00494FB2"/>
    <w:rsid w:val="004C7B37"/>
    <w:rsid w:val="00506EAC"/>
    <w:rsid w:val="00565B92"/>
    <w:rsid w:val="0058539A"/>
    <w:rsid w:val="006F5312"/>
    <w:rsid w:val="0076412C"/>
    <w:rsid w:val="007B6C4E"/>
    <w:rsid w:val="00843DAA"/>
    <w:rsid w:val="008A07D9"/>
    <w:rsid w:val="008F0FEC"/>
    <w:rsid w:val="00937E85"/>
    <w:rsid w:val="00946850"/>
    <w:rsid w:val="00A645C3"/>
    <w:rsid w:val="00A72F15"/>
    <w:rsid w:val="00A96683"/>
    <w:rsid w:val="00B530E4"/>
    <w:rsid w:val="00C02DD3"/>
    <w:rsid w:val="00C32548"/>
    <w:rsid w:val="00F40B66"/>
    <w:rsid w:val="00FA6B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24B16"/>
  <w15:chartTrackingRefBased/>
  <w15:docId w15:val="{2512FC82-086D-4A65-BA46-4355C6EE3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C51"/>
    <w:pPr>
      <w:spacing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F40B66"/>
    <w:pPr>
      <w:keepNext/>
      <w:keepLines/>
      <w:spacing w:before="240" w:after="24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F40B66"/>
    <w:pPr>
      <w:keepNext/>
      <w:keepLines/>
      <w:spacing w:before="240" w:after="12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3362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2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2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2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2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2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2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B66"/>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F40B66"/>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3362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2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2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2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2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2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2F8"/>
    <w:rPr>
      <w:rFonts w:eastAsiaTheme="majorEastAsia" w:cstheme="majorBidi"/>
      <w:color w:val="272727" w:themeColor="text1" w:themeTint="D8"/>
    </w:rPr>
  </w:style>
  <w:style w:type="paragraph" w:styleId="Title">
    <w:name w:val="Title"/>
    <w:basedOn w:val="Normal"/>
    <w:next w:val="Normal"/>
    <w:link w:val="TitleChar"/>
    <w:uiPriority w:val="10"/>
    <w:qFormat/>
    <w:rsid w:val="003362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2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2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2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2F8"/>
    <w:pPr>
      <w:spacing w:before="160"/>
      <w:jc w:val="center"/>
    </w:pPr>
    <w:rPr>
      <w:i/>
      <w:iCs/>
      <w:color w:val="404040" w:themeColor="text1" w:themeTint="BF"/>
    </w:rPr>
  </w:style>
  <w:style w:type="character" w:customStyle="1" w:styleId="QuoteChar">
    <w:name w:val="Quote Char"/>
    <w:basedOn w:val="DefaultParagraphFont"/>
    <w:link w:val="Quote"/>
    <w:uiPriority w:val="29"/>
    <w:rsid w:val="003362F8"/>
    <w:rPr>
      <w:i/>
      <w:iCs/>
      <w:color w:val="404040" w:themeColor="text1" w:themeTint="BF"/>
    </w:rPr>
  </w:style>
  <w:style w:type="paragraph" w:styleId="ListParagraph">
    <w:name w:val="List Paragraph"/>
    <w:basedOn w:val="Normal"/>
    <w:uiPriority w:val="34"/>
    <w:qFormat/>
    <w:rsid w:val="003362F8"/>
    <w:pPr>
      <w:ind w:left="720"/>
      <w:contextualSpacing/>
    </w:pPr>
  </w:style>
  <w:style w:type="character" w:styleId="IntenseEmphasis">
    <w:name w:val="Intense Emphasis"/>
    <w:basedOn w:val="DefaultParagraphFont"/>
    <w:uiPriority w:val="21"/>
    <w:qFormat/>
    <w:rsid w:val="003362F8"/>
    <w:rPr>
      <w:i/>
      <w:iCs/>
      <w:color w:val="0F4761" w:themeColor="accent1" w:themeShade="BF"/>
    </w:rPr>
  </w:style>
  <w:style w:type="paragraph" w:styleId="IntenseQuote">
    <w:name w:val="Intense Quote"/>
    <w:basedOn w:val="Normal"/>
    <w:next w:val="Normal"/>
    <w:link w:val="IntenseQuoteChar"/>
    <w:uiPriority w:val="30"/>
    <w:qFormat/>
    <w:rsid w:val="003362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2F8"/>
    <w:rPr>
      <w:i/>
      <w:iCs/>
      <w:color w:val="0F4761" w:themeColor="accent1" w:themeShade="BF"/>
    </w:rPr>
  </w:style>
  <w:style w:type="character" w:styleId="IntenseReference">
    <w:name w:val="Intense Reference"/>
    <w:basedOn w:val="DefaultParagraphFont"/>
    <w:uiPriority w:val="32"/>
    <w:qFormat/>
    <w:rsid w:val="003362F8"/>
    <w:rPr>
      <w:b/>
      <w:bCs/>
      <w:smallCaps/>
      <w:color w:val="0F4761" w:themeColor="accent1" w:themeShade="BF"/>
      <w:spacing w:val="5"/>
    </w:rPr>
  </w:style>
  <w:style w:type="character" w:styleId="Hyperlink">
    <w:name w:val="Hyperlink"/>
    <w:basedOn w:val="DefaultParagraphFont"/>
    <w:uiPriority w:val="99"/>
    <w:unhideWhenUsed/>
    <w:rsid w:val="00F40B66"/>
    <w:rPr>
      <w:color w:val="467886" w:themeColor="hyperlink"/>
      <w:u w:val="single"/>
    </w:rPr>
  </w:style>
  <w:style w:type="character" w:styleId="UnresolvedMention">
    <w:name w:val="Unresolved Mention"/>
    <w:basedOn w:val="DefaultParagraphFont"/>
    <w:uiPriority w:val="99"/>
    <w:semiHidden/>
    <w:unhideWhenUsed/>
    <w:rsid w:val="00F40B66"/>
    <w:rPr>
      <w:color w:val="605E5C"/>
      <w:shd w:val="clear" w:color="auto" w:fill="E1DFDD"/>
    </w:rPr>
  </w:style>
  <w:style w:type="character" w:styleId="FollowedHyperlink">
    <w:name w:val="FollowedHyperlink"/>
    <w:basedOn w:val="DefaultParagraphFont"/>
    <w:uiPriority w:val="99"/>
    <w:semiHidden/>
    <w:unhideWhenUsed/>
    <w:rsid w:val="00C02DD3"/>
    <w:rPr>
      <w:color w:val="96607D" w:themeColor="followedHyperlink"/>
      <w:u w:val="single"/>
    </w:rPr>
  </w:style>
  <w:style w:type="paragraph" w:styleId="TOCHeading">
    <w:name w:val="TOC Heading"/>
    <w:basedOn w:val="Heading1"/>
    <w:next w:val="Normal"/>
    <w:uiPriority w:val="39"/>
    <w:unhideWhenUsed/>
    <w:qFormat/>
    <w:rsid w:val="008A07D9"/>
    <w:pPr>
      <w:spacing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A07D9"/>
    <w:pPr>
      <w:spacing w:after="100"/>
    </w:pPr>
  </w:style>
  <w:style w:type="paragraph" w:styleId="NoSpacing">
    <w:name w:val="No Spacing"/>
    <w:uiPriority w:val="1"/>
    <w:qFormat/>
    <w:rsid w:val="00FA6B6C"/>
    <w:pPr>
      <w:spacing w:after="0" w:line="240" w:lineRule="auto"/>
      <w:jc w:val="both"/>
    </w:pPr>
    <w:rPr>
      <w:rFonts w:ascii="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0A7D1-159C-46B4-885F-570D6C722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Radoi</dc:creator>
  <cp:keywords/>
  <dc:description/>
  <cp:lastModifiedBy>Mihai Radoi</cp:lastModifiedBy>
  <cp:revision>12</cp:revision>
  <dcterms:created xsi:type="dcterms:W3CDTF">2026-08-21T18:25:00Z</dcterms:created>
  <dcterms:modified xsi:type="dcterms:W3CDTF">2026-08-21T19:27:00Z</dcterms:modified>
</cp:coreProperties>
</file>