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3192" w:rsidRPr="00823192" w:rsidRDefault="00823192">
      <w:pPr>
        <w:rPr>
          <w:b/>
        </w:rPr>
      </w:pPr>
      <w:bookmarkStart w:id="0" w:name="_GoBack"/>
      <w:bookmarkEnd w:id="0"/>
      <w:r w:rsidRPr="00823192">
        <w:rPr>
          <w:b/>
        </w:rPr>
        <w:t>James is a British drink manufacturer. For some years, he has produced a wine</w:t>
      </w:r>
      <w:r w:rsidR="002C70DA">
        <w:rPr>
          <w:b/>
        </w:rPr>
        <w:t xml:space="preserve"> </w:t>
      </w:r>
      <w:r w:rsidRPr="00823192">
        <w:rPr>
          <w:b/>
        </w:rPr>
        <w:t>based drink called Priory Tonic Wine (PTW). Many years ago, PTW was sold through pharmacies and advertised as having medicinal properties, but in recent years it has been sold through ordinary licensed outlets as an alcoholic drink. James has now decided that he wishes to market PTW more widely in the EU. However, he has encountered a number of difficulties, and has sought your advice. (a) In Ireland, sales of PTW have been prohibited because the Irish Alcohol Institute does not permit any health claims to be made in respect of alcohol, and has ruled that the use of the word ‘Tonic’ in the name of PTW constitutes such a health claim. The Institute is a private organisation, but has been authorised by the Irish Government to regulate alcohol sales. James is concerned that he will have to rebrand his product. Advise James as to the legality of this prohibition.</w:t>
      </w:r>
    </w:p>
    <w:p w:rsidR="00823192" w:rsidRDefault="00823192"/>
    <w:p w:rsidR="00823192" w:rsidRDefault="00823192"/>
    <w:p w:rsidR="0078396F" w:rsidRDefault="00823192">
      <w:r>
        <w:t xml:space="preserve">This scenario concerns free movement of goods, specifically quantitative restrictions and measures having equivalent effect (MEQR): Arts 34-36 TFEU. These articles prohibit quantitative restrictions and MEQR subject to limited derogations set out in Art 36. Although aimed at measures applied by Member States, where aspects of regulation have been devolved to a private organisation, the articles can have horizontal effect: </w:t>
      </w:r>
      <w:proofErr w:type="spellStart"/>
      <w:r>
        <w:t>Fra</w:t>
      </w:r>
      <w:proofErr w:type="gramStart"/>
      <w:r>
        <w:t>:bo</w:t>
      </w:r>
      <w:proofErr w:type="spellEnd"/>
      <w:proofErr w:type="gramEnd"/>
      <w:r>
        <w:t xml:space="preserve"> (2011). Quantitative restrictions, i.e. prohibitions and quotas (</w:t>
      </w:r>
      <w:proofErr w:type="spellStart"/>
      <w:r>
        <w:t>Geddo</w:t>
      </w:r>
      <w:proofErr w:type="spellEnd"/>
      <w:r>
        <w:t xml:space="preserve"> (1973)) are rare, but MEQR are relatively common. Initially they were very widely defined in </w:t>
      </w:r>
      <w:proofErr w:type="spellStart"/>
      <w:r>
        <w:t>Dassonville</w:t>
      </w:r>
      <w:proofErr w:type="spellEnd"/>
      <w:r>
        <w:t xml:space="preserve"> (1974) as any trading rules capable of affecting directly or indirectly, actually or potentially trade between Member States. However the definition has now been refined, and a distinction made between rules relating to product characteristics and selling arrangements. The latter will fall outside the definition insofar as they are indistinctly applicable, i.e. applying in all cases whatever the origin of the goods, and operating the same way in law and in fact: Keck (1994). The former are within the definition, but a distinction must be drawn between distinctly applicable MEQR, that is where separate rules apply to the imported product which can only be justified under Art 36, and indistinctly applicable MEQR, where the same product characteristics apply irrespective of origin, but a differential burden is imposed on the imported product: Walter Rau (1982). Such measures may however be justified under the Cassis de Dijon (1979) “rule of reason” if they are a proportionate means of meeting a mandatory requirement of the state, such as consumer protection, fairness of commercial transactions et Page 11 of 13 cetera. If a selling arrangement does not operate in the same way in law and in fact it constitutes an indistinctly applicable MEQR and will be evaluated as such. It should be noted that in Cassis the Court also established the rule of recognition, namely that goods produced and marketed lawfully in one Member State should be allowed to be marketed throughout the EU without having to comply with detailed local regulations. However, this rule is subject to Art 36 and the rule of reason. Note also that these rules relating to MEQR apply only in areas which have not been harmonised. Many areas of packaging and labelling are now the subject of regulation at the EU level and these rules will prevail. The protection of health of humans is both one of the permitted grounds of derogation under Art 36 and, somewhat unnecessarily, a mandatory requirement for the purposes of the rule of reason. Such measures must be based on a sound scientific basis: Sandoz (1983). They must also be legitimately used for the stated reason, and must not be a disguised restriction on trade: Commission v UK (Poultry Meat) (1983). James can rely on the horizontal effect of Art 34 in relation to the measure adopted by the Irish Alcohol Institute. The prohibition of the use of the word “Tonic” in this context is clearly a product requirement, and appears to apply irrespective of origin. It is therefore an indistinctly applicable MEQR. It is therefore potentially justifiable both under Art 36 and rule of reason. This is on the assumption that there is no regulation at EU level. There is no suggestion that this measure is </w:t>
      </w:r>
      <w:r>
        <w:lastRenderedPageBreak/>
        <w:t>a disguised restriction on trade, as there is no indication that there is any local product which is being protected in any way. Applying the rule of recognition, the product has been lawfully produced in the UK and should be marketable throughout the EU, but the Irish authorities may be able to justify a prohibition on what appear to be health claims in relation to alcoholic drinks. Such claims were once common, but are now generally disapproved. The measure may accordingly benefit either from the Art 36 derogation or as a proportionate means of meeting the mandatory requirement relating to health.</w:t>
      </w:r>
    </w:p>
    <w:sectPr w:rsidR="0078396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3192" w:rsidRDefault="00823192" w:rsidP="00823192">
      <w:pPr>
        <w:spacing w:after="0" w:line="240" w:lineRule="auto"/>
      </w:pPr>
      <w:r>
        <w:separator/>
      </w:r>
    </w:p>
  </w:endnote>
  <w:endnote w:type="continuationSeparator" w:id="0">
    <w:p w:rsidR="00823192" w:rsidRDefault="00823192" w:rsidP="008231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3192" w:rsidRDefault="00823192" w:rsidP="00823192">
      <w:pPr>
        <w:spacing w:after="0" w:line="240" w:lineRule="auto"/>
      </w:pPr>
      <w:r>
        <w:separator/>
      </w:r>
    </w:p>
  </w:footnote>
  <w:footnote w:type="continuationSeparator" w:id="0">
    <w:p w:rsidR="00823192" w:rsidRDefault="00823192" w:rsidP="008231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3192" w:rsidRDefault="00823192">
    <w:pPr>
      <w:pStyle w:val="Header"/>
    </w:pPr>
    <w:r>
      <w:t>Free movement of goods problem question</w:t>
    </w:r>
  </w:p>
  <w:p w:rsidR="00823192" w:rsidRDefault="008231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3192"/>
    <w:rsid w:val="00187408"/>
    <w:rsid w:val="002C70DA"/>
    <w:rsid w:val="002E0635"/>
    <w:rsid w:val="00312C42"/>
    <w:rsid w:val="00367227"/>
    <w:rsid w:val="004B7CFD"/>
    <w:rsid w:val="006363B4"/>
    <w:rsid w:val="00641596"/>
    <w:rsid w:val="0078396F"/>
    <w:rsid w:val="00823192"/>
    <w:rsid w:val="008902D5"/>
    <w:rsid w:val="00A2272F"/>
    <w:rsid w:val="00A32421"/>
    <w:rsid w:val="00AC0CC7"/>
    <w:rsid w:val="00D82D10"/>
    <w:rsid w:val="00E6491C"/>
    <w:rsid w:val="00E8488D"/>
    <w:rsid w:val="00F23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F1821B6-EF49-479A-BFA9-D1CCBA243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31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192"/>
  </w:style>
  <w:style w:type="paragraph" w:styleId="Footer">
    <w:name w:val="footer"/>
    <w:basedOn w:val="Normal"/>
    <w:link w:val="FooterChar"/>
    <w:uiPriority w:val="99"/>
    <w:unhideWhenUsed/>
    <w:rsid w:val="008231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1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732</Words>
  <Characters>4175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Louise Holmes (IMH)</cp:lastModifiedBy>
  <cp:revision>2</cp:revision>
  <dcterms:created xsi:type="dcterms:W3CDTF">2019-09-25T10:23:00Z</dcterms:created>
  <dcterms:modified xsi:type="dcterms:W3CDTF">2019-09-25T10:23:00Z</dcterms:modified>
</cp:coreProperties>
</file>