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CFF69" w14:textId="77777777" w:rsidR="00AB68C2" w:rsidRPr="00E676F7" w:rsidRDefault="00AB68C2" w:rsidP="00AB68C2">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562F4FB0" w14:textId="77777777" w:rsidR="00AB68C2" w:rsidRPr="00E676F7" w:rsidRDefault="00AB68C2" w:rsidP="00AB68C2">
      <w:pPr>
        <w:ind w:right="237"/>
        <w:jc w:val="both"/>
        <w:rPr>
          <w:rFonts w:eastAsia="Arial"/>
          <w:color w:val="000000" w:themeColor="text1"/>
          <w:sz w:val="24"/>
          <w:szCs w:val="24"/>
        </w:rPr>
      </w:pPr>
    </w:p>
    <w:p w14:paraId="7010F17F" w14:textId="77777777" w:rsidR="00AB68C2" w:rsidRPr="00E676F7" w:rsidRDefault="00AB68C2" w:rsidP="00AB68C2">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550D77D1" w14:textId="77777777" w:rsidR="00AB68C2" w:rsidRPr="00E676F7" w:rsidRDefault="00AB68C2" w:rsidP="00AB68C2">
      <w:pPr>
        <w:ind w:right="237"/>
        <w:jc w:val="both"/>
        <w:rPr>
          <w:rFonts w:eastAsia="Arial"/>
          <w:color w:val="000000" w:themeColor="text1"/>
          <w:sz w:val="24"/>
          <w:szCs w:val="24"/>
        </w:rPr>
      </w:pPr>
      <w:r w:rsidRPr="5CE196A1">
        <w:rPr>
          <w:rFonts w:eastAsia="Arial"/>
          <w:b/>
          <w:bCs/>
          <w:color w:val="000000" w:themeColor="text1"/>
          <w:sz w:val="24"/>
          <w:szCs w:val="24"/>
        </w:rPr>
        <w:t>Vulnerability and Risk, Evidence-based policing</w:t>
      </w:r>
    </w:p>
    <w:p w14:paraId="00BA6F50" w14:textId="77777777" w:rsidR="00AB68C2" w:rsidRPr="00E676F7" w:rsidRDefault="00AB68C2" w:rsidP="00AB68C2">
      <w:pPr>
        <w:ind w:right="237"/>
        <w:jc w:val="both"/>
        <w:rPr>
          <w:rFonts w:eastAsia="Arial"/>
          <w:color w:val="000000" w:themeColor="text1"/>
          <w:sz w:val="24"/>
          <w:szCs w:val="24"/>
        </w:rPr>
      </w:pPr>
    </w:p>
    <w:p w14:paraId="0B4CF023" w14:textId="77777777" w:rsidR="00AB68C2" w:rsidRPr="00E676F7" w:rsidRDefault="00AB68C2" w:rsidP="00AB68C2">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21A5184E" w14:textId="77777777" w:rsidR="00AB68C2" w:rsidRPr="00E676F7" w:rsidRDefault="00AB68C2" w:rsidP="00AB68C2">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AB68C2" w:rsidRPr="00E676F7" w14:paraId="2C43E090" w14:textId="77777777" w:rsidTr="00B66E20">
        <w:tc>
          <w:tcPr>
            <w:tcW w:w="10188" w:type="dxa"/>
            <w:shd w:val="clear" w:color="auto" w:fill="auto"/>
          </w:tcPr>
          <w:p w14:paraId="55A2200B" w14:textId="77777777" w:rsidR="00AB68C2" w:rsidRPr="00E676F7" w:rsidRDefault="00AB68C2" w:rsidP="00B66E20">
            <w:pPr>
              <w:ind w:right="237"/>
              <w:rPr>
                <w:sz w:val="24"/>
                <w:szCs w:val="24"/>
              </w:rPr>
            </w:pPr>
          </w:p>
          <w:p w14:paraId="47B434ED" w14:textId="77777777" w:rsidR="00AB68C2" w:rsidRPr="00E676F7" w:rsidRDefault="00AB68C2" w:rsidP="00B66E20">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investigation</w:t>
            </w:r>
            <w:r>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675F520B" w14:textId="77777777" w:rsidR="00AB68C2" w:rsidRPr="00E676F7" w:rsidRDefault="00AB68C2" w:rsidP="00B66E20">
            <w:pPr>
              <w:rPr>
                <w:rFonts w:eastAsia="Arial"/>
                <w:color w:val="000000" w:themeColor="text1"/>
                <w:sz w:val="24"/>
                <w:szCs w:val="24"/>
              </w:rPr>
            </w:pPr>
          </w:p>
          <w:p w14:paraId="4EDB6A0E" w14:textId="77777777" w:rsidR="00AB68C2" w:rsidRPr="00E676F7" w:rsidRDefault="00AB68C2" w:rsidP="00B66E20">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Pr>
                <w:rFonts w:eastAsia="Arial"/>
                <w:color w:val="000000" w:themeColor="text1"/>
                <w:sz w:val="24"/>
                <w:szCs w:val="24"/>
                <w:lang w:val="en-US"/>
              </w:rPr>
              <w:t xml:space="preserve"> during the </w:t>
            </w:r>
            <w:r w:rsidRPr="00211695">
              <w:rPr>
                <w:rFonts w:eastAsia="Arial"/>
                <w:color w:val="000000" w:themeColor="text1"/>
                <w:sz w:val="24"/>
                <w:szCs w:val="24"/>
                <w:highlight w:val="yellow"/>
                <w:lang w:val="en-US"/>
              </w:rPr>
              <w:t>investigative process</w:t>
            </w:r>
          </w:p>
          <w:p w14:paraId="528070CE" w14:textId="77777777" w:rsidR="00AB68C2" w:rsidRPr="00E676F7" w:rsidRDefault="00AB68C2" w:rsidP="00B66E20">
            <w:pPr>
              <w:rPr>
                <w:rFonts w:eastAsia="Arial"/>
                <w:color w:val="000000" w:themeColor="text1"/>
                <w:sz w:val="24"/>
                <w:szCs w:val="24"/>
              </w:rPr>
            </w:pPr>
          </w:p>
          <w:p w14:paraId="247460E2" w14:textId="77777777" w:rsidR="00AB68C2" w:rsidRPr="00E676F7" w:rsidRDefault="00AB68C2" w:rsidP="00B66E20">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Pr>
                <w:rFonts w:eastAsia="Arial"/>
                <w:color w:val="000000" w:themeColor="text1"/>
                <w:sz w:val="24"/>
                <w:szCs w:val="24"/>
              </w:rPr>
              <w:t xml:space="preserve"> during this </w:t>
            </w:r>
            <w:r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Consider the use of evidence-based policing. </w:t>
            </w:r>
          </w:p>
          <w:p w14:paraId="1FB593F9" w14:textId="77777777" w:rsidR="00AB68C2" w:rsidRPr="00E676F7" w:rsidRDefault="00AB68C2" w:rsidP="00B66E20">
            <w:pPr>
              <w:ind w:right="237"/>
              <w:jc w:val="both"/>
              <w:rPr>
                <w:rFonts w:eastAsia="Arial"/>
                <w:color w:val="000000" w:themeColor="text1"/>
                <w:sz w:val="24"/>
                <w:szCs w:val="24"/>
              </w:rPr>
            </w:pPr>
          </w:p>
          <w:p w14:paraId="13FA7114" w14:textId="77777777" w:rsidR="00AB68C2" w:rsidRPr="00E676F7" w:rsidRDefault="00AB68C2" w:rsidP="00B66E20">
            <w:pPr>
              <w:ind w:right="237"/>
              <w:jc w:val="both"/>
              <w:rPr>
                <w:rFonts w:eastAsia="Arial"/>
                <w:color w:val="000000" w:themeColor="text1"/>
                <w:sz w:val="24"/>
                <w:szCs w:val="24"/>
              </w:rPr>
            </w:pPr>
            <w:r w:rsidRPr="5CE196A1">
              <w:rPr>
                <w:rFonts w:eastAsia="Arial"/>
                <w:color w:val="000000" w:themeColor="text1"/>
                <w:sz w:val="24"/>
                <w:szCs w:val="24"/>
              </w:rPr>
              <w:t xml:space="preserve">2000 words </w:t>
            </w:r>
            <w:r w:rsidRPr="5CE196A1">
              <w:rPr>
                <w:rFonts w:eastAsia="Arial"/>
                <w:i/>
                <w:iCs/>
                <w:color w:val="000000" w:themeColor="text1"/>
                <w:sz w:val="24"/>
                <w:szCs w:val="24"/>
              </w:rPr>
              <w:t>(+/- 10%: include your actual word count at the end of each section)</w:t>
            </w:r>
          </w:p>
          <w:p w14:paraId="09D0D9E5" w14:textId="77777777" w:rsidR="00AB68C2" w:rsidRPr="00E676F7" w:rsidRDefault="00AB68C2" w:rsidP="00B66E20">
            <w:pPr>
              <w:ind w:right="237"/>
              <w:jc w:val="both"/>
              <w:rPr>
                <w:sz w:val="24"/>
                <w:szCs w:val="24"/>
              </w:rPr>
            </w:pPr>
          </w:p>
        </w:tc>
      </w:tr>
    </w:tbl>
    <w:p w14:paraId="430ABAE5" w14:textId="77777777" w:rsidR="00AB68C2" w:rsidRPr="00E676F7" w:rsidRDefault="00AB68C2" w:rsidP="00AB68C2">
      <w:pPr>
        <w:ind w:right="237"/>
        <w:jc w:val="both"/>
        <w:rPr>
          <w:sz w:val="24"/>
          <w:szCs w:val="24"/>
        </w:rPr>
      </w:pPr>
    </w:p>
    <w:p w14:paraId="0DB0C114" w14:textId="77777777" w:rsidR="00AB68C2" w:rsidRPr="00E676F7" w:rsidRDefault="00AB68C2" w:rsidP="00AB68C2">
      <w:pPr>
        <w:ind w:right="237"/>
        <w:jc w:val="both"/>
        <w:rPr>
          <w:rFonts w:eastAsia="Arial"/>
          <w:color w:val="000000" w:themeColor="text1"/>
          <w:sz w:val="24"/>
          <w:szCs w:val="24"/>
        </w:rPr>
      </w:pPr>
    </w:p>
    <w:p w14:paraId="50EBE698" w14:textId="77777777" w:rsidR="00AB68C2" w:rsidRPr="00E676F7" w:rsidRDefault="00AB68C2" w:rsidP="00AB68C2">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04FA3641" w14:textId="77777777" w:rsidR="00AB68C2" w:rsidRPr="00E676F7" w:rsidRDefault="00AB68C2" w:rsidP="00AB68C2">
      <w:pPr>
        <w:ind w:right="237"/>
        <w:jc w:val="both"/>
        <w:rPr>
          <w:rFonts w:eastAsia="Arial"/>
          <w:color w:val="000000" w:themeColor="text1"/>
          <w:sz w:val="24"/>
          <w:szCs w:val="24"/>
        </w:rPr>
      </w:pPr>
    </w:p>
    <w:p w14:paraId="0E0017B6" w14:textId="77777777" w:rsidR="00AB68C2" w:rsidRPr="00E676F7" w:rsidRDefault="00AB68C2" w:rsidP="00AB68C2">
      <w:pPr>
        <w:ind w:right="237"/>
        <w:jc w:val="center"/>
        <w:rPr>
          <w:b/>
          <w:bCs/>
          <w:sz w:val="24"/>
          <w:szCs w:val="24"/>
        </w:rPr>
      </w:pPr>
    </w:p>
    <w:p w14:paraId="349A4828" w14:textId="77777777" w:rsidR="00AB68C2" w:rsidRDefault="00AB68C2" w:rsidP="00AB68C2">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As a police officer working in a specialist department that deals with Rape and Serious Sexual Offences (RASSO), investigating serious and complex crime is an imperative element of my role. Although recorded rape offences have increased within the last five years, historically, the amount of rape and serious sexual offences that had charges authorised for them by the Crown Prosecution Service (CPS), prosecuted and convicted was significantly low. Between 2015-2016, the amount of rape cases resulting in a charge from CPS reduced from 57% to 45% in 2019-2020 (Ministry of Justice 2021). This is a result of a variety of factors such as cases not meeting the threshold test to send to the CPS or complainant’s wanting no further action taking or not supporting a police investigation. The case I will be discussing within this essay involves a complainant that supports a police investigation and is being prepared to be sent off to the Crown Prosecution Service. I will provide an overview of this alongside the relevant social and legislative contexts. I will also critically evaluate the appropriateness applied by different partner agencies in managing individuals at risk within this investigation. I will then investigate the procedures in dealing with repeat victimisation and offending.</w:t>
      </w:r>
    </w:p>
    <w:p w14:paraId="1DCEF25C" w14:textId="77777777" w:rsidR="00AB68C2" w:rsidRDefault="00AB68C2" w:rsidP="00AB68C2">
      <w:pPr>
        <w:overflowPunct/>
        <w:autoSpaceDE/>
        <w:autoSpaceDN/>
        <w:adjustRightInd/>
        <w:textAlignment w:val="auto"/>
        <w:rPr>
          <w:rFonts w:asciiTheme="minorHAnsi" w:hAnsiTheme="minorHAnsi" w:cstheme="minorHAnsi"/>
          <w:sz w:val="24"/>
          <w:szCs w:val="24"/>
        </w:rPr>
      </w:pPr>
    </w:p>
    <w:p w14:paraId="2734865F" w14:textId="77777777" w:rsidR="00AB68C2" w:rsidRDefault="00AB68C2" w:rsidP="00AB68C2">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South Wales Police received a call from a member of the public reporting that someone has come into their pub and was shouting and screaming that she had been raped. A female came into a pub crying and in distress stating she had been raped by a male who lived down the road. The female stated that the male involved was a friend of her ex-partner and that she had been trapped in his property for the last four days. The female also stated that the suspect was still in his property. Upon arrival at the pub, the female was with my colleagues receiving support. It was clear the victim had significant </w:t>
      </w:r>
      <w:r>
        <w:rPr>
          <w:rFonts w:asciiTheme="minorHAnsi" w:hAnsiTheme="minorHAnsi" w:cstheme="minorHAnsi"/>
          <w:sz w:val="24"/>
          <w:szCs w:val="24"/>
        </w:rPr>
        <w:lastRenderedPageBreak/>
        <w:t>injuries to her head, and this was bleeding heavily. I have spoken with the female who stated that she had been held at the suspect’s address for the last four days and on each of these days she has been vaginally raped. From the beginning of my encounter with the victim, it was evident that she was vulnerable. She was finding it extremely difficult to put her words into sentences and kept on ‘zoning out’. I immediately considered the use of an appropriate adult however the female clearly understood what was happening and there were no communication issues. However, I noted down that a risk assessment was to be completed before any evidential account was obtained through video interview or statement. As the female had just left the suspect’s property, she was still in the forensic window for samples to be obtained. These samples are significant in obtaining DNA from both suspect and victim. In the case of an individual being raped by a stranger, biological evidence is critical in identifying suspects and confirming if sexual intercourse has occurred (</w:t>
      </w:r>
      <w:proofErr w:type="spellStart"/>
      <w:r>
        <w:rPr>
          <w:rFonts w:asciiTheme="minorHAnsi" w:hAnsiTheme="minorHAnsi" w:cstheme="minorHAnsi"/>
          <w:sz w:val="24"/>
          <w:szCs w:val="24"/>
        </w:rPr>
        <w:t>Gaensslen</w:t>
      </w:r>
      <w:proofErr w:type="spellEnd"/>
      <w:r>
        <w:rPr>
          <w:rFonts w:asciiTheme="minorHAnsi" w:hAnsiTheme="minorHAnsi" w:cstheme="minorHAnsi"/>
          <w:sz w:val="24"/>
          <w:szCs w:val="24"/>
        </w:rPr>
        <w:t xml:space="preserve"> and Lee 2001). In this case, this biological evidence is still significant to obtain and put to the suspect in interview if he exercises his right to answer no comment. Whilst I was obtaining an initial account from the victim, I have liaised with my response colleagues who informed me they have arrested the suspect at his property. Once the suspect had entered custody and was booked in by a Custody Sergeant, it was imperative that an Inspector’s authority was sought to obtain intimate and non-intimate samples from him. Similarly, the complainant in this case was taken to Cardiff Royal Infirmary where the Sexual Abuse Referral Clinic (SARC) is located. The SARC was created as an immediate response to victims of rapes and serious sexual assaults. Despite these two offences being the most common, the SARC also assists individuals that have experienced abusive relationships, forced sex during marriage and honour-based abuse. At present, there are over 50 SARCS across the United Kingdom that work tirelessly to assist victims of sexual abuse (NHS England 2021). This involves a sheltered environment where individuals can be offered emotional support, personal space for video interviews and forensic examinations and speak to a crisis worker. These workers offer additional support throughout the SARC process and can sit in on video interviews if the complainant chooses so. Importantly, everyone is allocated an Independent Sexual Violence Advisor (ISVA) that provide expert advice that is tailored to the person’s particular needs. Within this investigation, these processes were explained to the victim who chose to undergo each one. As a result, she was supported by workers at the SARC, myself and members of my team. Fundamentally, after the process was explained to the victim she was taken to Cardiff SARC and a medical examination was booked in immediately. Within this examination, a range of samples are obtained that search for the suspect’s DNA, hair, blood, and semen. This pivotal evidence provides significant strength in charging suspect’s and results in stricter sentencing at court (Peterson et al 2009). Initially, the victim was very anxious and concerned about undergoing the medical process. The process itself was frightening however there was also evident cultural issues. The victim was from a religious background meaning if she were to be examined by a male doctor this would </w:t>
      </w:r>
      <w:proofErr w:type="gramStart"/>
      <w:r>
        <w:rPr>
          <w:rFonts w:asciiTheme="minorHAnsi" w:hAnsiTheme="minorHAnsi" w:cstheme="minorHAnsi"/>
          <w:sz w:val="24"/>
          <w:szCs w:val="24"/>
        </w:rPr>
        <w:t>be in disagreement</w:t>
      </w:r>
      <w:proofErr w:type="gramEnd"/>
      <w:r>
        <w:rPr>
          <w:rFonts w:asciiTheme="minorHAnsi" w:hAnsiTheme="minorHAnsi" w:cstheme="minorHAnsi"/>
          <w:sz w:val="24"/>
          <w:szCs w:val="24"/>
        </w:rPr>
        <w:t xml:space="preserve"> of their established ethics. Kelly et al (1998) sheds lights on this </w:t>
      </w:r>
      <w:proofErr w:type="gramStart"/>
      <w:r>
        <w:rPr>
          <w:rFonts w:asciiTheme="minorHAnsi" w:hAnsiTheme="minorHAnsi" w:cstheme="minorHAnsi"/>
          <w:sz w:val="24"/>
          <w:szCs w:val="24"/>
        </w:rPr>
        <w:t>and also</w:t>
      </w:r>
      <w:proofErr w:type="gramEnd"/>
      <w:r>
        <w:rPr>
          <w:rFonts w:asciiTheme="minorHAnsi" w:hAnsiTheme="minorHAnsi" w:cstheme="minorHAnsi"/>
          <w:sz w:val="24"/>
          <w:szCs w:val="24"/>
        </w:rPr>
        <w:t xml:space="preserve"> argues that regardless of gender, all individuals preferred to be spoken to and examined by female persons. Additionally, the victim stated she did not want to be examined by a male doctor because of the short aftermath of the incidents occurring. The female was petrified of being intimately examined by a male because of the trauma she had suffered within the </w:t>
      </w:r>
      <w:r>
        <w:rPr>
          <w:rFonts w:asciiTheme="minorHAnsi" w:hAnsiTheme="minorHAnsi" w:cstheme="minorHAnsi"/>
          <w:sz w:val="24"/>
          <w:szCs w:val="24"/>
        </w:rPr>
        <w:lastRenderedPageBreak/>
        <w:t xml:space="preserve">past few days. This is the case with many female victims within rape and serious sexual offences. The close nature of the forensic examination coupled with various swab takings makes females feel extremely uncomfortable and, in some cases, refuse to attend SARCS (Bradley 1999). Therefore, I specifically requested that a female doctor conducts this victim’s medical examination and the victim felt more at ease with progressing within the investigation. This agrees with Hawkins (2008) finding that individuals prefer female doctors. Hawkins discovered that out of 168 people, 138 of them suggested they would prefer to be spoken to and examined by a female doctor. The study also found that many female victims did refuse to attend and engage with the SARC process if men were involved. </w:t>
      </w:r>
    </w:p>
    <w:p w14:paraId="2513A0E9" w14:textId="77777777" w:rsidR="00AB68C2" w:rsidRDefault="00AB68C2" w:rsidP="00AB68C2">
      <w:pPr>
        <w:overflowPunct/>
        <w:autoSpaceDE/>
        <w:autoSpaceDN/>
        <w:adjustRightInd/>
        <w:textAlignment w:val="auto"/>
        <w:rPr>
          <w:rFonts w:asciiTheme="minorHAnsi" w:hAnsiTheme="minorHAnsi" w:cstheme="minorHAnsi"/>
          <w:sz w:val="24"/>
          <w:szCs w:val="24"/>
        </w:rPr>
      </w:pPr>
    </w:p>
    <w:p w14:paraId="7D10DF89" w14:textId="77777777" w:rsidR="00AB68C2" w:rsidRDefault="00AB68C2" w:rsidP="00AB68C2">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Once this was completed, the next process was to undertake the victim’s video interview. A risk assessment was conducted prior to this taking place because concerns were raised surrounding the victim’s ability to recall information. It was determined she would not need an intermediary and the interview was conducted. Although, given the female’s vulnerabilities it was decided that throughout the interview she would benefit from the use of an appropriate adult. This is someone that sits in the video interview with them and assist them. Their role is to ensure that the victim understands the questions and if something is not understood then to let the interviewer know so this can be rephrased. Within the female’s video interview, she also had a crisis worker present. Crisis worker’s roles are significant in providing emotional support when recalling traumatic events. Naturally, many females find it extremely difficult and distressing recalling in-depth detail about the events reported. The female in my investigation benefitted massively from choosing to have a crisis worker within her interview. Specific detail was obtained which was imperative in determining exactly what happened. At the end of this video interview, the female asked me if this can be kept confidential and not shared with anyone. The female expressed concerns if anyone in her religious community discovered what she had reported, this would have repercussions on herself and her family. As a result, I ensured all individuals in this investigation were aware of the females concerns and not to share this was anyone. I ensured that SARC support staff was also aware of this. The victim was reassured because of this. </w:t>
      </w:r>
    </w:p>
    <w:p w14:paraId="0B5C8342" w14:textId="77777777" w:rsidR="00AB68C2" w:rsidRDefault="00AB68C2" w:rsidP="00AB68C2">
      <w:pPr>
        <w:overflowPunct/>
        <w:autoSpaceDE/>
        <w:autoSpaceDN/>
        <w:adjustRightInd/>
        <w:textAlignment w:val="auto"/>
        <w:rPr>
          <w:rFonts w:asciiTheme="minorHAnsi" w:hAnsiTheme="minorHAnsi" w:cstheme="minorHAnsi"/>
          <w:sz w:val="24"/>
          <w:szCs w:val="24"/>
        </w:rPr>
      </w:pPr>
    </w:p>
    <w:p w14:paraId="77243172" w14:textId="77777777" w:rsidR="00AB68C2" w:rsidRDefault="00AB68C2" w:rsidP="00AB68C2">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This incident discovered above involves the offence of rape. </w:t>
      </w:r>
      <w:r w:rsidRPr="00CE73B4">
        <w:rPr>
          <w:rFonts w:asciiTheme="minorHAnsi" w:hAnsiTheme="minorHAnsi" w:cstheme="minorHAnsi"/>
          <w:sz w:val="24"/>
          <w:szCs w:val="24"/>
        </w:rPr>
        <w:t>The Office for National Statistics (ONS 202</w:t>
      </w:r>
      <w:r>
        <w:rPr>
          <w:rFonts w:asciiTheme="minorHAnsi" w:hAnsiTheme="minorHAnsi" w:cstheme="minorHAnsi"/>
          <w:sz w:val="24"/>
          <w:szCs w:val="24"/>
        </w:rPr>
        <w:t>3</w:t>
      </w:r>
      <w:r w:rsidRPr="00CE73B4">
        <w:rPr>
          <w:rFonts w:asciiTheme="minorHAnsi" w:hAnsiTheme="minorHAnsi" w:cstheme="minorHAnsi"/>
          <w:sz w:val="24"/>
          <w:szCs w:val="24"/>
        </w:rPr>
        <w:t>) report in 202</w:t>
      </w:r>
      <w:r>
        <w:rPr>
          <w:rFonts w:asciiTheme="minorHAnsi" w:hAnsiTheme="minorHAnsi" w:cstheme="minorHAnsi"/>
          <w:sz w:val="24"/>
          <w:szCs w:val="24"/>
        </w:rPr>
        <w:t xml:space="preserve">3 found that 193,566 sexual offences were recorded in England and Wales. This is 31% higher than 2022. These figures were the highest recorded </w:t>
      </w:r>
      <w:proofErr w:type="gramStart"/>
      <w:r>
        <w:rPr>
          <w:rFonts w:asciiTheme="minorHAnsi" w:hAnsiTheme="minorHAnsi" w:cstheme="minorHAnsi"/>
          <w:sz w:val="24"/>
          <w:szCs w:val="24"/>
        </w:rPr>
        <w:t>as of yet</w:t>
      </w:r>
      <w:proofErr w:type="gramEnd"/>
      <w:r>
        <w:rPr>
          <w:rFonts w:asciiTheme="minorHAnsi" w:hAnsiTheme="minorHAnsi" w:cstheme="minorHAnsi"/>
          <w:sz w:val="24"/>
          <w:szCs w:val="24"/>
        </w:rPr>
        <w:t xml:space="preserve">. The offence committed in this investigation is rape contract to Section 1 of the Sexual Offences Act (2003). This states that a person commits an offence when he purposefully uses his penis enter the mouth, vagina, or anus of another person (Sexual Offences Act 2003). Importantly, the other person involved must not consent to the penetration that took place. In this case, as the male had used his penis to penetrate the female’s vagina on four separate occasions in a four-day period, he was charged with the offence of rape. </w:t>
      </w:r>
    </w:p>
    <w:p w14:paraId="4289E4A4" w14:textId="77777777" w:rsidR="00AB68C2" w:rsidRDefault="00AB68C2" w:rsidP="00AB68C2">
      <w:pPr>
        <w:overflowPunct/>
        <w:autoSpaceDE/>
        <w:autoSpaceDN/>
        <w:adjustRightInd/>
        <w:textAlignment w:val="auto"/>
        <w:rPr>
          <w:rFonts w:asciiTheme="minorHAnsi" w:hAnsiTheme="minorHAnsi" w:cstheme="minorHAnsi"/>
          <w:sz w:val="24"/>
          <w:szCs w:val="24"/>
        </w:rPr>
      </w:pPr>
    </w:p>
    <w:p w14:paraId="3F1535BB" w14:textId="77777777" w:rsidR="00AB68C2" w:rsidRDefault="00AB68C2" w:rsidP="00AB68C2">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The victim in this case was evidently vulnerable however this was exacerbated by the fact the offender knew where the victim lived. The victim expressed concerns that she would not be able to return to her home and feel safe. Studies argue the increased risk </w:t>
      </w:r>
      <w:r>
        <w:rPr>
          <w:rFonts w:asciiTheme="minorHAnsi" w:hAnsiTheme="minorHAnsi" w:cstheme="minorHAnsi"/>
          <w:sz w:val="24"/>
          <w:szCs w:val="24"/>
        </w:rPr>
        <w:lastRenderedPageBreak/>
        <w:t xml:space="preserve">to the victim and other individuals that live a close vicinity from the offender’s home address, this is known as the distance-decay hypothesis (Baldwin and Bottoms 1976). In rape cases, the further risk is increased by 53% (Rand 1986). Unfortunately, the suspect’s address was only a short distance away from the victims and therefore it was crucial that a new residence was found for her. I contacted the relevant housing associations who were able to assist finding a new residence for the female that was out of Cardiff. The female felt more comfortable and at ease that she was safe away from the area the offences took place in. Although, I am aware that this may not be possible in every investigation. </w:t>
      </w:r>
    </w:p>
    <w:p w14:paraId="2BBB0BB8" w14:textId="77777777" w:rsidR="00AB68C2" w:rsidRDefault="00AB68C2" w:rsidP="00AB68C2">
      <w:pPr>
        <w:overflowPunct/>
        <w:autoSpaceDE/>
        <w:autoSpaceDN/>
        <w:adjustRightInd/>
        <w:textAlignment w:val="auto"/>
        <w:rPr>
          <w:rFonts w:asciiTheme="minorHAnsi" w:hAnsiTheme="minorHAnsi" w:cstheme="minorHAnsi"/>
          <w:sz w:val="24"/>
          <w:szCs w:val="24"/>
        </w:rPr>
      </w:pPr>
    </w:p>
    <w:p w14:paraId="41BD61F1" w14:textId="77777777" w:rsidR="00AB68C2" w:rsidRDefault="00AB68C2" w:rsidP="00AB68C2">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The suspect within this investigation was a repeat offender who had a history of committing offences of rape. The suspect was already on bail for a separate rape offence when he was arrested for this one. It was discussed across RASSO teams that regardless of the outcome when the case reaches court, a Sexual Harm Prevention Order (SHPO) was to be sought. This can be endorsed by the Court to restrict the movements of an offender by controlling the areas they are allowed in. This may also involve having supervised visits with children or having restricted access to the internet if you’re found guilty of obtaining indecent images of children. A SHPO is granted on the basis that the court is convinced the offender in question poses a significant sexual risk to specific members of the public. Within this investigation, this is members of a particular religious community. The court </w:t>
      </w:r>
      <w:proofErr w:type="gramStart"/>
      <w:r>
        <w:rPr>
          <w:rFonts w:asciiTheme="minorHAnsi" w:hAnsiTheme="minorHAnsi" w:cstheme="minorHAnsi"/>
          <w:sz w:val="24"/>
          <w:szCs w:val="24"/>
        </w:rPr>
        <w:t>takes into account</w:t>
      </w:r>
      <w:proofErr w:type="gramEnd"/>
      <w:r>
        <w:rPr>
          <w:rFonts w:asciiTheme="minorHAnsi" w:hAnsiTheme="minorHAnsi" w:cstheme="minorHAnsi"/>
          <w:sz w:val="24"/>
          <w:szCs w:val="24"/>
        </w:rPr>
        <w:t xml:space="preserve"> the suspect’s previous history as well as assessments that are conducted throughout the trial process. If granted the minimum term for this order is five years which can be extended by a further order. A SHPO is undoubtedly something that will be considered in this investigation not only to protect the victim, but any further person who may suffer from this individual’s act. The order requires the person in question to provide their name and address within three days of initiation and to notify relevant authorities whenever this changes (Home Office 2016).</w:t>
      </w:r>
    </w:p>
    <w:p w14:paraId="19633B10" w14:textId="77777777" w:rsidR="00AB68C2" w:rsidRDefault="00AB68C2" w:rsidP="00AB68C2">
      <w:pPr>
        <w:overflowPunct/>
        <w:autoSpaceDE/>
        <w:autoSpaceDN/>
        <w:adjustRightInd/>
        <w:textAlignment w:val="auto"/>
        <w:rPr>
          <w:rFonts w:asciiTheme="minorHAnsi" w:hAnsiTheme="minorHAnsi" w:cstheme="minorHAnsi"/>
          <w:sz w:val="24"/>
          <w:szCs w:val="24"/>
        </w:rPr>
      </w:pPr>
    </w:p>
    <w:p w14:paraId="0EDD867E" w14:textId="77777777" w:rsidR="00AB68C2" w:rsidRDefault="00AB68C2" w:rsidP="00AB68C2">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In conclusion, there are various approaches that both police and supporting agencies adopt when helping victims of RASSO offences. Each investigation is different, and it is the duty of the officer in case to determine what approach will best suit the victim in that case. It is my responsibility to do </w:t>
      </w:r>
      <w:proofErr w:type="gramStart"/>
      <w:r>
        <w:rPr>
          <w:rFonts w:asciiTheme="minorHAnsi" w:hAnsiTheme="minorHAnsi" w:cstheme="minorHAnsi"/>
          <w:sz w:val="24"/>
          <w:szCs w:val="24"/>
        </w:rPr>
        <w:t>this</w:t>
      </w:r>
      <w:proofErr w:type="gramEnd"/>
      <w:r>
        <w:rPr>
          <w:rFonts w:asciiTheme="minorHAnsi" w:hAnsiTheme="minorHAnsi" w:cstheme="minorHAnsi"/>
          <w:sz w:val="24"/>
          <w:szCs w:val="24"/>
        </w:rPr>
        <w:t xml:space="preserve"> and I believe I assisted the victim of this horrific crime from the beginning, and I will continue to do so throughout the course of the investigation. The victim was happy with the processes put in place to assist her vulnerabilities through crucial steps in the investigation and this will continue when in court through special measures. The victim was also satisfied with the idea of a SHPO which is something that I will seek in the future. </w:t>
      </w:r>
    </w:p>
    <w:p w14:paraId="637D53A8" w14:textId="77777777" w:rsidR="00AB68C2" w:rsidRDefault="00AB68C2" w:rsidP="00AB68C2">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                                                                                                                                            </w:t>
      </w:r>
    </w:p>
    <w:p w14:paraId="59FF4399" w14:textId="77777777" w:rsidR="00AB68C2" w:rsidRDefault="00AB68C2" w:rsidP="00AB68C2">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2030 words</w:t>
      </w:r>
    </w:p>
    <w:p w14:paraId="4DCB3162" w14:textId="77777777" w:rsidR="008D31EE" w:rsidRDefault="008D31EE"/>
    <w:p w14:paraId="41633FB0" w14:textId="77777777" w:rsidR="00AB68C2" w:rsidRDefault="00AB68C2"/>
    <w:p w14:paraId="664A673E" w14:textId="77777777" w:rsidR="00AB68C2" w:rsidRDefault="00AB68C2"/>
    <w:p w14:paraId="54D0DEFD" w14:textId="77777777" w:rsidR="00AB68C2" w:rsidRDefault="00AB68C2"/>
    <w:p w14:paraId="7456B213" w14:textId="77777777" w:rsidR="00AB68C2" w:rsidRDefault="00AB68C2"/>
    <w:p w14:paraId="6E0F1C63" w14:textId="77777777" w:rsidR="00AB68C2" w:rsidRDefault="00AB68C2"/>
    <w:p w14:paraId="0735CEB8" w14:textId="77777777" w:rsidR="00AB68C2" w:rsidRDefault="00AB68C2"/>
    <w:p w14:paraId="090E54F9" w14:textId="77777777" w:rsidR="00AB68C2" w:rsidRDefault="00AB68C2"/>
    <w:p w14:paraId="42ECA633" w14:textId="77777777" w:rsidR="00AB68C2" w:rsidRDefault="00AB68C2"/>
    <w:p w14:paraId="15C5C48B" w14:textId="77777777" w:rsidR="00AB68C2" w:rsidRDefault="00AB68C2"/>
    <w:p w14:paraId="16A4CA77" w14:textId="77777777" w:rsidR="00AB68C2" w:rsidRDefault="00AB68C2" w:rsidP="00AB68C2">
      <w:pPr>
        <w:ind w:right="237"/>
        <w:jc w:val="center"/>
        <w:rPr>
          <w:rFonts w:eastAsia="Arial"/>
          <w:color w:val="000000" w:themeColor="text1"/>
          <w:sz w:val="28"/>
          <w:szCs w:val="28"/>
        </w:rPr>
      </w:pPr>
      <w:r w:rsidRPr="5CE196A1">
        <w:rPr>
          <w:rFonts w:eastAsia="Arial"/>
          <w:b/>
          <w:bCs/>
          <w:color w:val="000000" w:themeColor="text1"/>
          <w:sz w:val="28"/>
          <w:szCs w:val="28"/>
          <w:u w:val="single"/>
        </w:rPr>
        <w:t>Task 2</w:t>
      </w:r>
    </w:p>
    <w:p w14:paraId="4AF8077A" w14:textId="77777777" w:rsidR="00AB68C2" w:rsidRDefault="00AB68C2" w:rsidP="00AB68C2">
      <w:pPr>
        <w:ind w:left="2880" w:right="237"/>
        <w:rPr>
          <w:rFonts w:eastAsia="Arial"/>
          <w:color w:val="000000" w:themeColor="text1"/>
          <w:sz w:val="24"/>
          <w:szCs w:val="24"/>
        </w:rPr>
      </w:pPr>
    </w:p>
    <w:p w14:paraId="2843C1C4" w14:textId="77777777" w:rsidR="00AB68C2" w:rsidRDefault="00AB68C2" w:rsidP="00AB68C2">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A6D4C00" w14:textId="77777777" w:rsidR="00AB68C2" w:rsidRDefault="00AB68C2" w:rsidP="00AB68C2">
      <w:pPr>
        <w:ind w:right="237"/>
        <w:jc w:val="both"/>
        <w:rPr>
          <w:rFonts w:eastAsia="Arial"/>
          <w:color w:val="000000" w:themeColor="text1"/>
          <w:sz w:val="24"/>
          <w:szCs w:val="24"/>
          <w:u w:val="single"/>
        </w:rPr>
      </w:pPr>
    </w:p>
    <w:p w14:paraId="5E0986FF" w14:textId="77777777" w:rsidR="00AB68C2" w:rsidRDefault="00AB68C2" w:rsidP="00AB68C2">
      <w:pPr>
        <w:ind w:right="237"/>
        <w:jc w:val="both"/>
        <w:rPr>
          <w:rFonts w:eastAsia="Arial"/>
          <w:color w:val="000000" w:themeColor="text1"/>
          <w:sz w:val="24"/>
          <w:szCs w:val="24"/>
          <w:u w:val="single"/>
        </w:rPr>
      </w:pPr>
    </w:p>
    <w:p w14:paraId="2E8CCD2A" w14:textId="77777777" w:rsidR="00AB68C2" w:rsidRDefault="00AB68C2" w:rsidP="00AB68C2">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6AA786A4" w14:textId="77777777" w:rsidR="00AB68C2" w:rsidRDefault="00AB68C2" w:rsidP="00AB68C2">
      <w:pPr>
        <w:ind w:right="237"/>
        <w:jc w:val="both"/>
        <w:rPr>
          <w:rFonts w:eastAsia="Arial"/>
          <w:color w:val="000000" w:themeColor="text1"/>
          <w:sz w:val="24"/>
          <w:szCs w:val="24"/>
        </w:rPr>
      </w:pPr>
    </w:p>
    <w:p w14:paraId="37E53F3C" w14:textId="77777777" w:rsidR="00AB68C2" w:rsidRDefault="00AB68C2" w:rsidP="00AB68C2">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Pr>
          <w:rFonts w:eastAsia="Arial"/>
          <w:color w:val="000000" w:themeColor="text1"/>
          <w:sz w:val="24"/>
          <w:szCs w:val="24"/>
        </w:rPr>
        <w:t xml:space="preserve"> </w:t>
      </w:r>
      <w:r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70B7ABB9" w14:textId="77777777" w:rsidR="00AB68C2" w:rsidRDefault="00AB68C2" w:rsidP="00AB68C2">
      <w:pPr>
        <w:ind w:right="237"/>
        <w:jc w:val="both"/>
        <w:rPr>
          <w:color w:val="000000" w:themeColor="text1"/>
          <w:sz w:val="24"/>
          <w:szCs w:val="24"/>
        </w:rPr>
      </w:pPr>
    </w:p>
    <w:p w14:paraId="5143CA9F" w14:textId="77777777" w:rsidR="00AB68C2" w:rsidRDefault="00AB68C2" w:rsidP="00AB68C2"/>
    <w:tbl>
      <w:tblPr>
        <w:tblStyle w:val="TableGrid"/>
        <w:tblW w:w="0" w:type="auto"/>
        <w:tblLayout w:type="fixed"/>
        <w:tblLook w:val="06A0" w:firstRow="1" w:lastRow="0" w:firstColumn="1" w:lastColumn="0" w:noHBand="1" w:noVBand="1"/>
      </w:tblPr>
      <w:tblGrid>
        <w:gridCol w:w="9015"/>
      </w:tblGrid>
      <w:tr w:rsidR="00AB68C2" w14:paraId="3BC8892D" w14:textId="77777777" w:rsidTr="00B66E20">
        <w:trPr>
          <w:trHeight w:val="3420"/>
        </w:trPr>
        <w:tc>
          <w:tcPr>
            <w:tcW w:w="9015" w:type="dxa"/>
          </w:tcPr>
          <w:p w14:paraId="30C11DB0" w14:textId="77777777" w:rsidR="00AB68C2" w:rsidRDefault="00AB68C2" w:rsidP="00B66E20">
            <w:pPr>
              <w:ind w:right="237"/>
              <w:jc w:val="both"/>
              <w:rPr>
                <w:sz w:val="24"/>
                <w:szCs w:val="24"/>
              </w:rPr>
            </w:pPr>
          </w:p>
          <w:p w14:paraId="7B9CC04D" w14:textId="77777777" w:rsidR="00AB68C2" w:rsidRDefault="00AB68C2" w:rsidP="00B66E20">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478A423C" w14:textId="77777777" w:rsidR="00AB68C2" w:rsidRDefault="00AB68C2" w:rsidP="00B66E20">
            <w:pPr>
              <w:ind w:right="237"/>
              <w:jc w:val="both"/>
              <w:rPr>
                <w:rFonts w:eastAsia="Arial"/>
                <w:color w:val="000000" w:themeColor="text1"/>
                <w:sz w:val="24"/>
                <w:szCs w:val="24"/>
              </w:rPr>
            </w:pPr>
          </w:p>
          <w:p w14:paraId="1E1BBFCE" w14:textId="77777777" w:rsidR="00AB68C2" w:rsidRDefault="00AB68C2" w:rsidP="00B66E20">
            <w:pPr>
              <w:ind w:right="237"/>
              <w:jc w:val="both"/>
              <w:rPr>
                <w:rFonts w:eastAsia="Arial"/>
                <w:color w:val="000000" w:themeColor="text1"/>
                <w:sz w:val="24"/>
                <w:szCs w:val="24"/>
              </w:rPr>
            </w:pPr>
          </w:p>
          <w:p w14:paraId="299A0AAB" w14:textId="77777777" w:rsidR="00AB68C2" w:rsidRDefault="00AB68C2" w:rsidP="00B66E20">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15980AE1" w14:textId="77777777" w:rsidR="00AB68C2" w:rsidRDefault="00AB68C2" w:rsidP="00B66E20">
            <w:pPr>
              <w:ind w:right="237"/>
              <w:jc w:val="both"/>
              <w:rPr>
                <w:sz w:val="24"/>
                <w:szCs w:val="24"/>
              </w:rPr>
            </w:pPr>
          </w:p>
          <w:p w14:paraId="04E61B87" w14:textId="77777777" w:rsidR="00AB68C2" w:rsidRDefault="00AB68C2" w:rsidP="00B66E20">
            <w:pPr>
              <w:ind w:right="237"/>
              <w:jc w:val="both"/>
              <w:rPr>
                <w:i/>
                <w:iCs/>
                <w:sz w:val="24"/>
                <w:szCs w:val="24"/>
              </w:rPr>
            </w:pPr>
            <w:r w:rsidRPr="5CE196A1">
              <w:rPr>
                <w:sz w:val="24"/>
                <w:szCs w:val="24"/>
              </w:rPr>
              <w:t xml:space="preserve">2000 words </w:t>
            </w:r>
            <w:r w:rsidRPr="5CE196A1">
              <w:rPr>
                <w:i/>
                <w:iCs/>
                <w:sz w:val="24"/>
                <w:szCs w:val="24"/>
              </w:rPr>
              <w:t>(+/- 10%: include your actual word count at the end of each section)</w:t>
            </w:r>
          </w:p>
          <w:p w14:paraId="0ABACFF4" w14:textId="77777777" w:rsidR="00AB68C2" w:rsidRDefault="00AB68C2" w:rsidP="00B66E20">
            <w:pPr>
              <w:rPr>
                <w:color w:val="000000" w:themeColor="text1"/>
                <w:sz w:val="28"/>
                <w:szCs w:val="28"/>
              </w:rPr>
            </w:pPr>
          </w:p>
        </w:tc>
      </w:tr>
    </w:tbl>
    <w:p w14:paraId="17434C68" w14:textId="77777777" w:rsidR="00AB68C2" w:rsidRDefault="00AB68C2" w:rsidP="00AB68C2">
      <w:pPr>
        <w:ind w:right="237"/>
        <w:jc w:val="both"/>
        <w:rPr>
          <w:color w:val="000000" w:themeColor="text1"/>
          <w:sz w:val="24"/>
          <w:szCs w:val="24"/>
        </w:rPr>
      </w:pPr>
    </w:p>
    <w:p w14:paraId="0BD6E915" w14:textId="77777777" w:rsidR="00AB68C2" w:rsidRDefault="00AB68C2" w:rsidP="00AB68C2">
      <w:pPr>
        <w:ind w:right="237"/>
        <w:jc w:val="both"/>
        <w:rPr>
          <w:color w:val="000000" w:themeColor="text1"/>
          <w:sz w:val="24"/>
          <w:szCs w:val="24"/>
        </w:rPr>
      </w:pPr>
    </w:p>
    <w:p w14:paraId="4EB8800D" w14:textId="77777777" w:rsidR="00AB68C2" w:rsidRDefault="00AB68C2" w:rsidP="00AB68C2">
      <w:pPr>
        <w:ind w:right="237"/>
        <w:jc w:val="both"/>
        <w:rPr>
          <w:b/>
          <w:bCs/>
          <w:color w:val="000000" w:themeColor="text1"/>
          <w:sz w:val="28"/>
          <w:szCs w:val="28"/>
        </w:rPr>
      </w:pPr>
      <w:r w:rsidRPr="0FF883D4">
        <w:rPr>
          <w:b/>
          <w:bCs/>
          <w:color w:val="000000" w:themeColor="text1"/>
          <w:sz w:val="28"/>
          <w:szCs w:val="28"/>
        </w:rPr>
        <w:t xml:space="preserve">Answer: </w:t>
      </w:r>
    </w:p>
    <w:p w14:paraId="1715601F" w14:textId="77777777" w:rsidR="00AB68C2" w:rsidRDefault="00AB68C2" w:rsidP="00AB68C2">
      <w:pPr>
        <w:ind w:right="237"/>
        <w:jc w:val="both"/>
        <w:rPr>
          <w:b/>
          <w:bCs/>
          <w:color w:val="000000" w:themeColor="text1"/>
          <w:sz w:val="28"/>
          <w:szCs w:val="28"/>
        </w:rPr>
      </w:pPr>
    </w:p>
    <w:p w14:paraId="2A15403B" w14:textId="77777777" w:rsidR="00AB68C2" w:rsidRDefault="00AB68C2" w:rsidP="00AB68C2">
      <w:pPr>
        <w:ind w:right="237"/>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Providing support to all members of the public regardless of if they’re victims, suspects or witnesses is a crucial element of any complex investigation and a key attribute to possess as a police officer. The College of Policing (2024) highlights a key accountability for any police officer is to support all individuals, gather information and intelligence and point them in the direction of applicable support services. Within this essay, I will critically evaluate a complex investigation where I have played a pivotal role in ensuring fast-track actions and support for all individuals has been conducted. I will then evaluate this support and how I managed my own personal values and attitudes.</w:t>
      </w:r>
    </w:p>
    <w:p w14:paraId="0C4DEF67" w14:textId="77777777" w:rsidR="00AB68C2" w:rsidRDefault="00AB68C2" w:rsidP="00AB68C2">
      <w:pPr>
        <w:ind w:right="237"/>
        <w:jc w:val="both"/>
        <w:rPr>
          <w:rFonts w:asciiTheme="minorHAnsi" w:hAnsiTheme="minorHAnsi" w:cstheme="minorHAnsi"/>
          <w:color w:val="000000" w:themeColor="text1"/>
          <w:sz w:val="24"/>
          <w:szCs w:val="24"/>
        </w:rPr>
      </w:pPr>
    </w:p>
    <w:p w14:paraId="24E5FF56" w14:textId="77777777" w:rsidR="00AB68C2" w:rsidRDefault="00AB68C2" w:rsidP="00AB68C2">
      <w:pPr>
        <w:ind w:right="237"/>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South Wales Police have received a call from a female stating that they have been sexually assaulted earlier in the day. I have attended the victim’s home address and obtained an initial account from them. The victim’s home address was a support accommodation for youths that were struggling mentally, physically, or financially. The victim states that earlier in the day he was smoking cigarettes with the suspect in his flat. The victim has </w:t>
      </w:r>
      <w:proofErr w:type="gramStart"/>
      <w:r>
        <w:rPr>
          <w:rFonts w:asciiTheme="minorHAnsi" w:hAnsiTheme="minorHAnsi" w:cstheme="minorHAnsi"/>
          <w:color w:val="000000" w:themeColor="text1"/>
          <w:sz w:val="24"/>
          <w:szCs w:val="24"/>
        </w:rPr>
        <w:t>describes</w:t>
      </w:r>
      <w:proofErr w:type="gramEnd"/>
      <w:r>
        <w:rPr>
          <w:rFonts w:asciiTheme="minorHAnsi" w:hAnsiTheme="minorHAnsi" w:cstheme="minorHAnsi"/>
          <w:color w:val="000000" w:themeColor="text1"/>
          <w:sz w:val="24"/>
          <w:szCs w:val="24"/>
        </w:rPr>
        <w:t xml:space="preserve"> his relationship with the suspect as great and were ‘best friends’ prior to this incident occurring. They were both watching YouTube on the television while smoking, and the victim has asked the suspect if he would like to leave his flat to get some food. The suspect had </w:t>
      </w:r>
      <w:proofErr w:type="gramStart"/>
      <w:r>
        <w:rPr>
          <w:rFonts w:asciiTheme="minorHAnsi" w:hAnsiTheme="minorHAnsi" w:cstheme="minorHAnsi"/>
          <w:color w:val="000000" w:themeColor="text1"/>
          <w:sz w:val="24"/>
          <w:szCs w:val="24"/>
        </w:rPr>
        <w:t>agreed</w:t>
      </w:r>
      <w:proofErr w:type="gramEnd"/>
      <w:r>
        <w:rPr>
          <w:rFonts w:asciiTheme="minorHAnsi" w:hAnsiTheme="minorHAnsi" w:cstheme="minorHAnsi"/>
          <w:color w:val="000000" w:themeColor="text1"/>
          <w:sz w:val="24"/>
          <w:szCs w:val="24"/>
        </w:rPr>
        <w:t xml:space="preserve"> and both went into his bedroom to collect their shoes. As they did, the suspect has removed </w:t>
      </w:r>
      <w:proofErr w:type="gramStart"/>
      <w:r>
        <w:rPr>
          <w:rFonts w:asciiTheme="minorHAnsi" w:hAnsiTheme="minorHAnsi" w:cstheme="minorHAnsi"/>
          <w:color w:val="000000" w:themeColor="text1"/>
          <w:sz w:val="24"/>
          <w:szCs w:val="24"/>
        </w:rPr>
        <w:t>all of</w:t>
      </w:r>
      <w:proofErr w:type="gramEnd"/>
      <w:r>
        <w:rPr>
          <w:rFonts w:asciiTheme="minorHAnsi" w:hAnsiTheme="minorHAnsi" w:cstheme="minorHAnsi"/>
          <w:color w:val="000000" w:themeColor="text1"/>
          <w:sz w:val="24"/>
          <w:szCs w:val="24"/>
        </w:rPr>
        <w:t xml:space="preserve"> his clothing. The </w:t>
      </w:r>
      <w:r>
        <w:rPr>
          <w:rFonts w:asciiTheme="minorHAnsi" w:hAnsiTheme="minorHAnsi" w:cstheme="minorHAnsi"/>
          <w:color w:val="000000" w:themeColor="text1"/>
          <w:sz w:val="24"/>
          <w:szCs w:val="24"/>
        </w:rPr>
        <w:lastRenderedPageBreak/>
        <w:t xml:space="preserve">suspect has then pushed the victim onto his bed and forced him to manually stimulate his penis. After approximately 30 – 40 seconds, the suspect has then forced his penis into the victim’s mouth. The suspect has pushed the victim’s head back and forth multiple times. After this, the suspect has taken off the victim’s trousers and forced his penis into her vagina. The sexual intercourse lasted approximately 2 – 3 minutes and the suspect has ejaculated inside the victim’s vagina. After the victim has disclosed these details to me, she stated that the suspect lived in the flat below hers and was currently sleeping. As a result of this information, I have entered the flat using the power of Section 17 PACE (1984). This allows any Police Constable to enter a premises they believe a suspect is within to be arrested for an indicatable offence. I have arrested the male suspect on suspicion rape contrary to Section 1 of the Sexual Offences Act (2003). The suspect was taken to Police Custody by one of my colleagues and I have then returned to the victim upstairs to explain the procedure going forward. The incidents described earlier in the day and as a result the victim was still in the forensic window. The Sexual Abuse Referral Clinic (SARC) process was explained and the opportunity to capture vital evidence through obtaining intimate and non-intimate samples. The victim was unsure if she would cope undergoing a medical examination and was very apprehensive. I stated the decision is of her own free will and this would assist in identifying the suspect should he ever deny any involvement within the incidents when being interviewed. The victim was adamant they wanted a female doctor to conduct the examination. I explained that this is something I will try my best to obtain, although this is not always possible. The victim took some time to think through this important decision and they decided to follow through with the SARC examination. I took the victim to Cardiff SARC where they were examined, and the role of an Independent Sexual Violence Advisor (ISVA) was also explained. The role of an ISVA is critical in supporting victims of Rape and Serious Sexual Offences (RASSO) through initial stages all the way through to court. The Stern Review (2010) investigated the role of ISVA’s and the impact they make and discovered that they are one of the most effective measures that can help victims during their experience of a RASSO offence. It was also put forward that ISVA’s lessen the likelihood of a victim withdrawing their involvement in a police investigation meaning cases have the potential to go to court (Brown et al 2010). </w:t>
      </w:r>
    </w:p>
    <w:p w14:paraId="26815392" w14:textId="77777777" w:rsidR="00AB68C2" w:rsidRDefault="00AB68C2" w:rsidP="00AB68C2">
      <w:pPr>
        <w:ind w:right="237"/>
        <w:jc w:val="both"/>
        <w:rPr>
          <w:rFonts w:asciiTheme="minorHAnsi" w:hAnsiTheme="minorHAnsi" w:cstheme="minorHAnsi"/>
          <w:color w:val="000000" w:themeColor="text1"/>
          <w:sz w:val="24"/>
          <w:szCs w:val="24"/>
        </w:rPr>
      </w:pPr>
    </w:p>
    <w:p w14:paraId="4A6FCCE6" w14:textId="77777777" w:rsidR="00AB68C2" w:rsidRDefault="00AB68C2" w:rsidP="00AB68C2">
      <w:pPr>
        <w:ind w:right="237"/>
        <w:jc w:val="both"/>
        <w:rPr>
          <w:rFonts w:asciiTheme="minorHAnsi" w:hAnsiTheme="minorHAnsi" w:cstheme="minorHAnsi"/>
          <w:color w:val="000000" w:themeColor="text1"/>
          <w:sz w:val="24"/>
          <w:szCs w:val="24"/>
        </w:rPr>
      </w:pPr>
      <w:proofErr w:type="gramStart"/>
      <w:r>
        <w:rPr>
          <w:rFonts w:asciiTheme="minorHAnsi" w:hAnsiTheme="minorHAnsi" w:cstheme="minorHAnsi"/>
          <w:color w:val="000000" w:themeColor="text1"/>
          <w:sz w:val="24"/>
          <w:szCs w:val="24"/>
        </w:rPr>
        <w:t>Similar to</w:t>
      </w:r>
      <w:proofErr w:type="gramEnd"/>
      <w:r>
        <w:rPr>
          <w:rFonts w:asciiTheme="minorHAnsi" w:hAnsiTheme="minorHAnsi" w:cstheme="minorHAnsi"/>
          <w:color w:val="000000" w:themeColor="text1"/>
          <w:sz w:val="24"/>
          <w:szCs w:val="24"/>
        </w:rPr>
        <w:t xml:space="preserve"> the victim’s process, when a suspect is taken into Custody intimate and non-intimate swabs can be taken from them with their consent. Intimate samples include blood, </w:t>
      </w:r>
      <w:proofErr w:type="gramStart"/>
      <w:r>
        <w:rPr>
          <w:rFonts w:asciiTheme="minorHAnsi" w:hAnsiTheme="minorHAnsi" w:cstheme="minorHAnsi"/>
          <w:color w:val="000000" w:themeColor="text1"/>
          <w:sz w:val="24"/>
          <w:szCs w:val="24"/>
        </w:rPr>
        <w:t>semen</w:t>
      </w:r>
      <w:proofErr w:type="gramEnd"/>
      <w:r>
        <w:rPr>
          <w:rFonts w:asciiTheme="minorHAnsi" w:hAnsiTheme="minorHAnsi" w:cstheme="minorHAnsi"/>
          <w:color w:val="000000" w:themeColor="text1"/>
          <w:sz w:val="24"/>
          <w:szCs w:val="24"/>
        </w:rPr>
        <w:t xml:space="preserve"> or pubic hair whereas non-intimate samples can be hair from their head or nail scraping from fingers. Section 62 (1) of PACE (1984) allows for this to be conducted when there are rational grounds to believe the samples can either prove or disprove their involvement within the offence. Significantly, authority must be sought by the rank of Inspector or above. This was sought immediately once the suspect entered custody as the forensic window was narrowing with every second that passed. </w:t>
      </w:r>
    </w:p>
    <w:p w14:paraId="3E146A9F" w14:textId="77777777" w:rsidR="00AB68C2" w:rsidRDefault="00AB68C2" w:rsidP="00AB68C2">
      <w:pPr>
        <w:ind w:right="237"/>
        <w:jc w:val="both"/>
        <w:rPr>
          <w:rFonts w:asciiTheme="minorHAnsi" w:hAnsiTheme="minorHAnsi" w:cstheme="minorHAnsi"/>
          <w:color w:val="000000" w:themeColor="text1"/>
          <w:sz w:val="24"/>
          <w:szCs w:val="24"/>
        </w:rPr>
      </w:pPr>
    </w:p>
    <w:p w14:paraId="304B3226" w14:textId="77777777" w:rsidR="00AB68C2" w:rsidRDefault="00AB68C2" w:rsidP="00AB68C2">
      <w:pPr>
        <w:ind w:right="237"/>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Supporting victims throughout the entire investigation and criminal justice process is critical in any case. The victim within this case was transgender (male to female). They made myself aware of this when I was obtaining their initial account about the circumstances of the incident. Members of society are more likely to discriminate and victimise individuals who are transgender. These are both male to female and female </w:t>
      </w:r>
      <w:r>
        <w:rPr>
          <w:rFonts w:asciiTheme="minorHAnsi" w:hAnsiTheme="minorHAnsi" w:cstheme="minorHAnsi"/>
          <w:color w:val="000000" w:themeColor="text1"/>
          <w:sz w:val="24"/>
          <w:szCs w:val="24"/>
        </w:rPr>
        <w:lastRenderedPageBreak/>
        <w:t>to male individuals (Foley 1994). I reassured the victim in this case that this would not occur within this investigation and that I would support them fully regardless of their perceived sexuality. All victims of crime have rights that come under the Code of Practice for Victims of Crime in England and Wales (2024). This includes 12 distinct rights that apply to all victims of crime, and it is the duty of officers to ensure they are. One distinct right set within these codes is for victims of crimes to be referred to relevant support services that accommodate their specific needs. Importantly, I ensured that I submitted relevant referrals that would be able to assist the vulnerable transgender within this case. One of these incredible services was Galop (2024) who work with lesbian, gay, bisexual and transgender (LGBT) victims of crime. Over the last 40 years, they have assisted through forms of domestic abuse, sexual offences and hate crime. The female in this case benefitted massively from talking to professionals from Galop and I was satisfied this was sufficient in assisting them throughout the course of this investigation. In hindsight, I would have referred the individual to Galop earlier than I did in this investigation because of how efficient and considerable they were in helping them gain confidence and supporting them throughout the entire process.</w:t>
      </w:r>
    </w:p>
    <w:p w14:paraId="4FCFB438" w14:textId="77777777" w:rsidR="00AB68C2" w:rsidRDefault="00AB68C2" w:rsidP="00AB68C2">
      <w:pPr>
        <w:ind w:right="237"/>
        <w:jc w:val="both"/>
        <w:rPr>
          <w:rFonts w:asciiTheme="minorHAnsi" w:hAnsiTheme="minorHAnsi" w:cstheme="minorHAnsi"/>
          <w:color w:val="000000" w:themeColor="text1"/>
          <w:sz w:val="24"/>
          <w:szCs w:val="24"/>
        </w:rPr>
      </w:pPr>
    </w:p>
    <w:p w14:paraId="6E41AF11" w14:textId="77777777" w:rsidR="00AB68C2" w:rsidRDefault="00AB68C2" w:rsidP="00AB68C2">
      <w:pPr>
        <w:ind w:right="237"/>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The victim in this case shared the same support accommodation as the suspect. This support accommodation is well-known for assisting young individuals with low income, additional </w:t>
      </w:r>
      <w:proofErr w:type="gramStart"/>
      <w:r>
        <w:rPr>
          <w:rFonts w:asciiTheme="minorHAnsi" w:hAnsiTheme="minorHAnsi" w:cstheme="minorHAnsi"/>
          <w:color w:val="000000" w:themeColor="text1"/>
          <w:sz w:val="24"/>
          <w:szCs w:val="24"/>
        </w:rPr>
        <w:t>needs</w:t>
      </w:r>
      <w:proofErr w:type="gramEnd"/>
      <w:r>
        <w:rPr>
          <w:rFonts w:asciiTheme="minorHAnsi" w:hAnsiTheme="minorHAnsi" w:cstheme="minorHAnsi"/>
          <w:color w:val="000000" w:themeColor="text1"/>
          <w:sz w:val="24"/>
          <w:szCs w:val="24"/>
        </w:rPr>
        <w:t xml:space="preserve"> and severe mental health. As much as I have a duty to take care of the victim in this investigation, I also had to ensure the suspect was looked after too. Once the suspect was interviewed and it was decided he would be bailed, I sought different accommodation for the suspect that he would still be able to receive support from. Receiving assistance from the suspect’s social worker, I found an alternative accommodation in an area that was considerable distance away from the victim’s address. The suspect had never been in this area also and as a result the likelihood of him reoffending was lessened (Wiles and Costello 2000). This was a difficult decision to make however I needed to ensure that the victim in this case was </w:t>
      </w:r>
      <w:proofErr w:type="gramStart"/>
      <w:r>
        <w:rPr>
          <w:rFonts w:asciiTheme="minorHAnsi" w:hAnsiTheme="minorHAnsi" w:cstheme="minorHAnsi"/>
          <w:color w:val="000000" w:themeColor="text1"/>
          <w:sz w:val="24"/>
          <w:szCs w:val="24"/>
        </w:rPr>
        <w:t>safeguarded</w:t>
      </w:r>
      <w:proofErr w:type="gramEnd"/>
      <w:r>
        <w:rPr>
          <w:rFonts w:asciiTheme="minorHAnsi" w:hAnsiTheme="minorHAnsi" w:cstheme="minorHAnsi"/>
          <w:color w:val="000000" w:themeColor="text1"/>
          <w:sz w:val="24"/>
          <w:szCs w:val="24"/>
        </w:rPr>
        <w:t xml:space="preserve"> and the only option was to move the suspect away from them. This was exacerbated by the fact that the victim and suspect were both best friends and the suspect required support accommodation </w:t>
      </w:r>
      <w:proofErr w:type="gramStart"/>
      <w:r>
        <w:rPr>
          <w:rFonts w:asciiTheme="minorHAnsi" w:hAnsiTheme="minorHAnsi" w:cstheme="minorHAnsi"/>
          <w:color w:val="000000" w:themeColor="text1"/>
          <w:sz w:val="24"/>
          <w:szCs w:val="24"/>
        </w:rPr>
        <w:t>similar to</w:t>
      </w:r>
      <w:proofErr w:type="gramEnd"/>
      <w:r>
        <w:rPr>
          <w:rFonts w:asciiTheme="minorHAnsi" w:hAnsiTheme="minorHAnsi" w:cstheme="minorHAnsi"/>
          <w:color w:val="000000" w:themeColor="text1"/>
          <w:sz w:val="24"/>
          <w:szCs w:val="24"/>
        </w:rPr>
        <w:t xml:space="preserve"> his previous address. By making this decision, I took responsibility and ownership as this impacted all individuals involved in the investigation. I managed this by remained honest, </w:t>
      </w:r>
      <w:proofErr w:type="gramStart"/>
      <w:r>
        <w:rPr>
          <w:rFonts w:asciiTheme="minorHAnsi" w:hAnsiTheme="minorHAnsi" w:cstheme="minorHAnsi"/>
          <w:color w:val="000000" w:themeColor="text1"/>
          <w:sz w:val="24"/>
          <w:szCs w:val="24"/>
        </w:rPr>
        <w:t>open</w:t>
      </w:r>
      <w:proofErr w:type="gramEnd"/>
      <w:r>
        <w:rPr>
          <w:rFonts w:asciiTheme="minorHAnsi" w:hAnsiTheme="minorHAnsi" w:cstheme="minorHAnsi"/>
          <w:color w:val="000000" w:themeColor="text1"/>
          <w:sz w:val="24"/>
          <w:szCs w:val="24"/>
        </w:rPr>
        <w:t xml:space="preserve"> and accountable with myself and others (College of Policing 2024). </w:t>
      </w:r>
    </w:p>
    <w:p w14:paraId="68E62080" w14:textId="77777777" w:rsidR="00AB68C2" w:rsidRDefault="00AB68C2" w:rsidP="00AB68C2">
      <w:pPr>
        <w:ind w:right="237"/>
        <w:jc w:val="both"/>
        <w:rPr>
          <w:rFonts w:asciiTheme="minorHAnsi" w:hAnsiTheme="minorHAnsi" w:cstheme="minorHAnsi"/>
          <w:color w:val="000000" w:themeColor="text1"/>
          <w:sz w:val="24"/>
          <w:szCs w:val="24"/>
        </w:rPr>
      </w:pPr>
    </w:p>
    <w:p w14:paraId="5F79BC1E" w14:textId="77777777" w:rsidR="00AB68C2" w:rsidRDefault="00AB68C2" w:rsidP="00AB68C2">
      <w:pPr>
        <w:ind w:right="237"/>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The victim in this case was distraught about the Criminal Justice Process. The thought of being face to face with the suspect again frightened them and as a result questioned their position within the investigation. I have explained special measures to the victim and ensured they had enough time to understand the options available to them. This was introduced by the Youth justice and Criminal Evidence Act (YJCEA 1999) to lighten the pressure that is experienced by victims when in court. Special Measures can be used in court to assist vulnerable or intimated victims of crime in providing vital evidence. As this was a case of rape, the victim was automatically eligible for special measures under sections 23 – 28 of YJCEA. This victim’s vulnerability was heightened as they are transgender and feared how this would be viewed when in court. Special measures are requested via an application which is assessed by a Judge who then </w:t>
      </w:r>
      <w:r>
        <w:rPr>
          <w:rFonts w:asciiTheme="minorHAnsi" w:hAnsiTheme="minorHAnsi" w:cstheme="minorHAnsi"/>
          <w:color w:val="000000" w:themeColor="text1"/>
          <w:sz w:val="24"/>
          <w:szCs w:val="24"/>
        </w:rPr>
        <w:lastRenderedPageBreak/>
        <w:t>determines if this is allowed. There are multiple forms of special measures available in court cases and there are cases where combinations have been used. One of the special measures that I discussed with this victim was providing evidence in private. This allows the individual to provide evidence in an environment where they feel they will not be intimidated. This could be done by a video link or providing evidence within the courtroom. Another option is for the video recorded interview conducted by police to become the victim’s video evidence in chief. This can be revised when played in court and played to the jury and have questions answered via a video link. The victim within this investigation was petrified of standing in a court room and following through with this process. Accordingly, I believed that the victim would favour from providing video evidence in chief which they agreed with. This encompasses the value of responding to individuals needs and remaining fair and impartial. I believed that I took into consideration the specific needs this victim had and ensured I responded sufficiently within this situation. By doing this, I managed my own personal values of remaining honest and acknowledges the severity of anxiety and stress the victim was experiencing within this investigation. There were no witnesses to this incident.</w:t>
      </w:r>
    </w:p>
    <w:p w14:paraId="5C32C122" w14:textId="77777777" w:rsidR="00AB68C2" w:rsidRDefault="00AB68C2" w:rsidP="00AB68C2">
      <w:pPr>
        <w:ind w:right="237"/>
        <w:jc w:val="both"/>
        <w:rPr>
          <w:rFonts w:asciiTheme="minorHAnsi" w:hAnsiTheme="minorHAnsi" w:cstheme="minorHAnsi"/>
          <w:color w:val="000000" w:themeColor="text1"/>
          <w:sz w:val="24"/>
          <w:szCs w:val="24"/>
        </w:rPr>
      </w:pPr>
    </w:p>
    <w:p w14:paraId="22282752" w14:textId="77777777" w:rsidR="00AB68C2" w:rsidRDefault="00AB68C2" w:rsidP="00AB68C2">
      <w:pPr>
        <w:ind w:right="237"/>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The victim in this case did increase my awareness in police officers’ attitudes towards transgendered victims of RASSO. Recently, research has shown that views towards transgender victims of rape has been viewed positively by officers (Davies and Rogers 2006). Although, these attitudes and views must be improved which in future could encourage further transgender victims of RASSO to come forward and report their crimes. This investigation is continuing however within the future I would suggest that further training must be implemented for police officers to increase understanding with transgender cases of rape. Likely, this could be put forward in the form of courses that teach officers to understand </w:t>
      </w:r>
      <w:proofErr w:type="gramStart"/>
      <w:r>
        <w:rPr>
          <w:rFonts w:asciiTheme="minorHAnsi" w:hAnsiTheme="minorHAnsi" w:cstheme="minorHAnsi"/>
          <w:color w:val="000000" w:themeColor="text1"/>
          <w:sz w:val="24"/>
          <w:szCs w:val="24"/>
        </w:rPr>
        <w:t>each individual</w:t>
      </w:r>
      <w:proofErr w:type="gramEnd"/>
      <w:r>
        <w:rPr>
          <w:rFonts w:asciiTheme="minorHAnsi" w:hAnsiTheme="minorHAnsi" w:cstheme="minorHAnsi"/>
          <w:color w:val="000000" w:themeColor="text1"/>
          <w:sz w:val="24"/>
          <w:szCs w:val="24"/>
        </w:rPr>
        <w:t xml:space="preserve"> justly and impartially. In time, this will expand empathy and respect resulting in greater trust and confidence in the police. </w:t>
      </w:r>
    </w:p>
    <w:p w14:paraId="797932D4" w14:textId="77777777" w:rsidR="00AB68C2" w:rsidRDefault="00AB68C2" w:rsidP="00AB68C2">
      <w:pPr>
        <w:ind w:right="237"/>
        <w:jc w:val="both"/>
        <w:rPr>
          <w:rFonts w:asciiTheme="minorHAnsi" w:hAnsiTheme="minorHAnsi" w:cstheme="minorHAnsi"/>
          <w:color w:val="000000" w:themeColor="text1"/>
          <w:sz w:val="24"/>
          <w:szCs w:val="24"/>
        </w:rPr>
      </w:pPr>
    </w:p>
    <w:p w14:paraId="399FD824" w14:textId="77777777" w:rsidR="00AB68C2" w:rsidRDefault="00AB68C2" w:rsidP="00AB68C2">
      <w:pPr>
        <w:ind w:right="237"/>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In conclusion, there were multiple fast track processes employed within this complex rape investigation. Each of these processes require attentiveness and each investigation is disparate. However, there is always one </w:t>
      </w:r>
      <w:proofErr w:type="gramStart"/>
      <w:r>
        <w:rPr>
          <w:rFonts w:asciiTheme="minorHAnsi" w:hAnsiTheme="minorHAnsi" w:cstheme="minorHAnsi"/>
          <w:color w:val="000000" w:themeColor="text1"/>
          <w:sz w:val="24"/>
          <w:szCs w:val="24"/>
        </w:rPr>
        <w:t>similarity</w:t>
      </w:r>
      <w:proofErr w:type="gramEnd"/>
      <w:r>
        <w:rPr>
          <w:rFonts w:asciiTheme="minorHAnsi" w:hAnsiTheme="minorHAnsi" w:cstheme="minorHAnsi"/>
          <w:color w:val="000000" w:themeColor="text1"/>
          <w:sz w:val="24"/>
          <w:szCs w:val="24"/>
        </w:rPr>
        <w:t xml:space="preserve"> and this is ensuring the victims circumstances, emotions and needs are respected and understood competently. I have provided various methods of support to both the victim and suspect. Throughout this, I have also consolidated my own personal values and attitudes of honesty, </w:t>
      </w:r>
      <w:proofErr w:type="gramStart"/>
      <w:r>
        <w:rPr>
          <w:rFonts w:asciiTheme="minorHAnsi" w:hAnsiTheme="minorHAnsi" w:cstheme="minorHAnsi"/>
          <w:color w:val="000000" w:themeColor="text1"/>
          <w:sz w:val="24"/>
          <w:szCs w:val="24"/>
        </w:rPr>
        <w:t>integrity</w:t>
      </w:r>
      <w:proofErr w:type="gramEnd"/>
      <w:r>
        <w:rPr>
          <w:rFonts w:asciiTheme="minorHAnsi" w:hAnsiTheme="minorHAnsi" w:cstheme="minorHAnsi"/>
          <w:color w:val="000000" w:themeColor="text1"/>
          <w:sz w:val="24"/>
          <w:szCs w:val="24"/>
        </w:rPr>
        <w:t xml:space="preserve"> and impartiality. This rape investigation is ongoing, and I will ensure to continue assisting this victim throughout the court case and what subsequently. </w:t>
      </w:r>
    </w:p>
    <w:p w14:paraId="4433B0EC" w14:textId="77777777" w:rsidR="00AB68C2" w:rsidRDefault="00AB68C2" w:rsidP="00AB68C2">
      <w:pPr>
        <w:ind w:right="237"/>
        <w:jc w:val="both"/>
        <w:rPr>
          <w:rFonts w:asciiTheme="minorHAnsi" w:hAnsiTheme="minorHAnsi" w:cstheme="minorHAnsi"/>
          <w:color w:val="000000" w:themeColor="text1"/>
          <w:sz w:val="24"/>
          <w:szCs w:val="24"/>
        </w:rPr>
      </w:pPr>
    </w:p>
    <w:p w14:paraId="0E173164" w14:textId="77777777" w:rsidR="00AB68C2" w:rsidRDefault="00AB68C2" w:rsidP="00AB68C2">
      <w:pPr>
        <w:ind w:right="237"/>
        <w:jc w:val="both"/>
        <w:rPr>
          <w:rFonts w:asciiTheme="minorHAnsi" w:hAnsiTheme="minorHAnsi" w:cstheme="minorHAnsi"/>
          <w:color w:val="000000" w:themeColor="text1"/>
          <w:sz w:val="24"/>
          <w:szCs w:val="24"/>
        </w:rPr>
      </w:pPr>
    </w:p>
    <w:p w14:paraId="2ACE9322" w14:textId="77777777" w:rsidR="00AB68C2" w:rsidRDefault="00AB68C2" w:rsidP="00AB68C2">
      <w:pPr>
        <w:ind w:right="237"/>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1935 words </w:t>
      </w:r>
    </w:p>
    <w:p w14:paraId="47596623" w14:textId="77777777" w:rsidR="00AB68C2" w:rsidRDefault="00AB68C2"/>
    <w:sectPr w:rsidR="00AB68C2" w:rsidSect="00F6424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8C2"/>
    <w:rsid w:val="000A4776"/>
    <w:rsid w:val="005D182F"/>
    <w:rsid w:val="008D31EE"/>
    <w:rsid w:val="00AB68C2"/>
    <w:rsid w:val="00F64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827CA6"/>
  <w15:chartTrackingRefBased/>
  <w15:docId w15:val="{60C19684-B315-6842-8E10-286876615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8C2"/>
    <w:pPr>
      <w:overflowPunct w:val="0"/>
      <w:autoSpaceDE w:val="0"/>
      <w:autoSpaceDN w:val="0"/>
      <w:adjustRightInd w:val="0"/>
      <w:textAlignment w:val="baseline"/>
    </w:pPr>
    <w:rPr>
      <w:rFonts w:ascii="Arial" w:eastAsia="Times New Roman" w:hAnsi="Arial" w:cs="Arial"/>
      <w:color w:val="000000"/>
      <w:sz w:val="20"/>
      <w:szCs w:val="20"/>
      <w:lang w:eastAsia="en-GB"/>
    </w:rPr>
  </w:style>
  <w:style w:type="paragraph" w:styleId="Heading1">
    <w:name w:val="heading 1"/>
    <w:basedOn w:val="Normal"/>
    <w:next w:val="Normal"/>
    <w:link w:val="Heading1Char"/>
    <w:uiPriority w:val="9"/>
    <w:qFormat/>
    <w:rsid w:val="00AB68C2"/>
    <w:pPr>
      <w:keepNext/>
      <w:keepLines/>
      <w:overflowPunct/>
      <w:autoSpaceDE/>
      <w:autoSpaceDN/>
      <w:adjustRightInd/>
      <w:spacing w:before="360" w:after="80"/>
      <w:textAlignment w:val="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AB68C2"/>
    <w:pPr>
      <w:keepNext/>
      <w:keepLines/>
      <w:overflowPunct/>
      <w:autoSpaceDE/>
      <w:autoSpaceDN/>
      <w:adjustRightInd/>
      <w:spacing w:before="160" w:after="80"/>
      <w:textAlignment w:val="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AB68C2"/>
    <w:pPr>
      <w:keepNext/>
      <w:keepLines/>
      <w:overflowPunct/>
      <w:autoSpaceDE/>
      <w:autoSpaceDN/>
      <w:adjustRightInd/>
      <w:spacing w:before="160" w:after="80"/>
      <w:textAlignment w:val="auto"/>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AB68C2"/>
    <w:pPr>
      <w:keepNext/>
      <w:keepLines/>
      <w:overflowPunct/>
      <w:autoSpaceDE/>
      <w:autoSpaceDN/>
      <w:adjustRightInd/>
      <w:spacing w:before="80" w:after="40"/>
      <w:textAlignment w:val="auto"/>
      <w:outlineLvl w:val="3"/>
    </w:pPr>
    <w:rPr>
      <w:rFonts w:asciiTheme="minorHAnsi" w:eastAsiaTheme="majorEastAsia" w:hAnsiTheme="minorHAnsi" w:cstheme="majorBidi"/>
      <w:i/>
      <w:iCs/>
      <w:color w:val="0F4761" w:themeColor="accent1" w:themeShade="BF"/>
      <w:sz w:val="24"/>
      <w:szCs w:val="24"/>
      <w:lang w:eastAsia="en-US"/>
    </w:rPr>
  </w:style>
  <w:style w:type="paragraph" w:styleId="Heading5">
    <w:name w:val="heading 5"/>
    <w:basedOn w:val="Normal"/>
    <w:next w:val="Normal"/>
    <w:link w:val="Heading5Char"/>
    <w:uiPriority w:val="9"/>
    <w:semiHidden/>
    <w:unhideWhenUsed/>
    <w:qFormat/>
    <w:rsid w:val="00AB68C2"/>
    <w:pPr>
      <w:keepNext/>
      <w:keepLines/>
      <w:overflowPunct/>
      <w:autoSpaceDE/>
      <w:autoSpaceDN/>
      <w:adjustRightInd/>
      <w:spacing w:before="80" w:after="40"/>
      <w:textAlignment w:val="auto"/>
      <w:outlineLvl w:val="4"/>
    </w:pPr>
    <w:rPr>
      <w:rFonts w:asciiTheme="minorHAnsi" w:eastAsiaTheme="majorEastAsia" w:hAnsiTheme="minorHAnsi" w:cstheme="majorBidi"/>
      <w:color w:val="0F4761" w:themeColor="accent1" w:themeShade="BF"/>
      <w:sz w:val="24"/>
      <w:szCs w:val="24"/>
      <w:lang w:eastAsia="en-US"/>
    </w:rPr>
  </w:style>
  <w:style w:type="paragraph" w:styleId="Heading6">
    <w:name w:val="heading 6"/>
    <w:basedOn w:val="Normal"/>
    <w:next w:val="Normal"/>
    <w:link w:val="Heading6Char"/>
    <w:uiPriority w:val="9"/>
    <w:semiHidden/>
    <w:unhideWhenUsed/>
    <w:qFormat/>
    <w:rsid w:val="00AB68C2"/>
    <w:pPr>
      <w:keepNext/>
      <w:keepLines/>
      <w:overflowPunct/>
      <w:autoSpaceDE/>
      <w:autoSpaceDN/>
      <w:adjustRightInd/>
      <w:spacing w:before="40"/>
      <w:textAlignment w:val="auto"/>
      <w:outlineLvl w:val="5"/>
    </w:pPr>
    <w:rPr>
      <w:rFonts w:asciiTheme="minorHAnsi" w:eastAsiaTheme="majorEastAsia" w:hAnsiTheme="minorHAnsi" w:cstheme="majorBidi"/>
      <w:i/>
      <w:iCs/>
      <w:color w:val="595959" w:themeColor="text1" w:themeTint="A6"/>
      <w:sz w:val="24"/>
      <w:szCs w:val="24"/>
      <w:lang w:eastAsia="en-US"/>
    </w:rPr>
  </w:style>
  <w:style w:type="paragraph" w:styleId="Heading7">
    <w:name w:val="heading 7"/>
    <w:basedOn w:val="Normal"/>
    <w:next w:val="Normal"/>
    <w:link w:val="Heading7Char"/>
    <w:uiPriority w:val="9"/>
    <w:semiHidden/>
    <w:unhideWhenUsed/>
    <w:qFormat/>
    <w:rsid w:val="00AB68C2"/>
    <w:pPr>
      <w:keepNext/>
      <w:keepLines/>
      <w:overflowPunct/>
      <w:autoSpaceDE/>
      <w:autoSpaceDN/>
      <w:adjustRightInd/>
      <w:spacing w:before="40"/>
      <w:textAlignment w:val="auto"/>
      <w:outlineLvl w:val="6"/>
    </w:pPr>
    <w:rPr>
      <w:rFonts w:asciiTheme="minorHAnsi" w:eastAsiaTheme="majorEastAsia" w:hAnsiTheme="minorHAnsi" w:cstheme="majorBidi"/>
      <w:color w:val="595959" w:themeColor="text1" w:themeTint="A6"/>
      <w:sz w:val="24"/>
      <w:szCs w:val="24"/>
      <w:lang w:eastAsia="en-US"/>
    </w:rPr>
  </w:style>
  <w:style w:type="paragraph" w:styleId="Heading8">
    <w:name w:val="heading 8"/>
    <w:basedOn w:val="Normal"/>
    <w:next w:val="Normal"/>
    <w:link w:val="Heading8Char"/>
    <w:uiPriority w:val="9"/>
    <w:semiHidden/>
    <w:unhideWhenUsed/>
    <w:qFormat/>
    <w:rsid w:val="00AB68C2"/>
    <w:pPr>
      <w:keepNext/>
      <w:keepLines/>
      <w:overflowPunct/>
      <w:autoSpaceDE/>
      <w:autoSpaceDN/>
      <w:adjustRightInd/>
      <w:textAlignment w:val="auto"/>
      <w:outlineLvl w:val="7"/>
    </w:pPr>
    <w:rPr>
      <w:rFonts w:asciiTheme="minorHAnsi" w:eastAsiaTheme="majorEastAsia" w:hAnsiTheme="minorHAnsi" w:cstheme="majorBidi"/>
      <w:i/>
      <w:iCs/>
      <w:color w:val="272727" w:themeColor="text1" w:themeTint="D8"/>
      <w:sz w:val="24"/>
      <w:szCs w:val="24"/>
      <w:lang w:eastAsia="en-US"/>
    </w:rPr>
  </w:style>
  <w:style w:type="paragraph" w:styleId="Heading9">
    <w:name w:val="heading 9"/>
    <w:basedOn w:val="Normal"/>
    <w:next w:val="Normal"/>
    <w:link w:val="Heading9Char"/>
    <w:uiPriority w:val="9"/>
    <w:semiHidden/>
    <w:unhideWhenUsed/>
    <w:qFormat/>
    <w:rsid w:val="00AB68C2"/>
    <w:pPr>
      <w:keepNext/>
      <w:keepLines/>
      <w:overflowPunct/>
      <w:autoSpaceDE/>
      <w:autoSpaceDN/>
      <w:adjustRightInd/>
      <w:textAlignment w:val="auto"/>
      <w:outlineLvl w:val="8"/>
    </w:pPr>
    <w:rPr>
      <w:rFonts w:asciiTheme="minorHAnsi" w:eastAsiaTheme="majorEastAsia" w:hAnsiTheme="minorHAnsi" w:cstheme="majorBidi"/>
      <w:color w:val="272727" w:themeColor="text1" w:themeTint="D8"/>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68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68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68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68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68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68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68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68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68C2"/>
    <w:rPr>
      <w:rFonts w:eastAsiaTheme="majorEastAsia" w:cstheme="majorBidi"/>
      <w:color w:val="272727" w:themeColor="text1" w:themeTint="D8"/>
    </w:rPr>
  </w:style>
  <w:style w:type="paragraph" w:styleId="Title">
    <w:name w:val="Title"/>
    <w:basedOn w:val="Normal"/>
    <w:next w:val="Normal"/>
    <w:link w:val="TitleChar"/>
    <w:uiPriority w:val="10"/>
    <w:qFormat/>
    <w:rsid w:val="00AB68C2"/>
    <w:pPr>
      <w:overflowPunct/>
      <w:autoSpaceDE/>
      <w:autoSpaceDN/>
      <w:adjustRightInd/>
      <w:spacing w:after="80"/>
      <w:contextualSpacing/>
      <w:textAlignment w:val="auto"/>
    </w:pPr>
    <w:rPr>
      <w:rFonts w:asciiTheme="majorHAnsi" w:eastAsiaTheme="majorEastAsia" w:hAnsiTheme="majorHAnsi" w:cstheme="majorBidi"/>
      <w:color w:val="auto"/>
      <w:spacing w:val="-10"/>
      <w:kern w:val="28"/>
      <w:sz w:val="56"/>
      <w:szCs w:val="56"/>
      <w:lang w:eastAsia="en-US"/>
    </w:rPr>
  </w:style>
  <w:style w:type="character" w:customStyle="1" w:styleId="TitleChar">
    <w:name w:val="Title Char"/>
    <w:basedOn w:val="DefaultParagraphFont"/>
    <w:link w:val="Title"/>
    <w:uiPriority w:val="10"/>
    <w:rsid w:val="00AB68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68C2"/>
    <w:pPr>
      <w:numPr>
        <w:ilvl w:val="1"/>
      </w:numPr>
      <w:overflowPunct/>
      <w:autoSpaceDE/>
      <w:autoSpaceDN/>
      <w:adjustRightInd/>
      <w:spacing w:after="160"/>
      <w:textAlignment w:val="auto"/>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AB68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68C2"/>
    <w:pPr>
      <w:overflowPunct/>
      <w:autoSpaceDE/>
      <w:autoSpaceDN/>
      <w:adjustRightInd/>
      <w:spacing w:before="160" w:after="160"/>
      <w:jc w:val="center"/>
      <w:textAlignment w:val="auto"/>
    </w:pPr>
    <w:rPr>
      <w:rFonts w:asciiTheme="minorHAnsi" w:eastAsiaTheme="minorHAnsi" w:hAnsiTheme="minorHAnsi" w:cstheme="minorBidi"/>
      <w:i/>
      <w:iCs/>
      <w:color w:val="404040" w:themeColor="text1" w:themeTint="BF"/>
      <w:sz w:val="24"/>
      <w:szCs w:val="24"/>
      <w:lang w:eastAsia="en-US"/>
    </w:rPr>
  </w:style>
  <w:style w:type="character" w:customStyle="1" w:styleId="QuoteChar">
    <w:name w:val="Quote Char"/>
    <w:basedOn w:val="DefaultParagraphFont"/>
    <w:link w:val="Quote"/>
    <w:uiPriority w:val="29"/>
    <w:rsid w:val="00AB68C2"/>
    <w:rPr>
      <w:i/>
      <w:iCs/>
      <w:color w:val="404040" w:themeColor="text1" w:themeTint="BF"/>
    </w:rPr>
  </w:style>
  <w:style w:type="paragraph" w:styleId="ListParagraph">
    <w:name w:val="List Paragraph"/>
    <w:basedOn w:val="Normal"/>
    <w:uiPriority w:val="34"/>
    <w:qFormat/>
    <w:rsid w:val="00AB68C2"/>
    <w:pPr>
      <w:overflowPunct/>
      <w:autoSpaceDE/>
      <w:autoSpaceDN/>
      <w:adjustRightInd/>
      <w:ind w:left="720"/>
      <w:contextualSpacing/>
      <w:textAlignment w:val="auto"/>
    </w:pPr>
    <w:rPr>
      <w:rFonts w:asciiTheme="minorHAnsi" w:eastAsiaTheme="minorHAnsi" w:hAnsiTheme="minorHAnsi" w:cstheme="minorBidi"/>
      <w:color w:val="auto"/>
      <w:sz w:val="24"/>
      <w:szCs w:val="24"/>
      <w:lang w:eastAsia="en-US"/>
    </w:rPr>
  </w:style>
  <w:style w:type="character" w:styleId="IntenseEmphasis">
    <w:name w:val="Intense Emphasis"/>
    <w:basedOn w:val="DefaultParagraphFont"/>
    <w:uiPriority w:val="21"/>
    <w:qFormat/>
    <w:rsid w:val="00AB68C2"/>
    <w:rPr>
      <w:i/>
      <w:iCs/>
      <w:color w:val="0F4761" w:themeColor="accent1" w:themeShade="BF"/>
    </w:rPr>
  </w:style>
  <w:style w:type="paragraph" w:styleId="IntenseQuote">
    <w:name w:val="Intense Quote"/>
    <w:basedOn w:val="Normal"/>
    <w:next w:val="Normal"/>
    <w:link w:val="IntenseQuoteChar"/>
    <w:uiPriority w:val="30"/>
    <w:qFormat/>
    <w:rsid w:val="00AB68C2"/>
    <w:pPr>
      <w:pBdr>
        <w:top w:val="single" w:sz="4" w:space="10" w:color="0F4761" w:themeColor="accent1" w:themeShade="BF"/>
        <w:bottom w:val="single" w:sz="4" w:space="10" w:color="0F4761" w:themeColor="accent1" w:themeShade="BF"/>
      </w:pBdr>
      <w:overflowPunct/>
      <w:autoSpaceDE/>
      <w:autoSpaceDN/>
      <w:adjustRightInd/>
      <w:spacing w:before="360" w:after="360"/>
      <w:ind w:left="864" w:right="864"/>
      <w:jc w:val="center"/>
      <w:textAlignment w:val="auto"/>
    </w:pPr>
    <w:rPr>
      <w:rFonts w:asciiTheme="minorHAnsi" w:eastAsiaTheme="minorHAnsi" w:hAnsiTheme="minorHAnsi" w:cstheme="minorBidi"/>
      <w:i/>
      <w:iCs/>
      <w:color w:val="0F4761" w:themeColor="accent1" w:themeShade="BF"/>
      <w:sz w:val="24"/>
      <w:szCs w:val="24"/>
      <w:lang w:eastAsia="en-US"/>
    </w:rPr>
  </w:style>
  <w:style w:type="character" w:customStyle="1" w:styleId="IntenseQuoteChar">
    <w:name w:val="Intense Quote Char"/>
    <w:basedOn w:val="DefaultParagraphFont"/>
    <w:link w:val="IntenseQuote"/>
    <w:uiPriority w:val="30"/>
    <w:rsid w:val="00AB68C2"/>
    <w:rPr>
      <w:i/>
      <w:iCs/>
      <w:color w:val="0F4761" w:themeColor="accent1" w:themeShade="BF"/>
    </w:rPr>
  </w:style>
  <w:style w:type="character" w:styleId="IntenseReference">
    <w:name w:val="Intense Reference"/>
    <w:basedOn w:val="DefaultParagraphFont"/>
    <w:uiPriority w:val="32"/>
    <w:qFormat/>
    <w:rsid w:val="00AB68C2"/>
    <w:rPr>
      <w:b/>
      <w:bCs/>
      <w:smallCaps/>
      <w:color w:val="0F4761" w:themeColor="accent1" w:themeShade="BF"/>
      <w:spacing w:val="5"/>
    </w:rPr>
  </w:style>
  <w:style w:type="table" w:styleId="TableGrid">
    <w:name w:val="Table Grid"/>
    <w:basedOn w:val="TableNormal"/>
    <w:rsid w:val="00AB68C2"/>
    <w:rPr>
      <w:rFonts w:ascii="Times New Roman" w:eastAsia="Times New Roman" w:hAnsi="Times New Roman" w:cs="Times New Roman"/>
      <w:sz w:val="20"/>
      <w:szCs w:val="20"/>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3880</Words>
  <Characters>22121</Characters>
  <Application>Microsoft Office Word</Application>
  <DocSecurity>0</DocSecurity>
  <Lines>184</Lines>
  <Paragraphs>51</Paragraphs>
  <ScaleCrop>false</ScaleCrop>
  <Company/>
  <LinksUpToDate>false</LinksUpToDate>
  <CharactersWithSpaces>25950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Al-Amin Rahman</dc:creator>
  <cp:keywords/>
  <dc:description/>
  <cp:lastModifiedBy>Al-Amin Rahman</cp:lastModifiedBy>
  <cp:revision>1</cp:revision>
  <dcterms:created xsi:type="dcterms:W3CDTF">2024-04-12T12:12:00Z</dcterms:created>
  <dcterms:modified xsi:type="dcterms:W3CDTF">2024-04-12T12:13:00Z</dcterms:modified>
</cp:coreProperties>
</file>