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DB302" w14:textId="673C1BDB" w:rsidR="00EA17BD" w:rsidRPr="00D90B44" w:rsidRDefault="00EA17BD" w:rsidP="00EA17BD">
      <w:pPr>
        <w:pBdr>
          <w:bottom w:val="single" w:sz="6" w:space="1" w:color="auto"/>
        </w:pBdr>
        <w:spacing w:line="360" w:lineRule="auto"/>
        <w:rPr>
          <w:rFonts w:ascii="Arial" w:hAnsi="Arial" w:cs="Arial"/>
          <w:b/>
          <w:bCs/>
        </w:rPr>
      </w:pPr>
      <w:r w:rsidRPr="00EA17BD">
        <w:rPr>
          <w:rFonts w:ascii="Arial" w:hAnsi="Arial" w:cs="Arial"/>
          <w:b/>
          <w:bCs/>
        </w:rPr>
        <w:t>Research for Learning/</w:t>
      </w:r>
      <w:proofErr w:type="spellStart"/>
      <w:r w:rsidRPr="00EA17BD">
        <w:rPr>
          <w:rFonts w:ascii="Arial" w:hAnsi="Arial" w:cs="Arial"/>
          <w:b/>
          <w:bCs/>
        </w:rPr>
        <w:t>Ymchwil</w:t>
      </w:r>
      <w:proofErr w:type="spellEnd"/>
      <w:r w:rsidRPr="00EA17BD">
        <w:rPr>
          <w:rFonts w:ascii="Arial" w:hAnsi="Arial" w:cs="Arial"/>
          <w:b/>
          <w:bCs/>
        </w:rPr>
        <w:t xml:space="preserve"> </w:t>
      </w:r>
      <w:proofErr w:type="spellStart"/>
      <w:r w:rsidRPr="00EA17BD">
        <w:rPr>
          <w:rFonts w:ascii="Arial" w:hAnsi="Arial" w:cs="Arial"/>
          <w:b/>
          <w:bCs/>
        </w:rPr>
        <w:t>ar</w:t>
      </w:r>
      <w:proofErr w:type="spellEnd"/>
      <w:r w:rsidRPr="00EA17BD">
        <w:rPr>
          <w:rFonts w:ascii="Arial" w:hAnsi="Arial" w:cs="Arial"/>
          <w:b/>
          <w:bCs/>
        </w:rPr>
        <w:t xml:space="preserve"> </w:t>
      </w:r>
      <w:proofErr w:type="spellStart"/>
      <w:r w:rsidRPr="00EA17BD">
        <w:rPr>
          <w:rFonts w:ascii="Arial" w:hAnsi="Arial" w:cs="Arial"/>
          <w:b/>
          <w:bCs/>
        </w:rPr>
        <w:t>gyfer</w:t>
      </w:r>
      <w:proofErr w:type="spellEnd"/>
      <w:r w:rsidRPr="00EA17BD">
        <w:rPr>
          <w:rFonts w:ascii="Arial" w:hAnsi="Arial" w:cs="Arial"/>
          <w:b/>
          <w:bCs/>
        </w:rPr>
        <w:t xml:space="preserve"> </w:t>
      </w:r>
      <w:proofErr w:type="spellStart"/>
      <w:r w:rsidRPr="00EA17BD">
        <w:rPr>
          <w:rFonts w:ascii="Arial" w:hAnsi="Arial" w:cs="Arial"/>
          <w:b/>
          <w:bCs/>
        </w:rPr>
        <w:t>Dysgu</w:t>
      </w:r>
      <w:proofErr w:type="spellEnd"/>
      <w:r w:rsidRPr="00EA17BD">
        <w:rPr>
          <w:rFonts w:ascii="Arial" w:hAnsi="Arial" w:cs="Arial"/>
          <w:b/>
          <w:bCs/>
        </w:rPr>
        <w:t xml:space="preserve"> </w:t>
      </w:r>
      <w:r>
        <w:rPr>
          <w:rFonts w:ascii="Arial" w:hAnsi="Arial" w:cs="Arial"/>
          <w:b/>
          <w:bCs/>
        </w:rPr>
        <w:t xml:space="preserve">- </w:t>
      </w:r>
      <w:r w:rsidRPr="00D90B44">
        <w:rPr>
          <w:rFonts w:ascii="Arial" w:hAnsi="Arial" w:cs="Arial"/>
          <w:b/>
          <w:bCs/>
        </w:rPr>
        <w:t>Portfolio</w:t>
      </w:r>
    </w:p>
    <w:p w14:paraId="533934D5" w14:textId="77777777" w:rsidR="00EA17BD" w:rsidRPr="00D90B44" w:rsidRDefault="00EA17BD" w:rsidP="00EA17BD">
      <w:pPr>
        <w:spacing w:line="360" w:lineRule="auto"/>
        <w:rPr>
          <w:rFonts w:ascii="Arial" w:hAnsi="Arial" w:cs="Arial"/>
          <w:b/>
          <w:bCs/>
        </w:rPr>
      </w:pPr>
    </w:p>
    <w:p w14:paraId="54ACB8CD" w14:textId="77777777" w:rsidR="00EA17BD" w:rsidRPr="00D90B44" w:rsidRDefault="00EA17BD" w:rsidP="00EA17BD">
      <w:pPr>
        <w:spacing w:line="360" w:lineRule="auto"/>
        <w:rPr>
          <w:rFonts w:ascii="Arial" w:hAnsi="Arial" w:cs="Arial"/>
          <w:b/>
          <w:bCs/>
        </w:rPr>
      </w:pPr>
      <w:r w:rsidRPr="00D90B44">
        <w:rPr>
          <w:rFonts w:ascii="Arial" w:hAnsi="Arial" w:cs="Arial"/>
          <w:b/>
          <w:bCs/>
        </w:rPr>
        <w:t>Contents Page</w:t>
      </w:r>
    </w:p>
    <w:p w14:paraId="013A801F" w14:textId="77777777" w:rsidR="00EA17BD" w:rsidRPr="00D90B44" w:rsidRDefault="00EA17BD" w:rsidP="00EA17BD">
      <w:pPr>
        <w:spacing w:line="360" w:lineRule="auto"/>
        <w:rPr>
          <w:rFonts w:ascii="Arial" w:hAnsi="Arial" w:cs="Arial"/>
          <w:b/>
          <w:bCs/>
        </w:rPr>
      </w:pPr>
    </w:p>
    <w:p w14:paraId="3C51CB1A" w14:textId="77777777" w:rsidR="00EA17BD" w:rsidRPr="00D90B44" w:rsidRDefault="00EA17BD" w:rsidP="00EA17BD">
      <w:pPr>
        <w:spacing w:line="360" w:lineRule="auto"/>
        <w:rPr>
          <w:rFonts w:ascii="Arial" w:hAnsi="Arial" w:cs="Arial"/>
          <w:b/>
          <w:bCs/>
        </w:rPr>
      </w:pPr>
      <w:r w:rsidRPr="00D90B44">
        <w:rPr>
          <w:rFonts w:ascii="Arial" w:hAnsi="Arial" w:cs="Arial"/>
          <w:b/>
          <w:bCs/>
        </w:rPr>
        <w:t>AI Statement – Page 1</w:t>
      </w:r>
    </w:p>
    <w:p w14:paraId="2D36781D" w14:textId="400A5F35" w:rsidR="00EA17BD" w:rsidRPr="00D90B44" w:rsidRDefault="00EA17BD" w:rsidP="00EA17BD">
      <w:pPr>
        <w:spacing w:line="360" w:lineRule="auto"/>
        <w:rPr>
          <w:rFonts w:ascii="Arial" w:hAnsi="Arial" w:cs="Arial"/>
          <w:b/>
          <w:bCs/>
        </w:rPr>
      </w:pPr>
      <w:r>
        <w:rPr>
          <w:rFonts w:ascii="Arial" w:hAnsi="Arial" w:cs="Arial"/>
          <w:b/>
          <w:bCs/>
        </w:rPr>
        <w:t>Literature Review – Page 2 - 4</w:t>
      </w:r>
    </w:p>
    <w:p w14:paraId="1DAAC608" w14:textId="1B91B3FF" w:rsidR="00EA17BD" w:rsidRDefault="00EA17BD" w:rsidP="00EA17BD">
      <w:pPr>
        <w:pBdr>
          <w:bottom w:val="single" w:sz="6" w:space="1" w:color="auto"/>
        </w:pBdr>
        <w:spacing w:line="360" w:lineRule="auto"/>
        <w:rPr>
          <w:rFonts w:ascii="Arial" w:hAnsi="Arial" w:cs="Arial"/>
          <w:b/>
          <w:bCs/>
        </w:rPr>
      </w:pPr>
      <w:r>
        <w:rPr>
          <w:rFonts w:ascii="Arial" w:hAnsi="Arial" w:cs="Arial"/>
          <w:b/>
          <w:bCs/>
        </w:rPr>
        <w:t>Methodology – Page 5 – 8</w:t>
      </w:r>
    </w:p>
    <w:p w14:paraId="15E3A94E" w14:textId="02E3717A" w:rsidR="00EA17BD" w:rsidRDefault="00EA17BD" w:rsidP="00EA17BD">
      <w:pPr>
        <w:pBdr>
          <w:bottom w:val="single" w:sz="6" w:space="1" w:color="auto"/>
        </w:pBdr>
        <w:spacing w:line="360" w:lineRule="auto"/>
        <w:rPr>
          <w:rFonts w:ascii="Arial" w:hAnsi="Arial" w:cs="Arial"/>
          <w:b/>
          <w:bCs/>
        </w:rPr>
      </w:pPr>
      <w:r>
        <w:rPr>
          <w:rFonts w:ascii="Arial" w:hAnsi="Arial" w:cs="Arial"/>
          <w:b/>
          <w:bCs/>
        </w:rPr>
        <w:t>Ethical Considerations – Page 9 - 12</w:t>
      </w:r>
    </w:p>
    <w:p w14:paraId="560D0307" w14:textId="603DBF30" w:rsidR="00EA17BD" w:rsidRDefault="002F463E" w:rsidP="00EA17BD">
      <w:pPr>
        <w:pBdr>
          <w:bottom w:val="single" w:sz="6" w:space="1" w:color="auto"/>
        </w:pBdr>
        <w:spacing w:line="360" w:lineRule="auto"/>
        <w:rPr>
          <w:rFonts w:ascii="Arial" w:hAnsi="Arial" w:cs="Arial"/>
          <w:b/>
          <w:bCs/>
        </w:rPr>
      </w:pPr>
      <w:r>
        <w:rPr>
          <w:rFonts w:ascii="Arial" w:hAnsi="Arial" w:cs="Arial"/>
          <w:b/>
          <w:bCs/>
        </w:rPr>
        <w:t>Reference List – Page 13 - 16</w:t>
      </w:r>
    </w:p>
    <w:p w14:paraId="6755CECC" w14:textId="77777777" w:rsidR="00EA17BD" w:rsidRPr="00D90B44" w:rsidRDefault="00EA17BD" w:rsidP="00EA17BD">
      <w:pPr>
        <w:pBdr>
          <w:bottom w:val="single" w:sz="6" w:space="1" w:color="auto"/>
        </w:pBdr>
        <w:spacing w:line="360" w:lineRule="auto"/>
        <w:rPr>
          <w:rFonts w:ascii="Arial" w:hAnsi="Arial" w:cs="Arial"/>
          <w:b/>
          <w:bCs/>
        </w:rPr>
      </w:pPr>
    </w:p>
    <w:p w14:paraId="3B7BDE0C" w14:textId="77777777" w:rsidR="00EA17BD" w:rsidRPr="00D90B44" w:rsidRDefault="00EA17BD" w:rsidP="00EA17BD">
      <w:pPr>
        <w:pBdr>
          <w:bottom w:val="single" w:sz="6" w:space="1" w:color="auto"/>
        </w:pBdr>
        <w:spacing w:line="360" w:lineRule="auto"/>
        <w:rPr>
          <w:rFonts w:ascii="Arial" w:hAnsi="Arial" w:cs="Arial"/>
          <w:b/>
          <w:bCs/>
        </w:rPr>
      </w:pPr>
    </w:p>
    <w:p w14:paraId="1A025498" w14:textId="77777777" w:rsidR="00EA17BD" w:rsidRPr="00D90B44" w:rsidRDefault="00EA17BD" w:rsidP="00EA17BD">
      <w:pPr>
        <w:spacing w:line="360" w:lineRule="auto"/>
        <w:rPr>
          <w:rFonts w:ascii="Arial" w:hAnsi="Arial" w:cs="Arial"/>
          <w:b/>
          <w:bCs/>
        </w:rPr>
      </w:pPr>
    </w:p>
    <w:p w14:paraId="667403B6" w14:textId="77777777" w:rsidR="00EA17BD" w:rsidRPr="00D90B44" w:rsidRDefault="00EA17BD" w:rsidP="00EA17BD">
      <w:pPr>
        <w:rPr>
          <w:rFonts w:ascii="Arial" w:hAnsi="Arial" w:cs="Arial"/>
        </w:rPr>
      </w:pPr>
      <w:r w:rsidRPr="00D90B44">
        <w:rPr>
          <w:rFonts w:ascii="Arial" w:hAnsi="Arial" w:cs="Arial"/>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0BBF5BAD" w14:textId="77777777" w:rsidR="00EA17BD" w:rsidRPr="00D90B44" w:rsidRDefault="00EA17BD" w:rsidP="00EA17BD">
      <w:pPr>
        <w:pBdr>
          <w:bottom w:val="single" w:sz="6" w:space="1" w:color="auto"/>
        </w:pBdr>
        <w:rPr>
          <w:rFonts w:ascii="Arial" w:hAnsi="Arial" w:cs="Arial"/>
        </w:rPr>
      </w:pPr>
    </w:p>
    <w:p w14:paraId="3226AA46" w14:textId="77777777" w:rsidR="00480113" w:rsidRDefault="00480113"/>
    <w:p w14:paraId="1D9AC76B" w14:textId="77777777" w:rsidR="00EA17BD" w:rsidRDefault="00EA17BD"/>
    <w:p w14:paraId="39C05B02" w14:textId="77777777" w:rsidR="00EA17BD" w:rsidRDefault="00EA17BD"/>
    <w:p w14:paraId="1FBE9023" w14:textId="77777777" w:rsidR="00EA17BD" w:rsidRDefault="00EA17BD"/>
    <w:p w14:paraId="2C8A48E4" w14:textId="77777777" w:rsidR="00EA17BD" w:rsidRDefault="00EA17BD"/>
    <w:p w14:paraId="39B09A48" w14:textId="77777777" w:rsidR="00EA17BD" w:rsidRDefault="00EA17BD"/>
    <w:p w14:paraId="07FFED31" w14:textId="77777777" w:rsidR="00EA17BD" w:rsidRDefault="00EA17BD"/>
    <w:p w14:paraId="7921FB7F" w14:textId="77777777" w:rsidR="00EA17BD" w:rsidRDefault="00EA17BD"/>
    <w:p w14:paraId="2A634D59" w14:textId="77777777" w:rsidR="00EA17BD" w:rsidRDefault="00EA17BD"/>
    <w:p w14:paraId="1FDC537F" w14:textId="07B05304" w:rsidR="00EA17BD" w:rsidRPr="00EA17BD" w:rsidRDefault="00EA17BD" w:rsidP="00EA17BD">
      <w:pPr>
        <w:rPr>
          <w:rFonts w:ascii="Arial" w:hAnsi="Arial" w:cs="Arial"/>
          <w:b/>
          <w:bCs/>
          <w:sz w:val="28"/>
          <w:szCs w:val="28"/>
        </w:rPr>
      </w:pPr>
      <w:r w:rsidRPr="00EA17BD">
        <w:rPr>
          <w:rFonts w:ascii="Arial" w:hAnsi="Arial" w:cs="Arial"/>
          <w:b/>
          <w:bCs/>
          <w:sz w:val="28"/>
          <w:szCs w:val="28"/>
        </w:rPr>
        <w:lastRenderedPageBreak/>
        <w:t>Literature Review</w:t>
      </w:r>
    </w:p>
    <w:p w14:paraId="45A5F339" w14:textId="77777777" w:rsidR="00EA17BD" w:rsidRDefault="00EA17BD" w:rsidP="00EA17BD">
      <w:pPr>
        <w:rPr>
          <w:rFonts w:ascii="Arial" w:hAnsi="Arial" w:cs="Arial"/>
        </w:rPr>
      </w:pPr>
    </w:p>
    <w:p w14:paraId="14F54100" w14:textId="627BE250" w:rsidR="00EA17BD" w:rsidRDefault="00EA17BD" w:rsidP="00EA17BD">
      <w:pPr>
        <w:rPr>
          <w:rFonts w:ascii="Arial" w:hAnsi="Arial" w:cs="Arial"/>
        </w:rPr>
      </w:pPr>
      <w:r>
        <w:rPr>
          <w:rFonts w:ascii="Arial" w:hAnsi="Arial" w:cs="Arial"/>
        </w:rPr>
        <w:t>Understanding and exploring</w:t>
      </w:r>
      <w:r w:rsidRPr="00B76DE4">
        <w:rPr>
          <w:rFonts w:ascii="Arial" w:hAnsi="Arial" w:cs="Arial"/>
        </w:rPr>
        <w:t xml:space="preserve"> the barriers that children with Profound and Multiple Learning </w:t>
      </w:r>
      <w:r>
        <w:rPr>
          <w:rFonts w:ascii="Arial" w:hAnsi="Arial" w:cs="Arial"/>
        </w:rPr>
        <w:t>Difficulties (PMLD)</w:t>
      </w:r>
      <w:r w:rsidRPr="00B76DE4">
        <w:rPr>
          <w:rFonts w:ascii="Arial" w:hAnsi="Arial" w:cs="Arial"/>
        </w:rPr>
        <w:t xml:space="preserve"> need to overcome to reach academic attainment and </w:t>
      </w:r>
      <w:r>
        <w:rPr>
          <w:rFonts w:ascii="Arial" w:hAnsi="Arial" w:cs="Arial"/>
        </w:rPr>
        <w:t xml:space="preserve">a sense of </w:t>
      </w:r>
      <w:r w:rsidRPr="00B76DE4">
        <w:rPr>
          <w:rFonts w:ascii="Arial" w:hAnsi="Arial" w:cs="Arial"/>
        </w:rPr>
        <w:t>well-being</w:t>
      </w:r>
      <w:r>
        <w:rPr>
          <w:rFonts w:ascii="Arial" w:hAnsi="Arial" w:cs="Arial"/>
        </w:rPr>
        <w:t xml:space="preserve"> in their life.</w:t>
      </w:r>
    </w:p>
    <w:p w14:paraId="1FCB5952" w14:textId="77777777" w:rsidR="00EA17BD" w:rsidRDefault="00EA17BD" w:rsidP="00EA17BD">
      <w:pPr>
        <w:rPr>
          <w:rFonts w:ascii="Arial" w:hAnsi="Arial" w:cs="Arial"/>
        </w:rPr>
      </w:pPr>
      <w:r>
        <w:rPr>
          <w:rFonts w:ascii="Arial" w:hAnsi="Arial" w:cs="Arial"/>
        </w:rPr>
        <w:t xml:space="preserve">Children and young people with Profound and Multiple Learning Needs (PMLD) experience a unique way of life and how they navigate both their private and public life. Schools in Wales and society in general can provide crucial support for a child and their family or be the source of hinderance for PMLD individuals. In Wales, Routes for Learning (Welsh Government, 2006) was published to develop assessments for PMLD learners in schools in Wales. Though similar approaches were adopted widely throughout the United Kingdom and other nations. Routes for Learning (2020) would go further and have PMLD learners be at the heart of its resources and reading material. This update would go on to be pushed by those in the academic field and professional practitioners within settings and agencies. Barriers are reflected further by Emerson (2012) that planning is undertaken continuously, in advanced for the sole aim to ease those transitional moments in a child’s life. This is crucial as support is needed more as the years go by, with further individuals being identified with PMLD. </w:t>
      </w:r>
    </w:p>
    <w:p w14:paraId="572E5ABB" w14:textId="77777777" w:rsidR="00EA17BD" w:rsidRDefault="00EA17BD" w:rsidP="00EA17BD">
      <w:pPr>
        <w:rPr>
          <w:rFonts w:ascii="Arial" w:hAnsi="Arial" w:cs="Arial"/>
        </w:rPr>
      </w:pPr>
      <w:r>
        <w:rPr>
          <w:rFonts w:ascii="Arial" w:hAnsi="Arial" w:cs="Arial"/>
        </w:rPr>
        <w:t xml:space="preserve">Individuals with PMLD undergo a multitude of barriers through their life, this more so for young people and children. Barriers not only extend to the individual but to the families and communities. Anderson (2022) outlines the importance of having settings and professionals that understand the need to have the knowledge to support and facilitate individuals with PMLD. Barriers can be anything or anyone, offering crucial training in fact, can go a long way to ensuring that all children are able to have ease of access to education and support (Anderson, 2022). Considerations to be considered in enforcing important rights for PMLD individuals, Children and young People’s Commissioner Scotland (2026) argue that article 31 is fundamental in outlining the right to play and relax, reinforcing this article emphasises the need to ensure that barriers are being removed to facilitate play and relaxation. Anderson (2022) is convinced that providing early intervention in support for longer instances for individuals with various impairments either from sensory, physical, or cognitively. Opportunities need to be given equally regardless of impairment, professional practitioners need to know when a child is finished playing, how do we look for these signs. Slight movement of the head, a twitch of the hand or flickering of the eyes. Allow moments of processing to develop key relationship with the individual. Barriers are everywhere not just in an individual’s play, it could be with their own health needs, transitioning to another environment. Barriers are everywhere. </w:t>
      </w:r>
    </w:p>
    <w:p w14:paraId="285B9DC3" w14:textId="77777777" w:rsidR="00EA17BD" w:rsidRDefault="00EA17BD" w:rsidP="00EA17BD">
      <w:pPr>
        <w:rPr>
          <w:rFonts w:ascii="Arial" w:hAnsi="Arial" w:cs="Arial"/>
        </w:rPr>
      </w:pPr>
      <w:r>
        <w:rPr>
          <w:rFonts w:ascii="Arial" w:hAnsi="Arial" w:cs="Arial"/>
        </w:rPr>
        <w:lastRenderedPageBreak/>
        <w:t xml:space="preserve">Developmental delay is its own barriers when looking at individuals with Profound and Multiple Learning Difficulties (PMLD), they present differently and uniquely to every individual child and young person. </w:t>
      </w:r>
      <w:proofErr w:type="spellStart"/>
      <w:r w:rsidRPr="00D87419">
        <w:rPr>
          <w:rFonts w:ascii="Arial" w:hAnsi="Arial" w:cs="Arial"/>
        </w:rPr>
        <w:t>Tröster</w:t>
      </w:r>
      <w:proofErr w:type="spellEnd"/>
      <w:r>
        <w:rPr>
          <w:rFonts w:ascii="Arial" w:hAnsi="Arial" w:cs="Arial"/>
        </w:rPr>
        <w:t xml:space="preserve"> and </w:t>
      </w:r>
      <w:proofErr w:type="spellStart"/>
      <w:r>
        <w:rPr>
          <w:rFonts w:ascii="Arial" w:hAnsi="Arial" w:cs="Arial"/>
        </w:rPr>
        <w:t>Bambring</w:t>
      </w:r>
      <w:proofErr w:type="spellEnd"/>
      <w:r>
        <w:rPr>
          <w:rFonts w:ascii="Arial" w:hAnsi="Arial" w:cs="Arial"/>
        </w:rPr>
        <w:t xml:space="preserve"> (1994) would give examples of barriers to a child’s life. One being sight impairment at the onset of early life, can present barriers to different facets of life. They both add that reduced developmental development is reduced which has a lasting impact in many areas of children’s holistic development. Emphasis of the mindfulness of determine assessment in such individuals is a challenge and professional practitioners need to be well versed and patient and ensuring the best outcome for the children in their care. Anderson (2022) points out that PMLD children will have difficulty processing information and for that children to react and give indication that they understood what was being said. Could be the case of using two audio recorded switches which play different songs. Having that processing time, allows an individual to make choices and have their voices heard. This links in with the need to ensure ample training to support children with PMLD and the various barriers and support they need, considering the mental wellness of the children in our care is explored by </w:t>
      </w:r>
      <w:r w:rsidRPr="00317C96">
        <w:rPr>
          <w:rFonts w:ascii="Arial" w:hAnsi="Arial" w:cs="Arial"/>
        </w:rPr>
        <w:t>Campbell, Morley, and Catchpole</w:t>
      </w:r>
      <w:r>
        <w:rPr>
          <w:rFonts w:ascii="Arial" w:hAnsi="Arial" w:cs="Arial"/>
        </w:rPr>
        <w:t xml:space="preserve"> (</w:t>
      </w:r>
      <w:r w:rsidRPr="00317C96">
        <w:rPr>
          <w:rFonts w:ascii="Arial" w:hAnsi="Arial" w:cs="Arial"/>
        </w:rPr>
        <w:t>2016</w:t>
      </w:r>
      <w:r>
        <w:rPr>
          <w:rFonts w:ascii="Arial" w:hAnsi="Arial" w:cs="Arial"/>
        </w:rPr>
        <w:t xml:space="preserve">). Ensuring the welfare and wellbeing of our PMLD individuals is incredibly challenging for professional practitioners must balance. </w:t>
      </w:r>
    </w:p>
    <w:p w14:paraId="5DC015E8" w14:textId="77777777" w:rsidR="00EA17BD" w:rsidRPr="00B76DE4" w:rsidRDefault="00EA17BD" w:rsidP="00EA17BD">
      <w:pPr>
        <w:rPr>
          <w:rFonts w:ascii="Arial" w:hAnsi="Arial" w:cs="Arial"/>
        </w:rPr>
      </w:pPr>
      <w:r>
        <w:rPr>
          <w:rFonts w:ascii="Arial" w:hAnsi="Arial" w:cs="Arial"/>
        </w:rPr>
        <w:t xml:space="preserve">Practitioners working in this field and support PMLD children and young people will have their own feelings and attitudes when it comes to collaborating with such individuals, which could lead to further barriers for learners. Shipton and </w:t>
      </w:r>
      <w:proofErr w:type="spellStart"/>
      <w:r>
        <w:rPr>
          <w:rFonts w:ascii="Arial" w:hAnsi="Arial" w:cs="Arial"/>
        </w:rPr>
        <w:t>O’nions</w:t>
      </w:r>
      <w:proofErr w:type="spellEnd"/>
      <w:r>
        <w:rPr>
          <w:rFonts w:ascii="Arial" w:hAnsi="Arial" w:cs="Arial"/>
        </w:rPr>
        <w:t xml:space="preserve"> (2019) would both explore the roles of professionals working with PMLD. Building trust and understanding with individuals go a long way to remove preconceptions and gain confidence to support a child with their needs and reaching their full potential. Professional self-reflection enables key moments and changes in practice to adapt to the needs of the individual. Research had shown that gaining an understanding of deficiencies within the skill sets of practitioners and to make use of exciting skills and knowledge that could be better used for the betterment of PMLD learners. Settings and organisations would then develop their training plans around these needs and give opportunities to empower staff (Shipton and </w:t>
      </w:r>
      <w:proofErr w:type="spellStart"/>
      <w:r>
        <w:rPr>
          <w:rFonts w:ascii="Arial" w:hAnsi="Arial" w:cs="Arial"/>
        </w:rPr>
        <w:t>O’nions</w:t>
      </w:r>
      <w:proofErr w:type="spellEnd"/>
      <w:r>
        <w:rPr>
          <w:rFonts w:ascii="Arial" w:hAnsi="Arial" w:cs="Arial"/>
        </w:rPr>
        <w:t xml:space="preserve">, 2019). Barriers that are linked to practitioners, need to be resolved and it is the responsibility of many organisations and individuals to ensure that standards are at the best they can be for PMLD individuals. Understanding which agencies and professionals are involved, maintaining robust communication lines, undertake opportunities to work closely with others and ensuring that there are no overlap or redundancies in what information is being gathered </w:t>
      </w:r>
      <w:r w:rsidRPr="00BA4332">
        <w:rPr>
          <w:rFonts w:ascii="Arial" w:hAnsi="Arial" w:cs="Arial"/>
        </w:rPr>
        <w:t>(</w:t>
      </w:r>
      <w:proofErr w:type="spellStart"/>
      <w:r w:rsidRPr="00BA4332">
        <w:rPr>
          <w:rFonts w:ascii="Arial" w:hAnsi="Arial" w:cs="Arial"/>
        </w:rPr>
        <w:t>tri.x</w:t>
      </w:r>
      <w:proofErr w:type="spellEnd"/>
      <w:r w:rsidRPr="00BA4332">
        <w:rPr>
          <w:rFonts w:ascii="Arial" w:hAnsi="Arial" w:cs="Arial"/>
        </w:rPr>
        <w:t xml:space="preserve">, </w:t>
      </w:r>
      <w:r>
        <w:rPr>
          <w:rFonts w:ascii="Arial" w:hAnsi="Arial" w:cs="Arial"/>
        </w:rPr>
        <w:t>2026</w:t>
      </w:r>
      <w:r w:rsidRPr="00BA4332">
        <w:rPr>
          <w:rFonts w:ascii="Arial" w:hAnsi="Arial" w:cs="Arial"/>
        </w:rPr>
        <w:t>)</w:t>
      </w:r>
    </w:p>
    <w:p w14:paraId="2D155DD8" w14:textId="77777777" w:rsidR="00EA17BD" w:rsidRDefault="00EA17BD" w:rsidP="00EA17BD">
      <w:pPr>
        <w:rPr>
          <w:rFonts w:ascii="Arial" w:hAnsi="Arial" w:cs="Arial"/>
        </w:rPr>
      </w:pPr>
      <w:r>
        <w:rPr>
          <w:rFonts w:ascii="Arial" w:hAnsi="Arial" w:cs="Arial"/>
        </w:rPr>
        <w:t xml:space="preserve">Concluding this, individuals with PMLD undergo a wide range of barriers in their daily life, barriers stemming from their home or learning environment and from those who support them in meeting their many and varied needs. Just being able to play and explore have their challenges, whether their environment is not fit for purpose or the </w:t>
      </w:r>
      <w:r>
        <w:rPr>
          <w:rFonts w:ascii="Arial" w:hAnsi="Arial" w:cs="Arial"/>
        </w:rPr>
        <w:lastRenderedPageBreak/>
        <w:t>professional supporting them are not fulfilling their role or being underutilised to support the children and young people in their care. Empowering our PMLD learners is important for them to achieve the best that they can and have a life for of wonderment and exploration. Understanding and exploring</w:t>
      </w:r>
      <w:r w:rsidRPr="00B76DE4">
        <w:rPr>
          <w:rFonts w:ascii="Arial" w:hAnsi="Arial" w:cs="Arial"/>
        </w:rPr>
        <w:t xml:space="preserve"> the barriers that children with Profound and Multiple Learning </w:t>
      </w:r>
      <w:r>
        <w:rPr>
          <w:rFonts w:ascii="Arial" w:hAnsi="Arial" w:cs="Arial"/>
        </w:rPr>
        <w:t>Difficulties (PMLD)</w:t>
      </w:r>
      <w:r w:rsidRPr="00B76DE4">
        <w:rPr>
          <w:rFonts w:ascii="Arial" w:hAnsi="Arial" w:cs="Arial"/>
        </w:rPr>
        <w:t xml:space="preserve"> </w:t>
      </w:r>
      <w:r>
        <w:rPr>
          <w:rFonts w:ascii="Arial" w:hAnsi="Arial" w:cs="Arial"/>
        </w:rPr>
        <w:t xml:space="preserve">is key for them to reach their full potential in life. </w:t>
      </w:r>
    </w:p>
    <w:p w14:paraId="27BDE4E9" w14:textId="77777777" w:rsidR="00EA17BD" w:rsidRDefault="00EA17BD" w:rsidP="00EA17BD"/>
    <w:p w14:paraId="6735547F" w14:textId="77777777" w:rsidR="00EA17BD" w:rsidRDefault="00EA17BD"/>
    <w:p w14:paraId="33D4FAE4" w14:textId="77777777" w:rsidR="00EA17BD" w:rsidRDefault="00EA17BD"/>
    <w:p w14:paraId="693B9FB3" w14:textId="77777777" w:rsidR="00EA17BD" w:rsidRDefault="00EA17BD"/>
    <w:p w14:paraId="227A7C00" w14:textId="77777777" w:rsidR="00EA17BD" w:rsidRDefault="00EA17BD"/>
    <w:p w14:paraId="5A551FD2" w14:textId="77777777" w:rsidR="00EA17BD" w:rsidRDefault="00EA17BD"/>
    <w:p w14:paraId="751578E3" w14:textId="77777777" w:rsidR="00EA17BD" w:rsidRDefault="00EA17BD"/>
    <w:p w14:paraId="467F6FB2" w14:textId="77777777" w:rsidR="00EA17BD" w:rsidRDefault="00EA17BD"/>
    <w:p w14:paraId="17FC090B" w14:textId="77777777" w:rsidR="00EA17BD" w:rsidRDefault="00EA17BD"/>
    <w:p w14:paraId="32AE101E" w14:textId="77777777" w:rsidR="00EA17BD" w:rsidRDefault="00EA17BD"/>
    <w:p w14:paraId="3D296D0D" w14:textId="77777777" w:rsidR="00EA17BD" w:rsidRDefault="00EA17BD"/>
    <w:p w14:paraId="10BE6BFF" w14:textId="77777777" w:rsidR="00EA17BD" w:rsidRDefault="00EA17BD"/>
    <w:p w14:paraId="19FE3885" w14:textId="77777777" w:rsidR="00EA17BD" w:rsidRDefault="00EA17BD"/>
    <w:p w14:paraId="320B024F" w14:textId="77777777" w:rsidR="00EA17BD" w:rsidRDefault="00EA17BD"/>
    <w:p w14:paraId="06803FFF" w14:textId="77777777" w:rsidR="00EA17BD" w:rsidRDefault="00EA17BD"/>
    <w:p w14:paraId="58498322" w14:textId="77777777" w:rsidR="00EA17BD" w:rsidRDefault="00EA17BD"/>
    <w:p w14:paraId="70F3A2EA" w14:textId="77777777" w:rsidR="00EA17BD" w:rsidRDefault="00EA17BD"/>
    <w:p w14:paraId="07FE3EED" w14:textId="77777777" w:rsidR="00EA17BD" w:rsidRDefault="00EA17BD"/>
    <w:p w14:paraId="5EFC302B" w14:textId="77777777" w:rsidR="00EA17BD" w:rsidRDefault="00EA17BD"/>
    <w:p w14:paraId="65B6A15E" w14:textId="77777777" w:rsidR="00EA17BD" w:rsidRDefault="00EA17BD"/>
    <w:p w14:paraId="4762ED4B" w14:textId="77777777" w:rsidR="00EA17BD" w:rsidRDefault="00EA17BD"/>
    <w:p w14:paraId="6E1376D8" w14:textId="77777777" w:rsidR="00EA17BD" w:rsidRDefault="00EA17BD"/>
    <w:p w14:paraId="09C51DC9" w14:textId="77777777" w:rsidR="00EA17BD" w:rsidRDefault="00EA17BD"/>
    <w:p w14:paraId="316EA5A5" w14:textId="1019E2AD" w:rsidR="00EA17BD" w:rsidRPr="00EA17BD" w:rsidRDefault="00EA17BD" w:rsidP="00EA17BD">
      <w:pPr>
        <w:rPr>
          <w:rFonts w:ascii="Arial" w:hAnsi="Arial" w:cs="Arial"/>
          <w:b/>
          <w:bCs/>
          <w:sz w:val="28"/>
          <w:szCs w:val="28"/>
        </w:rPr>
      </w:pPr>
      <w:r w:rsidRPr="00EA17BD">
        <w:rPr>
          <w:rFonts w:ascii="Arial" w:hAnsi="Arial" w:cs="Arial"/>
          <w:b/>
          <w:bCs/>
          <w:sz w:val="28"/>
          <w:szCs w:val="28"/>
        </w:rPr>
        <w:lastRenderedPageBreak/>
        <w:t>Methodology</w:t>
      </w:r>
    </w:p>
    <w:p w14:paraId="23CCFB6E" w14:textId="77777777" w:rsidR="00EA17BD" w:rsidRDefault="00EA17BD" w:rsidP="00EA17BD">
      <w:pPr>
        <w:rPr>
          <w:rFonts w:ascii="Arial" w:hAnsi="Arial" w:cs="Arial"/>
        </w:rPr>
      </w:pPr>
    </w:p>
    <w:p w14:paraId="75B87001" w14:textId="7CD573EB" w:rsidR="00EA17BD" w:rsidRPr="002C1CC0" w:rsidRDefault="00EA17BD" w:rsidP="00EA17BD">
      <w:pPr>
        <w:rPr>
          <w:rFonts w:ascii="Arial" w:hAnsi="Arial" w:cs="Arial"/>
        </w:rPr>
      </w:pPr>
      <w:r w:rsidRPr="002C1CC0">
        <w:rPr>
          <w:rFonts w:ascii="Arial" w:hAnsi="Arial" w:cs="Arial"/>
        </w:rPr>
        <w:t xml:space="preserve">When considered how to collect pertinent information that is both relevant and dependable and covers the question surrounding PMLD individuals. Looking at the research question </w:t>
      </w:r>
      <w:r>
        <w:rPr>
          <w:rFonts w:ascii="Arial" w:hAnsi="Arial" w:cs="Arial"/>
        </w:rPr>
        <w:t>“</w:t>
      </w:r>
      <w:r w:rsidRPr="002C1CC0">
        <w:rPr>
          <w:rFonts w:ascii="Arial" w:hAnsi="Arial" w:cs="Arial"/>
        </w:rPr>
        <w:t>Understanding and exploring the barriers that children with Profound and Multiple Learning Difficulties (PMLD) need to overcome to reach academic attainment and a sense of well-being in their life</w:t>
      </w:r>
      <w:r>
        <w:rPr>
          <w:rFonts w:ascii="Arial" w:hAnsi="Arial" w:cs="Arial"/>
        </w:rPr>
        <w:t xml:space="preserve">.” Is quite broad and many areas need to me considered. </w:t>
      </w:r>
    </w:p>
    <w:p w14:paraId="3FADCEC6" w14:textId="77777777" w:rsidR="00EA17BD" w:rsidRDefault="00EA17BD" w:rsidP="00EA17BD">
      <w:pPr>
        <w:rPr>
          <w:rFonts w:ascii="Arial" w:hAnsi="Arial" w:cs="Arial"/>
        </w:rPr>
      </w:pPr>
    </w:p>
    <w:p w14:paraId="09E257E0" w14:textId="77777777" w:rsidR="00EA17BD" w:rsidRDefault="00EA17BD" w:rsidP="00EA17BD">
      <w:pPr>
        <w:rPr>
          <w:rFonts w:ascii="Arial" w:hAnsi="Arial" w:cs="Arial"/>
        </w:rPr>
      </w:pPr>
      <w:r w:rsidRPr="002C1CC0">
        <w:rPr>
          <w:rFonts w:ascii="Arial" w:hAnsi="Arial" w:cs="Arial"/>
        </w:rPr>
        <w:t>Sample</w:t>
      </w:r>
    </w:p>
    <w:p w14:paraId="4B51ECF6" w14:textId="77777777" w:rsidR="00EA17BD" w:rsidRDefault="00EA17BD" w:rsidP="00EA17BD">
      <w:pPr>
        <w:rPr>
          <w:rFonts w:ascii="Arial" w:hAnsi="Arial" w:cs="Arial"/>
        </w:rPr>
      </w:pPr>
      <w:r>
        <w:rPr>
          <w:rFonts w:ascii="Arial" w:hAnsi="Arial" w:cs="Arial"/>
        </w:rPr>
        <w:t>For the research question, various methods sampling was undertaking to ensure that the validity of this research paper was both relevant and robust in academic circles. Methods of methodology were considered, considerations were giving to use non-probability samples (</w:t>
      </w:r>
      <w:r w:rsidRPr="00432695">
        <w:rPr>
          <w:rFonts w:ascii="Arial" w:hAnsi="Arial" w:cs="Arial"/>
        </w:rPr>
        <w:t xml:space="preserve">Cohen </w:t>
      </w:r>
      <w:r w:rsidRPr="00432695">
        <w:rPr>
          <w:rFonts w:ascii="Arial" w:hAnsi="Arial" w:cs="Arial"/>
          <w:i/>
          <w:iCs/>
        </w:rPr>
        <w:t>et al.</w:t>
      </w:r>
      <w:r w:rsidRPr="00432695">
        <w:rPr>
          <w:rFonts w:ascii="Arial" w:hAnsi="Arial" w:cs="Arial"/>
        </w:rPr>
        <w:t>, 2018</w:t>
      </w:r>
      <w:r>
        <w:rPr>
          <w:rFonts w:ascii="Arial" w:hAnsi="Arial" w:cs="Arial"/>
        </w:rPr>
        <w:t xml:space="preserve">). When collecting information for this research question, it is specifically aimed at practitioners, parents, guardians, and other organisational professionals. The sampling is aimed at those who work, support, and live with individuals that have Profound and Multiple Learning Difficulties. </w:t>
      </w:r>
    </w:p>
    <w:p w14:paraId="20FC893D" w14:textId="77777777" w:rsidR="00EA17BD" w:rsidRPr="002C1CC0" w:rsidRDefault="00EA17BD" w:rsidP="00EA17BD">
      <w:pPr>
        <w:rPr>
          <w:rFonts w:ascii="Arial" w:hAnsi="Arial" w:cs="Arial"/>
        </w:rPr>
      </w:pPr>
      <w:r>
        <w:rPr>
          <w:rFonts w:ascii="Arial" w:hAnsi="Arial" w:cs="Arial"/>
        </w:rPr>
        <w:t>A special educational school in South Wales was chosen for sampling and researching purposes, as the setting deals with PMLD children and young people from the ages of 3 to 19 years of age. With the first intake of pupils starting in early years. With a pupil population of around three hundred, of that number about fifty children and young people were recognised as having PMLD. Participation by individuals included support staff at various senior levels, class teachers, senior leadership team, parents, guardians and outside professionals such OT’s, speech, and language. This sampling was numbered at 110 voluntary participations, with this number in mind with a larger sample size it is key to ensure that consistency with the structure and the tendency to be more numerical (</w:t>
      </w:r>
      <w:r w:rsidRPr="00432695">
        <w:rPr>
          <w:rFonts w:ascii="Arial" w:hAnsi="Arial" w:cs="Arial"/>
        </w:rPr>
        <w:t xml:space="preserve">Cohen </w:t>
      </w:r>
      <w:r w:rsidRPr="00432695">
        <w:rPr>
          <w:rFonts w:ascii="Arial" w:hAnsi="Arial" w:cs="Arial"/>
          <w:i/>
          <w:iCs/>
        </w:rPr>
        <w:t>et al.</w:t>
      </w:r>
      <w:r w:rsidRPr="00432695">
        <w:rPr>
          <w:rFonts w:ascii="Arial" w:hAnsi="Arial" w:cs="Arial"/>
        </w:rPr>
        <w:t>, 2018</w:t>
      </w:r>
      <w:r>
        <w:rPr>
          <w:rFonts w:ascii="Arial" w:hAnsi="Arial" w:cs="Arial"/>
        </w:rPr>
        <w:t xml:space="preserve">). Date sets and analysis were undertaken by completing an electrotonic questionnaires and surveys for ease of access and accessibility for the participants. Also, undertaking observations with relevant permissions from gatekeepers from the setting and permission from the children and young people. Observations also allow a real time gathering of information and to see participants in their environment and understand the purpose and reason for the observation (Wellington, 2025). With this type of research question as well it is key to allow and support the facilitation of opinions from the individuals with PMLD, having the opportunity to have their say. Though with the nature of the wide spectrum that PMLD shows. Adaptions to this are needed, as well as patients, respect and understanding. According to PMLD link (2017) continue to face further barriers in all aspects of life and ensuring that our </w:t>
      </w:r>
      <w:r>
        <w:rPr>
          <w:rFonts w:ascii="Arial" w:hAnsi="Arial" w:cs="Arial"/>
        </w:rPr>
        <w:lastRenderedPageBreak/>
        <w:t xml:space="preserve">PMLD children and young people can not only gain access to key services but be able to participate in some way to the betterment of their care and education. </w:t>
      </w:r>
    </w:p>
    <w:p w14:paraId="1329A3E8" w14:textId="77777777" w:rsidR="00EA17BD" w:rsidRPr="002C1CC0" w:rsidRDefault="00EA17BD" w:rsidP="00EA17BD">
      <w:pPr>
        <w:rPr>
          <w:rFonts w:ascii="Arial" w:hAnsi="Arial" w:cs="Arial"/>
        </w:rPr>
      </w:pPr>
    </w:p>
    <w:p w14:paraId="3F81BE58" w14:textId="77777777" w:rsidR="00EA17BD" w:rsidRDefault="00EA17BD" w:rsidP="00EA17BD">
      <w:pPr>
        <w:rPr>
          <w:rFonts w:ascii="Arial" w:hAnsi="Arial" w:cs="Arial"/>
        </w:rPr>
      </w:pPr>
      <w:r w:rsidRPr="002C1CC0">
        <w:rPr>
          <w:rFonts w:ascii="Arial" w:hAnsi="Arial" w:cs="Arial"/>
        </w:rPr>
        <w:t>Methods of data analysis</w:t>
      </w:r>
    </w:p>
    <w:p w14:paraId="6F6FFF3F" w14:textId="77777777" w:rsidR="00EA17BD" w:rsidRDefault="00EA17BD" w:rsidP="00EA17BD">
      <w:pPr>
        <w:rPr>
          <w:rFonts w:ascii="Arial" w:hAnsi="Arial" w:cs="Arial"/>
        </w:rPr>
      </w:pPr>
      <w:r>
        <w:rPr>
          <w:rFonts w:ascii="Arial" w:hAnsi="Arial" w:cs="Arial"/>
        </w:rPr>
        <w:t>Methods used to collect date for this research questions are quite broad to ensure that a wide range of views, opinions, and information. Displaying information both in terms of qualitative in this case through interviews, surveys, and conversations. While considering quantitively, forms of information, to present raw numbers to support the research questions at hand (Basit, 2010). With the information being collected, questionnaires were the most useful to reach the most people and for it to be as accessible as possible, in this case making use of Microsoft survey tools to collate key information points, following information from Lambert (2019) allowed the development of questionnaire and survey to be structured in a way to gain the most information possible from relevant individuals. Using the Likert (1932) scale for purpose of this research questionnaire, though this method is not ideal for PMLD individuals it and would need adaption. 110 support staff, parents, guardians, teachers, and other professionals answered this questionnaire. A variety of questions were asked. Qualitative approach was taken into consideration, with the way questions would be set out and understood by another person. A structured approach was taken, with questions being answered with five answers. These being ‘never,’ ‘rarely,’ ‘sometimes,’ ‘yes, mostly’ and ‘yes, always.’ An example there was a question about “Do you feel you receive enough support in accessing public services such as GP appointments, Schools, Physios and Therapies?” Majority of respondents answering this kind of closed question were 40% ‘Yes, mostly’, 30% ‘Yes, always’ and 20% ‘Sometimes’ with the final 10% on ‘Rarely’. There was then an option, for respondents to share their reasons for their response to the question. This is a key opportunity to allow a more in-depth information that can support the research question and allow the participant to have a voice, especially with complexities of supporting and caring for PMLD children and young people.</w:t>
      </w:r>
    </w:p>
    <w:p w14:paraId="36A00674" w14:textId="77777777" w:rsidR="00EA17BD" w:rsidRDefault="00EA17BD" w:rsidP="00EA17BD">
      <w:pPr>
        <w:rPr>
          <w:rFonts w:ascii="Arial" w:hAnsi="Arial" w:cs="Arial"/>
        </w:rPr>
      </w:pPr>
      <w:r>
        <w:rPr>
          <w:rFonts w:ascii="Arial" w:hAnsi="Arial" w:cs="Arial"/>
        </w:rPr>
        <w:t xml:space="preserve">With consideration towards the observations portion of the research question. Observations were undertaking to see what a PMLD class is like and how that individual access their education and support within the school day. During three instances of observations, two in the morning and one in the afternoon. Too see how the children and young people during the day and having their individual and educational needs met. See how they transition from their class to access the outdoor area, how with the older PMLD children were in chair and on the first floor of the school and would require the use of the sole lift within the setting. Practitioners needed to time certain things in way, so that each child could access. During observations, thought was given to the methods of observing. Context data (Newby, 2014) was used to take note of the environment, which relevant as the research </w:t>
      </w:r>
      <w:r>
        <w:rPr>
          <w:rFonts w:ascii="Arial" w:hAnsi="Arial" w:cs="Arial"/>
        </w:rPr>
        <w:lastRenderedPageBreak/>
        <w:t xml:space="preserve">questions explores the barriers to PMLD individuals. An environment can have a profound impact on the outcomes of individuals and can impact countless factors in the development of all children, not just individuals with PMLD. Verbal Interaction (Newby, 2014) was considered though it would prove disruptive and it was best for the observer to not interact and to just be there to gather information through observations. The Hawthorne effect (1958) comes not play when conducting observations on people, in particular children and young people. The children and practitioners would act differently, as there is a person watching them and not interacting. Or if the observer interacts with the participants, it could give an unreliable and unhelpful view of what a ‘normal day’ would like for the purposes of gathering data to support the research question. Also, the observer could be someone they have never met before. So, this could then weaken the research as the participants are not acting how they would normally </w:t>
      </w:r>
      <w:r w:rsidRPr="0048048E">
        <w:rPr>
          <w:rFonts w:ascii="Arial" w:hAnsi="Arial" w:cs="Arial"/>
        </w:rPr>
        <w:t>would (Sujatha, Reddy, and Pathak, 2019)</w:t>
      </w:r>
      <w:r>
        <w:rPr>
          <w:rFonts w:ascii="Arial" w:hAnsi="Arial" w:cs="Arial"/>
        </w:rPr>
        <w:t xml:space="preserve">. Consider how this can affect a PMLD child. They become anxious, show disruptive behaviours, shy, or upset. The observer would also face their own biases and influences during an observation, this being known as the Halo effect (Thorndike,1920). How the observer sees participants and how they present themselves. First impressions are key and can go </w:t>
      </w:r>
      <w:proofErr w:type="spellStart"/>
      <w:r>
        <w:rPr>
          <w:rFonts w:ascii="Arial" w:hAnsi="Arial" w:cs="Arial"/>
        </w:rPr>
        <w:t>along</w:t>
      </w:r>
      <w:proofErr w:type="spellEnd"/>
      <w:r>
        <w:rPr>
          <w:rFonts w:ascii="Arial" w:hAnsi="Arial" w:cs="Arial"/>
        </w:rPr>
        <w:t xml:space="preserve"> way in how participants behave. During the observation, making sure that a professional appearance is kept, as this show to others your prepared, could be seen as trustworthy and this could put people at ease during interactions. When entering a room, setting, or situation. Individuals make quick decisions on a person they have never met, this bias and can impact with collation of data. PMLD child may become uncomfortable or show discomfort. Being mindful of body language, take a relaxed and approachable way of dealing with observations in a setting. This discomfort could be passed onto the practitioners, take time to introduce yourself, get to know the names and roles of the practitioners involved (Thorndike, 1920). </w:t>
      </w:r>
    </w:p>
    <w:p w14:paraId="34245FA4" w14:textId="77777777" w:rsidR="00EA17BD" w:rsidRDefault="00EA17BD" w:rsidP="00EA17BD">
      <w:pPr>
        <w:rPr>
          <w:rFonts w:ascii="Arial" w:hAnsi="Arial" w:cs="Arial"/>
        </w:rPr>
      </w:pPr>
    </w:p>
    <w:p w14:paraId="7275E5B3" w14:textId="77777777" w:rsidR="00EA17BD" w:rsidRDefault="00EA17BD" w:rsidP="00EA17BD">
      <w:pPr>
        <w:rPr>
          <w:rFonts w:ascii="Arial" w:hAnsi="Arial" w:cs="Arial"/>
        </w:rPr>
      </w:pPr>
      <w:r w:rsidRPr="002C1CC0">
        <w:rPr>
          <w:rFonts w:ascii="Arial" w:hAnsi="Arial" w:cs="Arial"/>
        </w:rPr>
        <w:t xml:space="preserve">Triangulation </w:t>
      </w:r>
    </w:p>
    <w:p w14:paraId="2FF9FD0A" w14:textId="77777777" w:rsidR="00EA17BD" w:rsidRDefault="00EA17BD" w:rsidP="00EA17BD">
      <w:pPr>
        <w:rPr>
          <w:rFonts w:ascii="Arial" w:hAnsi="Arial" w:cs="Arial"/>
        </w:rPr>
      </w:pPr>
    </w:p>
    <w:p w14:paraId="246D2999" w14:textId="77777777" w:rsidR="00EA17BD" w:rsidRPr="00B65E78" w:rsidRDefault="00EA17BD" w:rsidP="00EA17BD">
      <w:pPr>
        <w:rPr>
          <w:rFonts w:ascii="Arial" w:hAnsi="Arial" w:cs="Arial"/>
        </w:rPr>
      </w:pPr>
      <w:r>
        <w:rPr>
          <w:rFonts w:ascii="Arial" w:hAnsi="Arial" w:cs="Arial"/>
        </w:rPr>
        <w:t xml:space="preserve">Triangulation Is a method in which more than one date or method is mixed in a way to show diverse viewpoints. For this research, methods of collecting date were used and intermixed to support research finding and enable a comprehensive look at the data collected and analysed (Olsen, 2004). Making use of data collected from the questionnaire and having those views and opinions be reinforced and supported by observations in the environments that PMLD children and young people use. Having the mixing of methodologies can enrich what is being proven from the data collected. Triangulation was used to showcase information from diverse sources; a lack of triangulation could lead the research itself be restricted on one kind of methodology and may not convey a depth of knowledge and information needed to support the </w:t>
      </w:r>
      <w:r>
        <w:rPr>
          <w:rFonts w:ascii="Arial" w:hAnsi="Arial" w:cs="Arial"/>
        </w:rPr>
        <w:lastRenderedPageBreak/>
        <w:t xml:space="preserve">research question. Furthermore, triangulation can show contrasts, such as using quantitative and qualitative methods to take place and to show both personal and numerical date sets (Olsen, 2004). Building upon this, Triangulation can go a long way to see through both sides, can be used to support the positions of the research question and the information obtained. For the purposes of this research question, it can be seen to be beneficial and allows the interpretation of multiple methods of information, using structured and unstructured. Allows the brining together of the questionnaire and observations as one. To link them together and to relate similarities and differences in data analysis, which is a view supported by Thurmond (2001). </w:t>
      </w:r>
    </w:p>
    <w:p w14:paraId="2CFDC6AB" w14:textId="77777777" w:rsidR="00EA17BD" w:rsidRDefault="00EA17BD"/>
    <w:p w14:paraId="198FA73A" w14:textId="77777777" w:rsidR="00EA17BD" w:rsidRPr="00EA17BD" w:rsidRDefault="00EA17BD" w:rsidP="00EA17BD"/>
    <w:p w14:paraId="5B43D7F5" w14:textId="77777777" w:rsidR="00EA17BD" w:rsidRPr="00EA17BD" w:rsidRDefault="00EA17BD" w:rsidP="00EA17BD"/>
    <w:p w14:paraId="7F39C761" w14:textId="77777777" w:rsidR="00EA17BD" w:rsidRPr="00EA17BD" w:rsidRDefault="00EA17BD" w:rsidP="00EA17BD"/>
    <w:p w14:paraId="0D1C2310" w14:textId="77777777" w:rsidR="00EA17BD" w:rsidRPr="00EA17BD" w:rsidRDefault="00EA17BD" w:rsidP="00EA17BD"/>
    <w:p w14:paraId="5CFBC440" w14:textId="77777777" w:rsidR="00EA17BD" w:rsidRPr="00EA17BD" w:rsidRDefault="00EA17BD" w:rsidP="00EA17BD"/>
    <w:p w14:paraId="65134CE1" w14:textId="77777777" w:rsidR="00EA17BD" w:rsidRPr="00EA17BD" w:rsidRDefault="00EA17BD" w:rsidP="00EA17BD"/>
    <w:p w14:paraId="351B29D3" w14:textId="77777777" w:rsidR="00EA17BD" w:rsidRPr="00EA17BD" w:rsidRDefault="00EA17BD" w:rsidP="00EA17BD"/>
    <w:p w14:paraId="69D22667" w14:textId="77777777" w:rsidR="00EA17BD" w:rsidRPr="00EA17BD" w:rsidRDefault="00EA17BD" w:rsidP="00EA17BD"/>
    <w:p w14:paraId="3EC23F52" w14:textId="77777777" w:rsidR="00EA17BD" w:rsidRPr="00EA17BD" w:rsidRDefault="00EA17BD" w:rsidP="00EA17BD"/>
    <w:p w14:paraId="5C293B0F" w14:textId="77777777" w:rsidR="00EA17BD" w:rsidRPr="00EA17BD" w:rsidRDefault="00EA17BD" w:rsidP="00EA17BD"/>
    <w:p w14:paraId="0120FA93" w14:textId="77777777" w:rsidR="00EA17BD" w:rsidRPr="00EA17BD" w:rsidRDefault="00EA17BD" w:rsidP="00EA17BD"/>
    <w:p w14:paraId="5E4BF784" w14:textId="77777777" w:rsidR="00EA17BD" w:rsidRPr="00EA17BD" w:rsidRDefault="00EA17BD" w:rsidP="00EA17BD"/>
    <w:p w14:paraId="37CBB3D2" w14:textId="77777777" w:rsidR="00EA17BD" w:rsidRPr="00EA17BD" w:rsidRDefault="00EA17BD" w:rsidP="00EA17BD"/>
    <w:p w14:paraId="4DB5F56D" w14:textId="77777777" w:rsidR="00EA17BD" w:rsidRPr="00EA17BD" w:rsidRDefault="00EA17BD" w:rsidP="00EA17BD"/>
    <w:p w14:paraId="702D9650" w14:textId="77777777" w:rsidR="00EA17BD" w:rsidRPr="00EA17BD" w:rsidRDefault="00EA17BD" w:rsidP="00EA17BD"/>
    <w:p w14:paraId="4A733D37" w14:textId="77777777" w:rsidR="00EA17BD" w:rsidRPr="00EA17BD" w:rsidRDefault="00EA17BD" w:rsidP="00EA17BD"/>
    <w:p w14:paraId="21168F31" w14:textId="77777777" w:rsidR="00EA17BD" w:rsidRDefault="00EA17BD" w:rsidP="00EA17BD"/>
    <w:p w14:paraId="429D69AD" w14:textId="77777777" w:rsidR="00EA17BD" w:rsidRDefault="00EA17BD" w:rsidP="00EA17BD"/>
    <w:p w14:paraId="12A128ED" w14:textId="77777777" w:rsidR="00EA17BD" w:rsidRDefault="00EA17BD" w:rsidP="00EA17BD"/>
    <w:p w14:paraId="17EF6FEC" w14:textId="05CD822F" w:rsidR="00EA17BD" w:rsidRDefault="00EA17BD" w:rsidP="00EA17BD">
      <w:pPr>
        <w:rPr>
          <w:rFonts w:ascii="Arial" w:hAnsi="Arial" w:cs="Arial"/>
          <w:b/>
          <w:bCs/>
          <w:sz w:val="28"/>
          <w:szCs w:val="28"/>
        </w:rPr>
      </w:pPr>
      <w:r w:rsidRPr="00EA17BD">
        <w:rPr>
          <w:rFonts w:ascii="Arial" w:hAnsi="Arial" w:cs="Arial"/>
          <w:b/>
          <w:bCs/>
          <w:sz w:val="28"/>
          <w:szCs w:val="28"/>
        </w:rPr>
        <w:lastRenderedPageBreak/>
        <w:t>Ethical Considerations</w:t>
      </w:r>
    </w:p>
    <w:p w14:paraId="260A9D0F" w14:textId="77777777" w:rsidR="00EA17BD" w:rsidRDefault="00EA17BD" w:rsidP="00EA17BD">
      <w:pPr>
        <w:rPr>
          <w:rFonts w:ascii="Arial" w:hAnsi="Arial" w:cs="Arial"/>
          <w:b/>
          <w:bCs/>
          <w:sz w:val="28"/>
          <w:szCs w:val="28"/>
        </w:rPr>
      </w:pPr>
    </w:p>
    <w:p w14:paraId="6930F94B" w14:textId="77777777" w:rsidR="00EA17BD" w:rsidRDefault="00EA17BD" w:rsidP="00EA17BD">
      <w:r>
        <w:t xml:space="preserve">Thought and considerations need to be taken when evaluating and giving credence to ethical implications during this research. As the research question deals with vulnerable children in earl years with PMLD, great care and diligence need to be considering that are in line with policies and procedures such as Bera (2024) and </w:t>
      </w:r>
      <w:r w:rsidRPr="00F747AD">
        <w:t>University of Wales Trinity Saint David (2022)</w:t>
      </w:r>
      <w:r>
        <w:t xml:space="preserve"> own policies and procedures surrounding ethics when conducting research. </w:t>
      </w:r>
    </w:p>
    <w:p w14:paraId="16D8A0E8" w14:textId="77777777" w:rsidR="00EA17BD" w:rsidRDefault="00EA17BD" w:rsidP="00EA17BD">
      <w:r>
        <w:t xml:space="preserve">For the purposes of this research consent is needed and proper processes need to be undertaken to ensure that recorded and honest consent is agreed. This is to ensure not just the safety of the researcher, but for the participants and the university as well.  It is greatly expected to ensure that participants are informed and give complete voluntary consent to be involved in a study or research, and key aspect to remember is that participants have the right to withdraw their consent and there should be no retaliation or pressurising around this as well (Bera, 2024). A participant does no need to give reason to withdraw participation in a research study. an aspect of consent is knowing how a researcher would know that an individual does not want to participate in the research or give any form of consent. Individuals with PMLD already experience through their lives a sense of not being heard, represented and having other make decisions for them in many aspects of their life (Mencap, 2015). For the research question, one must look closely and patiently on how we know if a PMLD child gives consent and is comfortable to participate in any form of research and study. Mencap (2015) emphasises the importance of involving PMLD children, this could be by showing them, talking to them and taking time to share what you want. Though the child’s cognitive development needs to be considered, it still goes a long way to involve the child. With children and being involved in research, care and thought needs to be given. The United Nations Convention on the Rights of the Child (UNICEF, 2019) contain and support the rights of all children and young people. That their interests are always taking seriously, respected and have the right to express themselves freely. Assent is so crucial for researchers to understand and how that impacts children of all ages and abilities, looking for those signs of assent within PMLD children, looking for reactions and adapting ways to gain consent if possible. Seeking parental consent and permission from the gatekeeper, is key to ensure that proper procedures are bring followed and all involved are safe and protected for the whole duration of the research and after its completion (Bera, 2024). </w:t>
      </w:r>
    </w:p>
    <w:p w14:paraId="0FA1973C" w14:textId="77777777" w:rsidR="00EA17BD" w:rsidRDefault="00EA17BD" w:rsidP="00EA17BD">
      <w:r>
        <w:t xml:space="preserve">Ethical approaches need to be taken to present the research has element of approachability and honesty. With the nature of this research question and how </w:t>
      </w:r>
      <w:r>
        <w:lastRenderedPageBreak/>
        <w:t xml:space="preserve">vulnerable PMLD children and young people are (UWTSD, 2022), it is imperative that the researcher is being as transparent as possible (Bere, 2024). Ensuring that participants are aware of what is needed, what is being asked, what will happen, how the data will be used and what are their rights. Such as the right to withdraw. During the research, the questionnaire that was used for data collection from participants. The questionnaire contained a page explaining its purpose and outlining what the data will be used for, that their name would be anonymised unless they chose to share it and their right to know where they stand with information pertaining to themselves. It was key, that voluntary informed consent and assent was undertaking for not just the questionnaire portion but the observation portion as well. UWTSD (2022) own procedures outlines the mot ethically and supportive way to support the involvement of vulnerable individuals, such children, young people, who also have various disabilities and who are neurodivergent. Article 23 (UNICEF, 2019) supports the importance of children with disabilities to have rights, to have those rights recognised, to be supported and ensuring that dignity is at the heart of all decision making from their family, community and government.  With this in mind ensuring that a physical consent form and sheets containing information outlining the purpose of the research and the rights of the participants, Bera (2024) would go further to outline that the researcher is able to make use of Bera guidelines and support to facilitate the development of consent from which are robust and compliant and can protect all those involved. </w:t>
      </w:r>
    </w:p>
    <w:p w14:paraId="4533A00E" w14:textId="77777777" w:rsidR="00EA17BD" w:rsidRDefault="00EA17BD" w:rsidP="00EA17BD">
      <w:r>
        <w:t xml:space="preserve">Undertaking this research dealt with many individuals and participants, that of course led to a significant amount of accumulated data. During the period of research, information was gathered through digital mediums, with the online questionnaire being held on a third-party platform. Microsoft forms were used for the data collection and analysis, to ensure compliance to GDPR (2023) and current UK legislation (Microsoft Learn, 2025). Paramount consideration was made to ensure the complete anonymity and confidentiality were undertaking for the entirety of the research and afterwards. Making sure to refer to Bera (2024) helped to outline approaches in handling data and information. Durning the observations portion, which was used to get hands on information and to understand the barrier faced by PMLD individuals. During the observation, the researcher took care to ensure that no names were recorded and that a placeholder name were used to refer to the practitioners and children (Bera, 2024), maintaining that anonymity, ensuring that no person reviewing the research data can work who a particular individual is. This approach was taking due to the nature of the research and the environment it was being undertaking in. With such vulnerable individuals, as well as being in a school. With the collated and collected data, measure need to take place to maintain confidentiality and the proper storage of data. </w:t>
      </w:r>
    </w:p>
    <w:p w14:paraId="689008F5" w14:textId="77777777" w:rsidR="00EA17BD" w:rsidRDefault="00EA17BD" w:rsidP="00EA17BD">
      <w:r>
        <w:t xml:space="preserve">During the period of research, an element of risk is ever present for all those involved. These being the participant, researcher and to the University. With ensuring that the </w:t>
      </w:r>
      <w:r>
        <w:lastRenderedPageBreak/>
        <w:t xml:space="preserve">processes and the purpose of the research being clear to all those involved, goes </w:t>
      </w:r>
      <w:proofErr w:type="spellStart"/>
      <w:r>
        <w:t>along</w:t>
      </w:r>
      <w:proofErr w:type="spellEnd"/>
      <w:r>
        <w:t xml:space="preserve"> way to mitigate any problems or harm to any individual. Considering Bera (2024) can help alleviate any concerns, it gives the guidance for the researcher to understand their role of care and to have the knowledge to recognise any potential or developing risk and harm. Individuals that were involved in the research could face their own risk, risk to the children, young people, staff and parents. The researcher needs to give serious thought to this; it is their role and responsibility to mitigate any harm or danger to the participants. Mitigations need to be in place to ensure the welfare of all. UWTSD (2022) policy on ethical research dies into depth on what need to be done to ensure the safety of the participants. In this for this research, ensuring that proper anonymity is maintained throughout, for participants to be made aware of their right to withdraw from the research at </w:t>
      </w:r>
      <w:proofErr w:type="spellStart"/>
      <w:r>
        <w:t>anytime</w:t>
      </w:r>
      <w:proofErr w:type="spellEnd"/>
      <w:r>
        <w:t xml:space="preserve"> for whatever reason. A participant has the right to request what information has been retained about themselves (GDPR UK, 2023). If the participant shows any signs of discomfort, concerns, agitation or finding the subject of the research upsetting or triggering. Then efforts need to be made to end the participation of the participant and to investigate any concerns. If the nature of the concern is a disclosure, then safeguarding procedures need to be followed along current policies and procedures (Welsh Government, 2021).  </w:t>
      </w:r>
    </w:p>
    <w:p w14:paraId="78B490F7" w14:textId="77777777" w:rsidR="00EA17BD" w:rsidRDefault="00EA17BD" w:rsidP="00EA17BD">
      <w:r>
        <w:t xml:space="preserve">Researcher is not immune to harm and dangers of undertaking research and must take approaches to mitigate risk and harm to themselves. Fundamental step that can be undertaking is to take time to families with current legislation and policies. Following guidance from Bera (2024) is a good source of information to follow. A researcher needs to ensure that during the research process they make themselves known to all relevant parties, such as the guardians of the children, to the gatekeeper of the school, to make clear and outline expectations and information for the participants. The researcher needs to ensure they conduct themselves professionally and they remember that they’re also representing their university (UWTSD, 2022). Ensuring that the processing and storage of data and information is compliant with current UK legislation, is to ensure that the risk of misplacing or destruction of data can be rectified and dealt with. As way to only protect the researcher, but other individuals and institutions as well. The possibility of misconduct could happen if the researcher is in disrepute, such as plagiarism, bribery, abuse of power and the misuse of AI (UWTSD, 2022). </w:t>
      </w:r>
    </w:p>
    <w:p w14:paraId="422A5E7F" w14:textId="77777777" w:rsidR="00EA17BD" w:rsidRPr="008518F1" w:rsidRDefault="00EA17BD" w:rsidP="00EA17BD">
      <w:r>
        <w:t xml:space="preserve"> Considerations need to be acknowledged for the institutions and universities linked to this research question and that they to need to mitigations to reduce risks to themselves. The university has the right to ask for certain requirements to be met that can reduce risk to the researcher and to the institution. Such as ensuring anonymity to participants, to always maintain that confidentiality and ensuring the correct methods of storing data (Bera, 2024). The University must ensure it is following current GDPR guidelines, that individuals are identified, who is responsible for controlling, processing </w:t>
      </w:r>
      <w:r>
        <w:lastRenderedPageBreak/>
        <w:t>and storing the data. Failure to comply with current legislation can lead to the university losing reputation, funding, investigation, fines and further prosecutions (GDPR, 2023).</w:t>
      </w:r>
    </w:p>
    <w:p w14:paraId="019FC40E" w14:textId="77777777" w:rsidR="00EA17BD" w:rsidRDefault="00EA17BD" w:rsidP="00EA17BD">
      <w:pPr>
        <w:rPr>
          <w:rFonts w:ascii="Arial" w:hAnsi="Arial" w:cs="Arial"/>
          <w:b/>
          <w:bCs/>
          <w:sz w:val="28"/>
          <w:szCs w:val="28"/>
        </w:rPr>
      </w:pPr>
    </w:p>
    <w:p w14:paraId="7A210145" w14:textId="77777777" w:rsidR="002F463E" w:rsidRPr="002F463E" w:rsidRDefault="002F463E" w:rsidP="002F463E">
      <w:pPr>
        <w:rPr>
          <w:rFonts w:ascii="Arial" w:hAnsi="Arial" w:cs="Arial"/>
          <w:sz w:val="28"/>
          <w:szCs w:val="28"/>
        </w:rPr>
      </w:pPr>
    </w:p>
    <w:p w14:paraId="6BEE781E" w14:textId="77777777" w:rsidR="002F463E" w:rsidRPr="002F463E" w:rsidRDefault="002F463E" w:rsidP="002F463E">
      <w:pPr>
        <w:rPr>
          <w:rFonts w:ascii="Arial" w:hAnsi="Arial" w:cs="Arial"/>
          <w:sz w:val="28"/>
          <w:szCs w:val="28"/>
        </w:rPr>
      </w:pPr>
    </w:p>
    <w:p w14:paraId="5E00336E" w14:textId="77777777" w:rsidR="002F463E" w:rsidRPr="002F463E" w:rsidRDefault="002F463E" w:rsidP="002F463E">
      <w:pPr>
        <w:rPr>
          <w:rFonts w:ascii="Arial" w:hAnsi="Arial" w:cs="Arial"/>
          <w:sz w:val="28"/>
          <w:szCs w:val="28"/>
        </w:rPr>
      </w:pPr>
    </w:p>
    <w:p w14:paraId="52150110" w14:textId="77777777" w:rsidR="002F463E" w:rsidRPr="002F463E" w:rsidRDefault="002F463E" w:rsidP="002F463E">
      <w:pPr>
        <w:rPr>
          <w:rFonts w:ascii="Arial" w:hAnsi="Arial" w:cs="Arial"/>
          <w:sz w:val="28"/>
          <w:szCs w:val="28"/>
        </w:rPr>
      </w:pPr>
    </w:p>
    <w:p w14:paraId="6904C4A7" w14:textId="77777777" w:rsidR="002F463E" w:rsidRPr="002F463E" w:rsidRDefault="002F463E" w:rsidP="002F463E">
      <w:pPr>
        <w:rPr>
          <w:rFonts w:ascii="Arial" w:hAnsi="Arial" w:cs="Arial"/>
          <w:sz w:val="28"/>
          <w:szCs w:val="28"/>
        </w:rPr>
      </w:pPr>
    </w:p>
    <w:p w14:paraId="506E848A" w14:textId="77777777" w:rsidR="002F463E" w:rsidRPr="002F463E" w:rsidRDefault="002F463E" w:rsidP="002F463E">
      <w:pPr>
        <w:rPr>
          <w:rFonts w:ascii="Arial" w:hAnsi="Arial" w:cs="Arial"/>
          <w:sz w:val="28"/>
          <w:szCs w:val="28"/>
        </w:rPr>
      </w:pPr>
    </w:p>
    <w:p w14:paraId="2B78878F" w14:textId="77777777" w:rsidR="002F463E" w:rsidRPr="002F463E" w:rsidRDefault="002F463E" w:rsidP="002F463E">
      <w:pPr>
        <w:rPr>
          <w:rFonts w:ascii="Arial" w:hAnsi="Arial" w:cs="Arial"/>
          <w:sz w:val="28"/>
          <w:szCs w:val="28"/>
        </w:rPr>
      </w:pPr>
    </w:p>
    <w:p w14:paraId="63AF5E77" w14:textId="77777777" w:rsidR="002F463E" w:rsidRPr="002F463E" w:rsidRDefault="002F463E" w:rsidP="002F463E">
      <w:pPr>
        <w:rPr>
          <w:rFonts w:ascii="Arial" w:hAnsi="Arial" w:cs="Arial"/>
          <w:sz w:val="28"/>
          <w:szCs w:val="28"/>
        </w:rPr>
      </w:pPr>
    </w:p>
    <w:p w14:paraId="6719ED99" w14:textId="77777777" w:rsidR="002F463E" w:rsidRPr="002F463E" w:rsidRDefault="002F463E" w:rsidP="002F463E">
      <w:pPr>
        <w:rPr>
          <w:rFonts w:ascii="Arial" w:hAnsi="Arial" w:cs="Arial"/>
          <w:sz w:val="28"/>
          <w:szCs w:val="28"/>
        </w:rPr>
      </w:pPr>
    </w:p>
    <w:p w14:paraId="358F2C24" w14:textId="77777777" w:rsidR="002F463E" w:rsidRPr="002F463E" w:rsidRDefault="002F463E" w:rsidP="002F463E">
      <w:pPr>
        <w:rPr>
          <w:rFonts w:ascii="Arial" w:hAnsi="Arial" w:cs="Arial"/>
          <w:sz w:val="28"/>
          <w:szCs w:val="28"/>
        </w:rPr>
      </w:pPr>
    </w:p>
    <w:p w14:paraId="3BD5D070" w14:textId="77777777" w:rsidR="002F463E" w:rsidRPr="002F463E" w:rsidRDefault="002F463E" w:rsidP="002F463E">
      <w:pPr>
        <w:rPr>
          <w:rFonts w:ascii="Arial" w:hAnsi="Arial" w:cs="Arial"/>
          <w:sz w:val="28"/>
          <w:szCs w:val="28"/>
        </w:rPr>
      </w:pPr>
    </w:p>
    <w:p w14:paraId="6169AAD1" w14:textId="77777777" w:rsidR="002F463E" w:rsidRDefault="002F463E" w:rsidP="002F463E">
      <w:pPr>
        <w:rPr>
          <w:rFonts w:ascii="Arial" w:hAnsi="Arial" w:cs="Arial"/>
          <w:b/>
          <w:bCs/>
          <w:sz w:val="28"/>
          <w:szCs w:val="28"/>
        </w:rPr>
      </w:pPr>
    </w:p>
    <w:p w14:paraId="5DAB82E4" w14:textId="17C945DD" w:rsidR="002F463E" w:rsidRDefault="002F463E" w:rsidP="002F463E">
      <w:pPr>
        <w:tabs>
          <w:tab w:val="left" w:pos="1067"/>
        </w:tabs>
        <w:rPr>
          <w:rFonts w:ascii="Arial" w:hAnsi="Arial" w:cs="Arial"/>
          <w:sz w:val="28"/>
          <w:szCs w:val="28"/>
        </w:rPr>
      </w:pPr>
      <w:r>
        <w:rPr>
          <w:rFonts w:ascii="Arial" w:hAnsi="Arial" w:cs="Arial"/>
          <w:sz w:val="28"/>
          <w:szCs w:val="28"/>
        </w:rPr>
        <w:tab/>
      </w:r>
    </w:p>
    <w:p w14:paraId="0917B5A5" w14:textId="77777777" w:rsidR="002F463E" w:rsidRPr="002F463E" w:rsidRDefault="002F463E" w:rsidP="002F463E">
      <w:pPr>
        <w:rPr>
          <w:rFonts w:ascii="Arial" w:hAnsi="Arial" w:cs="Arial"/>
          <w:sz w:val="28"/>
          <w:szCs w:val="28"/>
        </w:rPr>
      </w:pPr>
    </w:p>
    <w:p w14:paraId="330808BA" w14:textId="77777777" w:rsidR="002F463E" w:rsidRPr="002F463E" w:rsidRDefault="002F463E" w:rsidP="002F463E">
      <w:pPr>
        <w:rPr>
          <w:rFonts w:ascii="Arial" w:hAnsi="Arial" w:cs="Arial"/>
          <w:sz w:val="28"/>
          <w:szCs w:val="28"/>
        </w:rPr>
      </w:pPr>
    </w:p>
    <w:p w14:paraId="7C0705A4" w14:textId="77777777" w:rsidR="002F463E" w:rsidRPr="002F463E" w:rsidRDefault="002F463E" w:rsidP="002F463E">
      <w:pPr>
        <w:rPr>
          <w:rFonts w:ascii="Arial" w:hAnsi="Arial" w:cs="Arial"/>
          <w:sz w:val="28"/>
          <w:szCs w:val="28"/>
        </w:rPr>
      </w:pPr>
    </w:p>
    <w:p w14:paraId="5510F2D6" w14:textId="77777777" w:rsidR="002F463E" w:rsidRPr="002F463E" w:rsidRDefault="002F463E" w:rsidP="002F463E">
      <w:pPr>
        <w:rPr>
          <w:rFonts w:ascii="Arial" w:hAnsi="Arial" w:cs="Arial"/>
          <w:sz w:val="28"/>
          <w:szCs w:val="28"/>
        </w:rPr>
      </w:pPr>
    </w:p>
    <w:p w14:paraId="01205D5D" w14:textId="77777777" w:rsidR="002F463E" w:rsidRPr="002F463E" w:rsidRDefault="002F463E" w:rsidP="002F463E">
      <w:pPr>
        <w:rPr>
          <w:rFonts w:ascii="Arial" w:hAnsi="Arial" w:cs="Arial"/>
          <w:sz w:val="28"/>
          <w:szCs w:val="28"/>
        </w:rPr>
      </w:pPr>
    </w:p>
    <w:p w14:paraId="12DFAE51" w14:textId="77777777" w:rsidR="002F463E" w:rsidRPr="002F463E" w:rsidRDefault="002F463E" w:rsidP="002F463E">
      <w:pPr>
        <w:rPr>
          <w:rFonts w:ascii="Arial" w:hAnsi="Arial" w:cs="Arial"/>
          <w:sz w:val="28"/>
          <w:szCs w:val="28"/>
        </w:rPr>
      </w:pPr>
    </w:p>
    <w:p w14:paraId="6B61FC54" w14:textId="77777777" w:rsidR="002F463E" w:rsidRPr="002F463E" w:rsidRDefault="002F463E" w:rsidP="002F463E">
      <w:pPr>
        <w:rPr>
          <w:rFonts w:ascii="Arial" w:hAnsi="Arial" w:cs="Arial"/>
          <w:sz w:val="28"/>
          <w:szCs w:val="28"/>
        </w:rPr>
      </w:pPr>
    </w:p>
    <w:p w14:paraId="66BEEC1C" w14:textId="77777777" w:rsidR="002F463E" w:rsidRDefault="002F463E" w:rsidP="002F463E">
      <w:pPr>
        <w:rPr>
          <w:rFonts w:ascii="Arial" w:hAnsi="Arial" w:cs="Arial"/>
          <w:sz w:val="28"/>
          <w:szCs w:val="28"/>
        </w:rPr>
      </w:pPr>
    </w:p>
    <w:p w14:paraId="31CFCBB6" w14:textId="77777777" w:rsidR="002F463E" w:rsidRDefault="002F463E" w:rsidP="002F463E">
      <w:pPr>
        <w:rPr>
          <w:rFonts w:ascii="Arial" w:hAnsi="Arial" w:cs="Arial"/>
          <w:sz w:val="28"/>
          <w:szCs w:val="28"/>
        </w:rPr>
      </w:pPr>
    </w:p>
    <w:p w14:paraId="672211A6" w14:textId="77777777" w:rsidR="002F463E" w:rsidRDefault="002F463E" w:rsidP="002F463E">
      <w:pPr>
        <w:rPr>
          <w:rFonts w:ascii="Arial" w:hAnsi="Arial" w:cs="Arial"/>
          <w:sz w:val="28"/>
          <w:szCs w:val="28"/>
        </w:rPr>
      </w:pPr>
    </w:p>
    <w:p w14:paraId="6352C9B8" w14:textId="18E56A61" w:rsidR="002F463E" w:rsidRDefault="002F463E" w:rsidP="002F463E">
      <w:pPr>
        <w:rPr>
          <w:rFonts w:ascii="Arial" w:hAnsi="Arial" w:cs="Arial"/>
          <w:b/>
          <w:bCs/>
          <w:sz w:val="28"/>
          <w:szCs w:val="28"/>
        </w:rPr>
      </w:pPr>
      <w:r w:rsidRPr="002F463E">
        <w:rPr>
          <w:rFonts w:ascii="Arial" w:hAnsi="Arial" w:cs="Arial"/>
          <w:b/>
          <w:bCs/>
          <w:sz w:val="28"/>
          <w:szCs w:val="28"/>
        </w:rPr>
        <w:lastRenderedPageBreak/>
        <w:t>Reference List</w:t>
      </w:r>
    </w:p>
    <w:p w14:paraId="0103BC66" w14:textId="77777777" w:rsidR="002F463E" w:rsidRDefault="002F463E" w:rsidP="002F463E">
      <w:pPr>
        <w:rPr>
          <w:rFonts w:ascii="Arial" w:hAnsi="Arial" w:cs="Arial"/>
          <w:b/>
          <w:bCs/>
          <w:sz w:val="28"/>
          <w:szCs w:val="28"/>
        </w:rPr>
      </w:pPr>
    </w:p>
    <w:p w14:paraId="7E56B9DE" w14:textId="77777777" w:rsidR="002F463E" w:rsidRPr="00B100C9" w:rsidRDefault="002F463E" w:rsidP="002F463E">
      <w:pPr>
        <w:rPr>
          <w:rFonts w:ascii="Arial" w:hAnsi="Arial" w:cs="Arial"/>
        </w:rPr>
      </w:pPr>
      <w:r w:rsidRPr="00B100C9">
        <w:rPr>
          <w:rFonts w:ascii="Arial" w:hAnsi="Arial" w:cs="Arial"/>
        </w:rPr>
        <w:t xml:space="preserve">Anderson, A. (2022). </w:t>
      </w:r>
      <w:r w:rsidRPr="00B100C9">
        <w:rPr>
          <w:rFonts w:ascii="Arial" w:hAnsi="Arial" w:cs="Arial"/>
          <w:i/>
          <w:iCs/>
        </w:rPr>
        <w:t>Learning through play for children with PMLD and complex needs: using purposeful play to support cognition, mental health and wellbeing</w:t>
      </w:r>
      <w:r w:rsidRPr="00B100C9">
        <w:rPr>
          <w:rFonts w:ascii="Arial" w:hAnsi="Arial" w:cs="Arial"/>
        </w:rPr>
        <w:t>. Routledge.</w:t>
      </w:r>
    </w:p>
    <w:p w14:paraId="602579D9" w14:textId="77777777" w:rsidR="002F463E" w:rsidRPr="00B100C9" w:rsidRDefault="002F463E" w:rsidP="002F463E">
      <w:pPr>
        <w:rPr>
          <w:rFonts w:ascii="Arial" w:hAnsi="Arial" w:cs="Arial"/>
        </w:rPr>
      </w:pPr>
      <w:r w:rsidRPr="00B100C9">
        <w:rPr>
          <w:rFonts w:ascii="Arial" w:hAnsi="Arial" w:cs="Arial"/>
        </w:rPr>
        <w:t xml:space="preserve">Atkin, K., &amp; Lorch, M. P. (2016). An ecological method for the sampling of nonverbal signalling behaviours of young children with profound and multiple learning disabilities (PMLD). </w:t>
      </w:r>
      <w:r w:rsidRPr="00B100C9">
        <w:rPr>
          <w:rFonts w:ascii="Arial" w:hAnsi="Arial" w:cs="Arial"/>
          <w:i/>
          <w:iCs/>
        </w:rPr>
        <w:t>Developmental Neurorehabilitation</w:t>
      </w:r>
      <w:r w:rsidRPr="00B100C9">
        <w:rPr>
          <w:rFonts w:ascii="Arial" w:hAnsi="Arial" w:cs="Arial"/>
        </w:rPr>
        <w:t xml:space="preserve">, </w:t>
      </w:r>
      <w:r w:rsidRPr="00B100C9">
        <w:rPr>
          <w:rFonts w:ascii="Arial" w:hAnsi="Arial" w:cs="Arial"/>
          <w:i/>
          <w:iCs/>
        </w:rPr>
        <w:t>19</w:t>
      </w:r>
      <w:r w:rsidRPr="00B100C9">
        <w:rPr>
          <w:rFonts w:ascii="Arial" w:hAnsi="Arial" w:cs="Arial"/>
        </w:rPr>
        <w:t xml:space="preserve">(4), 211–225. </w:t>
      </w:r>
      <w:hyperlink r:id="rId6" w:history="1">
        <w:r w:rsidRPr="00B100C9">
          <w:rPr>
            <w:rStyle w:val="Hyperlink"/>
            <w:rFonts w:ascii="Arial" w:hAnsi="Arial" w:cs="Arial"/>
          </w:rPr>
          <w:t>https://doi.org/10.3109/17518423.2014.935822</w:t>
        </w:r>
      </w:hyperlink>
    </w:p>
    <w:p w14:paraId="18C071F2" w14:textId="77777777" w:rsidR="002F463E" w:rsidRPr="00B100C9" w:rsidRDefault="002F463E" w:rsidP="002F463E">
      <w:pPr>
        <w:rPr>
          <w:rFonts w:ascii="Arial" w:hAnsi="Arial" w:cs="Arial"/>
        </w:rPr>
      </w:pPr>
      <w:r w:rsidRPr="00B100C9">
        <w:rPr>
          <w:rFonts w:ascii="Arial" w:hAnsi="Arial" w:cs="Arial"/>
        </w:rPr>
        <w:t xml:space="preserve">Basit, T.N. (2010) </w:t>
      </w:r>
      <w:r w:rsidRPr="00B100C9">
        <w:rPr>
          <w:rFonts w:ascii="Arial" w:hAnsi="Arial" w:cs="Arial"/>
          <w:i/>
          <w:iCs/>
        </w:rPr>
        <w:t>Conducting research in educational contexts</w:t>
      </w:r>
      <w:r w:rsidRPr="00B100C9">
        <w:rPr>
          <w:rFonts w:ascii="Arial" w:hAnsi="Arial" w:cs="Arial"/>
        </w:rPr>
        <w:t>. London: Continuum.</w:t>
      </w:r>
    </w:p>
    <w:p w14:paraId="29E00AE9" w14:textId="77777777" w:rsidR="002F463E" w:rsidRPr="00B100C9" w:rsidRDefault="002F463E" w:rsidP="002F463E">
      <w:pPr>
        <w:rPr>
          <w:rFonts w:ascii="Arial" w:hAnsi="Arial" w:cs="Arial"/>
        </w:rPr>
      </w:pPr>
      <w:hyperlink r:id="rId7" w:tgtFrame="_blank" w:history="1">
        <w:r w:rsidRPr="00B100C9">
          <w:rPr>
            <w:rStyle w:val="Hyperlink"/>
            <w:rFonts w:ascii="Arial" w:hAnsi="Arial" w:cs="Arial"/>
          </w:rPr>
          <w:t>BERA</w:t>
        </w:r>
      </w:hyperlink>
      <w:r w:rsidRPr="00B100C9">
        <w:rPr>
          <w:rFonts w:ascii="Arial" w:hAnsi="Arial" w:cs="Arial"/>
        </w:rPr>
        <w:t xml:space="preserve"> (2023) </w:t>
      </w:r>
      <w:r w:rsidRPr="00B100C9">
        <w:rPr>
          <w:rFonts w:ascii="Arial" w:hAnsi="Arial" w:cs="Arial"/>
          <w:i/>
          <w:iCs/>
        </w:rPr>
        <w:t>BERA handbook: member code of conduct</w:t>
      </w:r>
      <w:r w:rsidRPr="00B100C9">
        <w:rPr>
          <w:rFonts w:ascii="Arial" w:hAnsi="Arial" w:cs="Arial"/>
        </w:rPr>
        <w:t xml:space="preserve">. Available at: </w:t>
      </w:r>
      <w:hyperlink r:id="rId8" w:tgtFrame="_new" w:history="1">
        <w:r w:rsidRPr="00B100C9">
          <w:rPr>
            <w:rStyle w:val="Hyperlink"/>
            <w:rFonts w:ascii="Arial" w:hAnsi="Arial" w:cs="Arial"/>
          </w:rPr>
          <w:t>https://www.bera.ac.uk/wp-content/uploads/2023/10/Code-of-Conduct-2023.pdf</w:t>
        </w:r>
      </w:hyperlink>
      <w:r w:rsidRPr="00B100C9">
        <w:rPr>
          <w:rFonts w:ascii="Arial" w:hAnsi="Arial" w:cs="Arial"/>
        </w:rPr>
        <w:t xml:space="preserve"> (Accessed: 16 May 2026).</w:t>
      </w:r>
    </w:p>
    <w:p w14:paraId="130F56C0" w14:textId="77777777" w:rsidR="002F463E" w:rsidRPr="00B100C9" w:rsidRDefault="002F463E" w:rsidP="002F463E">
      <w:pPr>
        <w:rPr>
          <w:rFonts w:ascii="Arial" w:hAnsi="Arial" w:cs="Arial"/>
        </w:rPr>
      </w:pPr>
      <w:r w:rsidRPr="00B100C9">
        <w:rPr>
          <w:rFonts w:ascii="Arial" w:hAnsi="Arial" w:cs="Arial"/>
        </w:rPr>
        <w:t xml:space="preserve">British Educational Research Association (2024) </w:t>
      </w:r>
      <w:r w:rsidRPr="00B100C9">
        <w:rPr>
          <w:rFonts w:ascii="Arial" w:hAnsi="Arial" w:cs="Arial"/>
          <w:i/>
          <w:iCs/>
        </w:rPr>
        <w:t>Ethical Guidelines for Educational Research</w:t>
      </w:r>
      <w:r w:rsidRPr="00B100C9">
        <w:rPr>
          <w:rFonts w:ascii="Arial" w:hAnsi="Arial" w:cs="Arial"/>
        </w:rPr>
        <w:t xml:space="preserve">. 5th </w:t>
      </w:r>
      <w:proofErr w:type="spellStart"/>
      <w:r w:rsidRPr="00B100C9">
        <w:rPr>
          <w:rFonts w:ascii="Arial" w:hAnsi="Arial" w:cs="Arial"/>
        </w:rPr>
        <w:t>edn</w:t>
      </w:r>
      <w:proofErr w:type="spellEnd"/>
      <w:r w:rsidRPr="00B100C9">
        <w:rPr>
          <w:rFonts w:ascii="Arial" w:hAnsi="Arial" w:cs="Arial"/>
        </w:rPr>
        <w:t>. London: BERA. Available at: https://www.bera.ac.uk/publication/ethical-guidelines-for-educational-research-2024 (Accessed: 13 May 2026).</w:t>
      </w:r>
    </w:p>
    <w:p w14:paraId="4E7FCFE0" w14:textId="77777777" w:rsidR="002F463E" w:rsidRPr="00B100C9" w:rsidRDefault="002F463E" w:rsidP="002F463E">
      <w:pPr>
        <w:rPr>
          <w:rFonts w:ascii="Arial" w:hAnsi="Arial" w:cs="Arial"/>
        </w:rPr>
      </w:pPr>
      <w:r w:rsidRPr="00B100C9">
        <w:rPr>
          <w:rFonts w:ascii="Arial" w:hAnsi="Arial" w:cs="Arial"/>
        </w:rPr>
        <w:t xml:space="preserve">Campbell, D., Morley, D. and Catchpole, R. (2016) </w:t>
      </w:r>
      <w:r w:rsidRPr="00B100C9">
        <w:rPr>
          <w:rFonts w:ascii="Arial" w:hAnsi="Arial" w:cs="Arial"/>
          <w:i/>
          <w:iCs/>
        </w:rPr>
        <w:t>Critical issues in child and adolescent mental health</w:t>
      </w:r>
      <w:r w:rsidRPr="00B100C9">
        <w:rPr>
          <w:rFonts w:ascii="Arial" w:hAnsi="Arial" w:cs="Arial"/>
        </w:rPr>
        <w:t>. London: Macmillan Education/Palgrave.</w:t>
      </w:r>
    </w:p>
    <w:p w14:paraId="1856B332" w14:textId="77777777" w:rsidR="002F463E" w:rsidRPr="00B100C9" w:rsidRDefault="002F463E" w:rsidP="002F463E">
      <w:pPr>
        <w:rPr>
          <w:rFonts w:ascii="Arial" w:hAnsi="Arial" w:cs="Arial"/>
        </w:rPr>
      </w:pPr>
      <w:r w:rsidRPr="00B100C9">
        <w:rPr>
          <w:rFonts w:ascii="Arial" w:hAnsi="Arial" w:cs="Arial"/>
        </w:rPr>
        <w:t xml:space="preserve">Children and Young People’s Commissioner Scotland (2026) </w:t>
      </w:r>
      <w:r w:rsidRPr="00B100C9">
        <w:rPr>
          <w:rFonts w:ascii="Arial" w:hAnsi="Arial" w:cs="Arial"/>
          <w:i/>
          <w:iCs/>
        </w:rPr>
        <w:t>Article 31</w:t>
      </w:r>
      <w:r w:rsidRPr="00B100C9">
        <w:rPr>
          <w:rFonts w:ascii="Arial" w:hAnsi="Arial" w:cs="Arial"/>
        </w:rPr>
        <w:t xml:space="preserve">. Available at: </w:t>
      </w:r>
      <w:hyperlink r:id="rId9" w:tgtFrame="_new" w:history="1">
        <w:r w:rsidRPr="00B100C9">
          <w:rPr>
            <w:rStyle w:val="Hyperlink"/>
            <w:rFonts w:ascii="Arial" w:hAnsi="Arial" w:cs="Arial"/>
          </w:rPr>
          <w:t>https://www.cypcs.org.uk/rights/uncrc/articles/article-31/</w:t>
        </w:r>
      </w:hyperlink>
      <w:r w:rsidRPr="00B100C9">
        <w:rPr>
          <w:rFonts w:ascii="Arial" w:hAnsi="Arial" w:cs="Arial"/>
        </w:rPr>
        <w:t xml:space="preserve"> (Accessed: 4 May 2026).</w:t>
      </w:r>
    </w:p>
    <w:p w14:paraId="51255171" w14:textId="77777777" w:rsidR="002F463E" w:rsidRPr="00B100C9" w:rsidRDefault="002F463E" w:rsidP="002F463E">
      <w:pPr>
        <w:rPr>
          <w:rFonts w:ascii="Arial" w:hAnsi="Arial" w:cs="Arial"/>
        </w:rPr>
      </w:pPr>
      <w:r w:rsidRPr="00B100C9">
        <w:rPr>
          <w:rFonts w:ascii="Arial" w:hAnsi="Arial" w:cs="Arial"/>
        </w:rPr>
        <w:t xml:space="preserve">Devlin, E. (2024). Exploring teachers’ confidence in addressing mental health issues in learners with Profound and Multiple Learning Difficulties (PMLD) pre and post training. </w:t>
      </w:r>
      <w:proofErr w:type="spellStart"/>
      <w:r w:rsidRPr="00B100C9">
        <w:rPr>
          <w:rFonts w:ascii="Arial" w:hAnsi="Arial" w:cs="Arial"/>
          <w:i/>
          <w:iCs/>
        </w:rPr>
        <w:t>Cylchgrawn</w:t>
      </w:r>
      <w:proofErr w:type="spellEnd"/>
      <w:r w:rsidRPr="00B100C9">
        <w:rPr>
          <w:rFonts w:ascii="Arial" w:hAnsi="Arial" w:cs="Arial"/>
          <w:i/>
          <w:iCs/>
        </w:rPr>
        <w:t xml:space="preserve"> Addysg Cymru = Wales Journal of Education</w:t>
      </w:r>
      <w:r w:rsidRPr="00B100C9">
        <w:rPr>
          <w:rFonts w:ascii="Arial" w:hAnsi="Arial" w:cs="Arial"/>
        </w:rPr>
        <w:t xml:space="preserve">. </w:t>
      </w:r>
      <w:hyperlink r:id="rId10" w:history="1">
        <w:r w:rsidRPr="00B100C9">
          <w:rPr>
            <w:rStyle w:val="Hyperlink"/>
            <w:rFonts w:ascii="Arial" w:hAnsi="Arial" w:cs="Arial"/>
          </w:rPr>
          <w:t>https://doi.org/10.16922/wje.p5</w:t>
        </w:r>
      </w:hyperlink>
    </w:p>
    <w:p w14:paraId="1FB23272" w14:textId="77777777" w:rsidR="002F463E" w:rsidRPr="00B100C9" w:rsidRDefault="002F463E" w:rsidP="002F463E">
      <w:pPr>
        <w:rPr>
          <w:rFonts w:ascii="Arial" w:hAnsi="Arial" w:cs="Arial"/>
        </w:rPr>
      </w:pPr>
      <w:r w:rsidRPr="00B100C9">
        <w:rPr>
          <w:rFonts w:ascii="Arial" w:hAnsi="Arial" w:cs="Arial"/>
        </w:rPr>
        <w:t xml:space="preserve">Dr. Sujatha, B.K., Dr. Mayurnath, T. Reddy and Dr. Pooja, P. (2019) ‘Camouflage in research – the Hawthorne effect’, </w:t>
      </w:r>
      <w:r w:rsidRPr="00B100C9">
        <w:rPr>
          <w:rFonts w:ascii="Arial" w:hAnsi="Arial" w:cs="Arial"/>
          <w:i/>
          <w:iCs/>
        </w:rPr>
        <w:t>International Journal of Development Research</w:t>
      </w:r>
      <w:r w:rsidRPr="00B100C9">
        <w:rPr>
          <w:rFonts w:ascii="Arial" w:hAnsi="Arial" w:cs="Arial"/>
        </w:rPr>
        <w:t xml:space="preserve">, 9(4), pp. 26996–26999. Available at: </w:t>
      </w:r>
      <w:hyperlink r:id="rId11" w:tgtFrame="_new" w:history="1">
        <w:r w:rsidRPr="00B100C9">
          <w:rPr>
            <w:rStyle w:val="Hyperlink"/>
            <w:rFonts w:ascii="Arial" w:hAnsi="Arial" w:cs="Arial"/>
          </w:rPr>
          <w:t>https://www.journalijdr.com/sites/default/files/issue-pdf/15710.pdf</w:t>
        </w:r>
      </w:hyperlink>
      <w:r w:rsidRPr="00B100C9">
        <w:rPr>
          <w:rFonts w:ascii="Arial" w:hAnsi="Arial" w:cs="Arial"/>
        </w:rPr>
        <w:t xml:space="preserve"> (Accessed: 13 May 2026).</w:t>
      </w:r>
    </w:p>
    <w:p w14:paraId="12460374" w14:textId="77777777" w:rsidR="002F463E" w:rsidRPr="00B100C9" w:rsidRDefault="002F463E" w:rsidP="002F463E">
      <w:pPr>
        <w:rPr>
          <w:rFonts w:ascii="Arial" w:hAnsi="Arial" w:cs="Arial"/>
        </w:rPr>
      </w:pPr>
      <w:r w:rsidRPr="00B100C9">
        <w:rPr>
          <w:rFonts w:ascii="Arial" w:hAnsi="Arial" w:cs="Arial"/>
        </w:rPr>
        <w:t xml:space="preserve">Emerson, E., Robertson, J., Coles, B. and Hatton, C. (2012) </w:t>
      </w:r>
      <w:r w:rsidRPr="00B100C9">
        <w:rPr>
          <w:rFonts w:ascii="Arial" w:hAnsi="Arial" w:cs="Arial"/>
          <w:i/>
          <w:iCs/>
        </w:rPr>
        <w:t>The future need for adult social care services for adults with disabilities in England 2012–30: Research findings 5</w:t>
      </w:r>
      <w:r w:rsidRPr="00B100C9">
        <w:rPr>
          <w:rFonts w:ascii="Arial" w:hAnsi="Arial" w:cs="Arial"/>
        </w:rPr>
        <w:t>. London: NIHR School for Social Care Research. </w:t>
      </w:r>
    </w:p>
    <w:p w14:paraId="22FF29EC" w14:textId="77777777" w:rsidR="002F463E" w:rsidRPr="00B100C9" w:rsidRDefault="002F463E" w:rsidP="002F463E">
      <w:pPr>
        <w:rPr>
          <w:rFonts w:ascii="Arial" w:hAnsi="Arial" w:cs="Arial"/>
        </w:rPr>
      </w:pPr>
      <w:r w:rsidRPr="00B100C9">
        <w:rPr>
          <w:rFonts w:ascii="Arial" w:hAnsi="Arial" w:cs="Arial"/>
        </w:rPr>
        <w:t xml:space="preserve">Gabrieli, G., Lee, A., </w:t>
      </w:r>
      <w:proofErr w:type="spellStart"/>
      <w:r w:rsidRPr="00B100C9">
        <w:rPr>
          <w:rFonts w:ascii="Arial" w:hAnsi="Arial" w:cs="Arial"/>
        </w:rPr>
        <w:t>Setoh</w:t>
      </w:r>
      <w:proofErr w:type="spellEnd"/>
      <w:r w:rsidRPr="00B100C9">
        <w:rPr>
          <w:rFonts w:ascii="Arial" w:hAnsi="Arial" w:cs="Arial"/>
        </w:rPr>
        <w:t xml:space="preserve">, P. and Esposito, G. (2021) ‘An analysis of the generalizability and stability of the halo effect during the COVID-19 pandemic </w:t>
      </w:r>
      <w:r w:rsidRPr="00B100C9">
        <w:rPr>
          <w:rFonts w:ascii="Arial" w:hAnsi="Arial" w:cs="Arial"/>
        </w:rPr>
        <w:lastRenderedPageBreak/>
        <w:t xml:space="preserve">outbreak’, </w:t>
      </w:r>
      <w:r w:rsidRPr="00B100C9">
        <w:rPr>
          <w:rFonts w:ascii="Arial" w:hAnsi="Arial" w:cs="Arial"/>
          <w:i/>
          <w:iCs/>
        </w:rPr>
        <w:t>Frontiers in Psychology</w:t>
      </w:r>
      <w:r w:rsidRPr="00B100C9">
        <w:rPr>
          <w:rFonts w:ascii="Arial" w:hAnsi="Arial" w:cs="Arial"/>
        </w:rPr>
        <w:t xml:space="preserve">, 12, p. 631871. Available at: </w:t>
      </w:r>
      <w:hyperlink r:id="rId12" w:tgtFrame="_new" w:history="1">
        <w:r w:rsidRPr="00B100C9">
          <w:rPr>
            <w:rStyle w:val="Hyperlink"/>
            <w:rFonts w:ascii="Arial" w:hAnsi="Arial" w:cs="Arial"/>
          </w:rPr>
          <w:t>https://doi.org/10.3389/fpsyg.2021.631871</w:t>
        </w:r>
      </w:hyperlink>
      <w:r w:rsidRPr="00B100C9">
        <w:rPr>
          <w:rFonts w:ascii="Arial" w:hAnsi="Arial" w:cs="Arial"/>
        </w:rPr>
        <w:t xml:space="preserve"> (Accessed: 13 May 2026).</w:t>
      </w:r>
    </w:p>
    <w:p w14:paraId="31F7FFBA" w14:textId="77777777" w:rsidR="002F463E" w:rsidRPr="00B100C9" w:rsidRDefault="002F463E" w:rsidP="002F463E">
      <w:pPr>
        <w:rPr>
          <w:rFonts w:ascii="Arial" w:hAnsi="Arial" w:cs="Arial"/>
        </w:rPr>
      </w:pPr>
      <w:r w:rsidRPr="00B100C9">
        <w:rPr>
          <w:rFonts w:ascii="Arial" w:hAnsi="Arial" w:cs="Arial"/>
        </w:rPr>
        <w:t xml:space="preserve">Hatton, C. and Glover, G. (2015) ‘Young people with learning disabilities or autistic spectrum disorder in post-compulsory state supported schools in England’, </w:t>
      </w:r>
      <w:r w:rsidRPr="00B100C9">
        <w:rPr>
          <w:rFonts w:ascii="Arial" w:hAnsi="Arial" w:cs="Arial"/>
          <w:i/>
          <w:iCs/>
        </w:rPr>
        <w:t>Tizard Learning Disability Review</w:t>
      </w:r>
      <w:r w:rsidRPr="00B100C9">
        <w:rPr>
          <w:rFonts w:ascii="Arial" w:hAnsi="Arial" w:cs="Arial"/>
        </w:rPr>
        <w:t xml:space="preserve">, 20(3), pp. 170–174. Available at: </w:t>
      </w:r>
      <w:hyperlink r:id="rId13" w:tgtFrame="_blank" w:history="1">
        <w:r w:rsidRPr="00B100C9">
          <w:rPr>
            <w:rStyle w:val="Hyperlink"/>
            <w:rFonts w:ascii="Arial" w:hAnsi="Arial" w:cs="Arial"/>
          </w:rPr>
          <w:t>https://doi.org/10.1108/TLDR-04-2015-0021</w:t>
        </w:r>
      </w:hyperlink>
      <w:r w:rsidRPr="00B100C9">
        <w:rPr>
          <w:rFonts w:ascii="Arial" w:hAnsi="Arial" w:cs="Arial"/>
        </w:rPr>
        <w:t xml:space="preserve"> (Accessed: 2 May 2026). </w:t>
      </w:r>
    </w:p>
    <w:p w14:paraId="121A56DE" w14:textId="77777777" w:rsidR="002F463E" w:rsidRPr="00B100C9" w:rsidRDefault="002F463E" w:rsidP="002F463E">
      <w:pPr>
        <w:rPr>
          <w:rFonts w:ascii="Arial" w:hAnsi="Arial" w:cs="Arial"/>
        </w:rPr>
      </w:pPr>
      <w:r w:rsidRPr="00B100C9">
        <w:rPr>
          <w:rFonts w:ascii="Arial" w:hAnsi="Arial" w:cs="Arial"/>
        </w:rPr>
        <w:t xml:space="preserve">Jerry Wellington (2015) </w:t>
      </w:r>
      <w:r w:rsidRPr="00B100C9">
        <w:rPr>
          <w:rFonts w:ascii="Arial" w:hAnsi="Arial" w:cs="Arial"/>
          <w:i/>
          <w:iCs/>
        </w:rPr>
        <w:t>Educational research</w:t>
      </w:r>
      <w:r w:rsidRPr="00B100C9">
        <w:rPr>
          <w:rFonts w:ascii="Arial" w:hAnsi="Arial" w:cs="Arial"/>
        </w:rPr>
        <w:t xml:space="preserve">. 2nd </w:t>
      </w:r>
      <w:proofErr w:type="spellStart"/>
      <w:r w:rsidRPr="00B100C9">
        <w:rPr>
          <w:rFonts w:ascii="Arial" w:hAnsi="Arial" w:cs="Arial"/>
        </w:rPr>
        <w:t>edn</w:t>
      </w:r>
      <w:proofErr w:type="spellEnd"/>
      <w:r w:rsidRPr="00B100C9">
        <w:rPr>
          <w:rFonts w:ascii="Arial" w:hAnsi="Arial" w:cs="Arial"/>
        </w:rPr>
        <w:t>. London: Bloomsbury Academic.</w:t>
      </w:r>
    </w:p>
    <w:p w14:paraId="17834364" w14:textId="77777777" w:rsidR="002F463E" w:rsidRPr="00B100C9" w:rsidRDefault="002F463E" w:rsidP="002F463E">
      <w:pPr>
        <w:rPr>
          <w:rFonts w:ascii="Arial" w:hAnsi="Arial" w:cs="Arial"/>
        </w:rPr>
      </w:pPr>
      <w:r w:rsidRPr="00B100C9">
        <w:rPr>
          <w:rFonts w:ascii="Arial" w:hAnsi="Arial" w:cs="Arial"/>
        </w:rPr>
        <w:t xml:space="preserve">Lacey, P. (2015). </w:t>
      </w:r>
      <w:r w:rsidRPr="00B100C9">
        <w:rPr>
          <w:rFonts w:ascii="Arial" w:hAnsi="Arial" w:cs="Arial"/>
          <w:i/>
          <w:iCs/>
        </w:rPr>
        <w:t>The Routledge companion to severe, profound and multiple learning difficulties</w:t>
      </w:r>
      <w:r w:rsidRPr="00B100C9">
        <w:rPr>
          <w:rFonts w:ascii="Arial" w:hAnsi="Arial" w:cs="Arial"/>
        </w:rPr>
        <w:t xml:space="preserve"> (1st ed.). Routledge. https://doi.org/10.4324/9781315717913</w:t>
      </w:r>
    </w:p>
    <w:p w14:paraId="21BD0469" w14:textId="77777777" w:rsidR="002F463E" w:rsidRPr="00B100C9" w:rsidRDefault="002F463E" w:rsidP="002F463E">
      <w:pPr>
        <w:rPr>
          <w:rFonts w:ascii="Arial" w:hAnsi="Arial" w:cs="Arial"/>
        </w:rPr>
      </w:pPr>
      <w:r w:rsidRPr="00B100C9">
        <w:rPr>
          <w:rFonts w:ascii="Arial" w:hAnsi="Arial" w:cs="Arial"/>
        </w:rPr>
        <w:t xml:space="preserve">Lambert, M. (ed.) (2019) </w:t>
      </w:r>
      <w:r w:rsidRPr="00B100C9">
        <w:rPr>
          <w:rFonts w:ascii="Arial" w:hAnsi="Arial" w:cs="Arial"/>
          <w:i/>
          <w:iCs/>
        </w:rPr>
        <w:t>Practical research methods in education: an early researcher’s critical guide</w:t>
      </w:r>
      <w:r w:rsidRPr="00B100C9">
        <w:rPr>
          <w:rFonts w:ascii="Arial" w:hAnsi="Arial" w:cs="Arial"/>
        </w:rPr>
        <w:t>. Abingdon: Routledge.</w:t>
      </w:r>
    </w:p>
    <w:p w14:paraId="6B5EE2A5" w14:textId="77777777" w:rsidR="002F463E" w:rsidRPr="00B100C9" w:rsidRDefault="002F463E" w:rsidP="002F463E">
      <w:pPr>
        <w:rPr>
          <w:rFonts w:ascii="Arial" w:hAnsi="Arial" w:cs="Arial"/>
        </w:rPr>
      </w:pPr>
      <w:r w:rsidRPr="00B100C9">
        <w:rPr>
          <w:rFonts w:ascii="Arial" w:hAnsi="Arial" w:cs="Arial"/>
        </w:rPr>
        <w:t xml:space="preserve">Likert, R. (1932) ‘A technique for the measurement of attitudes’, </w:t>
      </w:r>
      <w:r w:rsidRPr="00B100C9">
        <w:rPr>
          <w:rFonts w:ascii="Arial" w:hAnsi="Arial" w:cs="Arial"/>
          <w:i/>
          <w:iCs/>
        </w:rPr>
        <w:t>Archives of Psychology</w:t>
      </w:r>
      <w:r w:rsidRPr="00B100C9">
        <w:rPr>
          <w:rFonts w:ascii="Arial" w:hAnsi="Arial" w:cs="Arial"/>
        </w:rPr>
        <w:t>.</w:t>
      </w:r>
    </w:p>
    <w:p w14:paraId="3229BE1E" w14:textId="77777777" w:rsidR="002F463E" w:rsidRPr="00B100C9" w:rsidRDefault="002F463E" w:rsidP="002F463E">
      <w:pPr>
        <w:rPr>
          <w:rFonts w:ascii="Arial" w:hAnsi="Arial" w:cs="Arial"/>
        </w:rPr>
      </w:pPr>
      <w:r w:rsidRPr="00B100C9">
        <w:rPr>
          <w:rFonts w:ascii="Arial" w:hAnsi="Arial" w:cs="Arial"/>
        </w:rPr>
        <w:t xml:space="preserve">Louis Cohen, Lawrence Manion and Keith Morrison (2018) </w:t>
      </w:r>
      <w:r w:rsidRPr="00B100C9">
        <w:rPr>
          <w:rFonts w:ascii="Arial" w:hAnsi="Arial" w:cs="Arial"/>
          <w:i/>
          <w:iCs/>
        </w:rPr>
        <w:t>Research methods in education</w:t>
      </w:r>
      <w:r w:rsidRPr="00B100C9">
        <w:rPr>
          <w:rFonts w:ascii="Arial" w:hAnsi="Arial" w:cs="Arial"/>
        </w:rPr>
        <w:t xml:space="preserve">. 8th </w:t>
      </w:r>
      <w:proofErr w:type="spellStart"/>
      <w:r w:rsidRPr="00B100C9">
        <w:rPr>
          <w:rFonts w:ascii="Arial" w:hAnsi="Arial" w:cs="Arial"/>
        </w:rPr>
        <w:t>edn</w:t>
      </w:r>
      <w:proofErr w:type="spellEnd"/>
      <w:r w:rsidRPr="00B100C9">
        <w:rPr>
          <w:rFonts w:ascii="Arial" w:hAnsi="Arial" w:cs="Arial"/>
        </w:rPr>
        <w:t>. London: Routledge.</w:t>
      </w:r>
    </w:p>
    <w:p w14:paraId="066F4737" w14:textId="77777777" w:rsidR="002F463E" w:rsidRPr="00B100C9" w:rsidRDefault="002F463E" w:rsidP="002F463E">
      <w:pPr>
        <w:rPr>
          <w:rFonts w:ascii="Arial" w:hAnsi="Arial" w:cs="Arial"/>
        </w:rPr>
      </w:pPr>
      <w:r w:rsidRPr="00B100C9">
        <w:rPr>
          <w:rFonts w:ascii="Arial" w:hAnsi="Arial" w:cs="Arial"/>
        </w:rPr>
        <w:t xml:space="preserve">Mencap (2015) </w:t>
      </w:r>
      <w:r w:rsidRPr="00B100C9">
        <w:rPr>
          <w:rFonts w:ascii="Arial" w:hAnsi="Arial" w:cs="Arial"/>
          <w:i/>
          <w:iCs/>
        </w:rPr>
        <w:t>Profound and multiple learning disabilities (PMLD)</w:t>
      </w:r>
      <w:r w:rsidRPr="00B100C9">
        <w:rPr>
          <w:rFonts w:ascii="Arial" w:hAnsi="Arial" w:cs="Arial"/>
        </w:rPr>
        <w:t xml:space="preserve">. Available at: </w:t>
      </w:r>
      <w:hyperlink r:id="rId14" w:tgtFrame="_new" w:history="1">
        <w:r w:rsidRPr="00B100C9">
          <w:rPr>
            <w:rStyle w:val="Hyperlink"/>
            <w:rFonts w:ascii="Arial" w:hAnsi="Arial" w:cs="Arial"/>
          </w:rPr>
          <w:t>https://www.pmldlink.org.uk/wp-content/uploads/2015/07/mencap.pdf</w:t>
        </w:r>
      </w:hyperlink>
      <w:r w:rsidRPr="00B100C9">
        <w:rPr>
          <w:rFonts w:ascii="Arial" w:hAnsi="Arial" w:cs="Arial"/>
        </w:rPr>
        <w:t xml:space="preserve"> (Accessed: 13 May 2026).</w:t>
      </w:r>
    </w:p>
    <w:p w14:paraId="760BB2F0" w14:textId="77777777" w:rsidR="002F463E" w:rsidRPr="00B100C9" w:rsidRDefault="002F463E" w:rsidP="002F463E">
      <w:pPr>
        <w:rPr>
          <w:rFonts w:ascii="Arial" w:hAnsi="Arial" w:cs="Arial"/>
        </w:rPr>
      </w:pPr>
      <w:hyperlink r:id="rId15" w:tgtFrame="_blank" w:history="1">
        <w:r w:rsidRPr="00B100C9">
          <w:rPr>
            <w:rStyle w:val="Hyperlink"/>
            <w:rFonts w:ascii="Arial" w:hAnsi="Arial" w:cs="Arial"/>
          </w:rPr>
          <w:t>Microsoft Learn</w:t>
        </w:r>
      </w:hyperlink>
      <w:r w:rsidRPr="00B100C9">
        <w:rPr>
          <w:rFonts w:ascii="Arial" w:hAnsi="Arial" w:cs="Arial"/>
        </w:rPr>
        <w:t xml:space="preserve"> (2025) </w:t>
      </w:r>
      <w:r w:rsidRPr="00B100C9">
        <w:rPr>
          <w:rFonts w:ascii="Arial" w:hAnsi="Arial" w:cs="Arial"/>
          <w:i/>
          <w:iCs/>
        </w:rPr>
        <w:t>Office 365 data subject requests under the GDPR and CCPA</w:t>
      </w:r>
      <w:r w:rsidRPr="00B100C9">
        <w:rPr>
          <w:rFonts w:ascii="Arial" w:hAnsi="Arial" w:cs="Arial"/>
        </w:rPr>
        <w:t xml:space="preserve">. Available at: </w:t>
      </w:r>
      <w:hyperlink r:id="rId16" w:tgtFrame="_new" w:history="1">
        <w:r w:rsidRPr="00B100C9">
          <w:rPr>
            <w:rStyle w:val="Hyperlink"/>
            <w:rFonts w:ascii="Arial" w:hAnsi="Arial" w:cs="Arial"/>
          </w:rPr>
          <w:t>https://learn.microsoft.com/en-us/compliance/regulatory/gdpr-dsr-Office365?toc=%2Fmicrosoft-365%2Fenterprise%2Ftoc.json</w:t>
        </w:r>
      </w:hyperlink>
      <w:r w:rsidRPr="00B100C9">
        <w:rPr>
          <w:rFonts w:ascii="Arial" w:hAnsi="Arial" w:cs="Arial"/>
        </w:rPr>
        <w:t xml:space="preserve"> (Accessed: 16 May 2026).</w:t>
      </w:r>
    </w:p>
    <w:p w14:paraId="39DC969A" w14:textId="77777777" w:rsidR="002F463E" w:rsidRPr="00B100C9" w:rsidRDefault="002F463E" w:rsidP="002F463E">
      <w:pPr>
        <w:rPr>
          <w:rFonts w:ascii="Arial" w:hAnsi="Arial" w:cs="Arial"/>
        </w:rPr>
      </w:pPr>
      <w:r w:rsidRPr="00B100C9">
        <w:rPr>
          <w:rFonts w:ascii="Arial" w:hAnsi="Arial" w:cs="Arial"/>
        </w:rPr>
        <w:t xml:space="preserve">Newby, P. (2014) </w:t>
      </w:r>
      <w:r w:rsidRPr="00B100C9">
        <w:rPr>
          <w:rStyle w:val="Emphasis"/>
          <w:rFonts w:ascii="Arial" w:hAnsi="Arial" w:cs="Arial"/>
        </w:rPr>
        <w:t>Research methods for education</w:t>
      </w:r>
      <w:r w:rsidRPr="00B100C9">
        <w:rPr>
          <w:rFonts w:ascii="Arial" w:hAnsi="Arial" w:cs="Arial"/>
        </w:rPr>
        <w:t xml:space="preserve">. 2nd </w:t>
      </w:r>
      <w:proofErr w:type="spellStart"/>
      <w:r w:rsidRPr="00B100C9">
        <w:rPr>
          <w:rFonts w:ascii="Arial" w:hAnsi="Arial" w:cs="Arial"/>
        </w:rPr>
        <w:t>edn</w:t>
      </w:r>
      <w:proofErr w:type="spellEnd"/>
      <w:r w:rsidRPr="00B100C9">
        <w:rPr>
          <w:rFonts w:ascii="Arial" w:hAnsi="Arial" w:cs="Arial"/>
        </w:rPr>
        <w:t>. London: Routledge. doi:10.4324/9781315758763.</w:t>
      </w:r>
    </w:p>
    <w:p w14:paraId="5E8A5DB2" w14:textId="77777777" w:rsidR="002F463E" w:rsidRPr="00B100C9" w:rsidRDefault="002F463E" w:rsidP="002F463E">
      <w:pPr>
        <w:rPr>
          <w:rStyle w:val="Hyperlink"/>
          <w:rFonts w:ascii="Arial" w:hAnsi="Arial" w:cs="Arial"/>
        </w:rPr>
      </w:pPr>
      <w:r w:rsidRPr="00B100C9">
        <w:rPr>
          <w:rFonts w:ascii="Arial" w:hAnsi="Arial" w:cs="Arial"/>
        </w:rPr>
        <w:t xml:space="preserve">Olsen, W.K. (2004) ‘Triangulation in social research: qualitative and quantitative methods can really be mixed’, in Haralambos, M. and Holborn, M. (eds.) </w:t>
      </w:r>
      <w:r w:rsidRPr="00B100C9">
        <w:rPr>
          <w:rFonts w:ascii="Arial" w:hAnsi="Arial" w:cs="Arial"/>
          <w:i/>
          <w:iCs/>
        </w:rPr>
        <w:t>Developments in Sociology</w:t>
      </w:r>
      <w:r w:rsidRPr="00B100C9">
        <w:rPr>
          <w:rFonts w:ascii="Arial" w:hAnsi="Arial" w:cs="Arial"/>
        </w:rPr>
        <w:t xml:space="preserve">. Ormskirk: Causeway Press Ltd. Available at: </w:t>
      </w:r>
      <w:hyperlink r:id="rId17" w:tgtFrame="_new" w:history="1">
        <w:r w:rsidRPr="00B100C9">
          <w:rPr>
            <w:rStyle w:val="Hyperlink"/>
            <w:rFonts w:ascii="Arial" w:hAnsi="Arial" w:cs="Arial"/>
          </w:rPr>
          <w:t>https://pure.manchester.ac.uk/ws/portalfiles/portal/207102987/TriangulationChapterFinaleditedSS.pdf</w:t>
        </w:r>
      </w:hyperlink>
      <w:r w:rsidRPr="00B100C9">
        <w:rPr>
          <w:rFonts w:ascii="Arial" w:hAnsi="Arial" w:cs="Arial"/>
        </w:rPr>
        <w:t xml:space="preserve"> (Accessed: 13 May 2026).</w:t>
      </w:r>
    </w:p>
    <w:p w14:paraId="7D396800" w14:textId="77777777" w:rsidR="002F463E" w:rsidRPr="00B100C9" w:rsidRDefault="002F463E" w:rsidP="002F463E">
      <w:pPr>
        <w:rPr>
          <w:rFonts w:ascii="Arial" w:hAnsi="Arial" w:cs="Arial"/>
        </w:rPr>
      </w:pPr>
      <w:r w:rsidRPr="00B100C9">
        <w:rPr>
          <w:rFonts w:ascii="Arial" w:hAnsi="Arial" w:cs="Arial"/>
        </w:rPr>
        <w:t xml:space="preserve">PMLD Link (2017) </w:t>
      </w:r>
      <w:r w:rsidRPr="00B100C9">
        <w:rPr>
          <w:rFonts w:ascii="Arial" w:hAnsi="Arial" w:cs="Arial"/>
          <w:i/>
          <w:iCs/>
        </w:rPr>
        <w:t>Standards for supporting people with profound and multiple learning disabilities</w:t>
      </w:r>
      <w:r w:rsidRPr="00B100C9">
        <w:rPr>
          <w:rFonts w:ascii="Arial" w:hAnsi="Arial" w:cs="Arial"/>
        </w:rPr>
        <w:t xml:space="preserve">. Available at: </w:t>
      </w:r>
      <w:hyperlink r:id="rId18" w:tgtFrame="_new" w:history="1">
        <w:r w:rsidRPr="00B100C9">
          <w:rPr>
            <w:rStyle w:val="Hyperlink"/>
            <w:rFonts w:ascii="Arial" w:hAnsi="Arial" w:cs="Arial"/>
          </w:rPr>
          <w:t>PMLD Link PDF</w:t>
        </w:r>
      </w:hyperlink>
      <w:r w:rsidRPr="00B100C9">
        <w:rPr>
          <w:rFonts w:ascii="Arial" w:hAnsi="Arial" w:cs="Arial"/>
        </w:rPr>
        <w:t xml:space="preserve"> (Accessed: 9 May 2026).</w:t>
      </w:r>
    </w:p>
    <w:p w14:paraId="1E57CF3F" w14:textId="77777777" w:rsidR="002F463E" w:rsidRPr="00B100C9" w:rsidRDefault="002F463E" w:rsidP="002F463E">
      <w:pPr>
        <w:rPr>
          <w:rFonts w:ascii="Arial" w:hAnsi="Arial" w:cs="Arial"/>
        </w:rPr>
      </w:pPr>
      <w:r w:rsidRPr="00B100C9">
        <w:rPr>
          <w:rFonts w:ascii="Arial" w:hAnsi="Arial" w:cs="Arial"/>
        </w:rPr>
        <w:t xml:space="preserve">PMLD Link (no date) </w:t>
      </w:r>
      <w:r w:rsidRPr="00B100C9">
        <w:rPr>
          <w:rFonts w:ascii="Arial" w:hAnsi="Arial" w:cs="Arial"/>
          <w:i/>
          <w:iCs/>
        </w:rPr>
        <w:t>PMLD Link</w:t>
      </w:r>
      <w:r w:rsidRPr="00B100C9">
        <w:rPr>
          <w:rFonts w:ascii="Arial" w:hAnsi="Arial" w:cs="Arial"/>
        </w:rPr>
        <w:t xml:space="preserve">. Available at: </w:t>
      </w:r>
      <w:hyperlink r:id="rId19" w:tgtFrame="_new" w:history="1">
        <w:r w:rsidRPr="00B100C9">
          <w:rPr>
            <w:rStyle w:val="Hyperlink"/>
            <w:rFonts w:ascii="Arial" w:hAnsi="Arial" w:cs="Arial"/>
          </w:rPr>
          <w:t>https://www.pmldlink.org.uk/</w:t>
        </w:r>
      </w:hyperlink>
      <w:r w:rsidRPr="00B100C9">
        <w:rPr>
          <w:rFonts w:ascii="Arial" w:hAnsi="Arial" w:cs="Arial"/>
        </w:rPr>
        <w:t xml:space="preserve"> (Accessed: 25 April 2026).</w:t>
      </w:r>
    </w:p>
    <w:p w14:paraId="29B6787C" w14:textId="77777777" w:rsidR="002F463E" w:rsidRPr="00B100C9" w:rsidRDefault="002F463E" w:rsidP="002F463E">
      <w:pPr>
        <w:rPr>
          <w:rFonts w:ascii="Arial" w:hAnsi="Arial" w:cs="Arial"/>
        </w:rPr>
      </w:pPr>
      <w:r w:rsidRPr="00B100C9">
        <w:rPr>
          <w:rFonts w:ascii="Arial" w:hAnsi="Arial" w:cs="Arial"/>
        </w:rPr>
        <w:lastRenderedPageBreak/>
        <w:t xml:space="preserve">Shipton, C., &amp; </w:t>
      </w:r>
      <w:proofErr w:type="spellStart"/>
      <w:r w:rsidRPr="00B100C9">
        <w:rPr>
          <w:rFonts w:ascii="Arial" w:hAnsi="Arial" w:cs="Arial"/>
        </w:rPr>
        <w:t>O’Nions</w:t>
      </w:r>
      <w:proofErr w:type="spellEnd"/>
      <w:r w:rsidRPr="00B100C9">
        <w:rPr>
          <w:rFonts w:ascii="Arial" w:hAnsi="Arial" w:cs="Arial"/>
        </w:rPr>
        <w:t xml:space="preserve">, C. (2019). An exploration of the attitudes that surround and embody those working with children and young people with PMLD. </w:t>
      </w:r>
      <w:r w:rsidRPr="00B100C9">
        <w:rPr>
          <w:rFonts w:ascii="Arial" w:hAnsi="Arial" w:cs="Arial"/>
          <w:i/>
          <w:iCs/>
        </w:rPr>
        <w:t>Support for Learning</w:t>
      </w:r>
      <w:r w:rsidRPr="00B100C9">
        <w:rPr>
          <w:rFonts w:ascii="Arial" w:hAnsi="Arial" w:cs="Arial"/>
        </w:rPr>
        <w:t xml:space="preserve">, </w:t>
      </w:r>
      <w:r w:rsidRPr="00B100C9">
        <w:rPr>
          <w:rFonts w:ascii="Arial" w:hAnsi="Arial" w:cs="Arial"/>
          <w:i/>
          <w:iCs/>
        </w:rPr>
        <w:t>34</w:t>
      </w:r>
      <w:r w:rsidRPr="00B100C9">
        <w:rPr>
          <w:rFonts w:ascii="Arial" w:hAnsi="Arial" w:cs="Arial"/>
        </w:rPr>
        <w:t xml:space="preserve">(3), 277–289. </w:t>
      </w:r>
      <w:hyperlink r:id="rId20" w:history="1">
        <w:r w:rsidRPr="00B100C9">
          <w:rPr>
            <w:rStyle w:val="Hyperlink"/>
            <w:rFonts w:ascii="Arial" w:hAnsi="Arial" w:cs="Arial"/>
          </w:rPr>
          <w:t>https://doi.org/10.1111/1467-9604.12265</w:t>
        </w:r>
      </w:hyperlink>
    </w:p>
    <w:p w14:paraId="5838E34B" w14:textId="77777777" w:rsidR="002F463E" w:rsidRPr="00B100C9" w:rsidRDefault="002F463E" w:rsidP="002F463E">
      <w:pPr>
        <w:rPr>
          <w:rFonts w:ascii="Arial" w:hAnsi="Arial" w:cs="Arial"/>
        </w:rPr>
      </w:pPr>
      <w:r w:rsidRPr="00B100C9">
        <w:rPr>
          <w:rFonts w:ascii="Arial" w:hAnsi="Arial" w:cs="Arial"/>
        </w:rPr>
        <w:t xml:space="preserve">Thorndike, E.L. (1920) ‘A constant error in psychological ratings’, </w:t>
      </w:r>
      <w:r w:rsidRPr="00B100C9">
        <w:rPr>
          <w:rFonts w:ascii="Arial" w:hAnsi="Arial" w:cs="Arial"/>
          <w:i/>
          <w:iCs/>
        </w:rPr>
        <w:t>Journal of Applied Psychology</w:t>
      </w:r>
      <w:r w:rsidRPr="00B100C9">
        <w:rPr>
          <w:rFonts w:ascii="Arial" w:hAnsi="Arial" w:cs="Arial"/>
        </w:rPr>
        <w:t xml:space="preserve">, 4(1), pp. 25–29. Available at: </w:t>
      </w:r>
      <w:hyperlink r:id="rId21" w:tgtFrame="_new" w:history="1">
        <w:r w:rsidRPr="00B100C9">
          <w:rPr>
            <w:rStyle w:val="Hyperlink"/>
            <w:rFonts w:ascii="Arial" w:hAnsi="Arial" w:cs="Arial"/>
          </w:rPr>
          <w:t>https://doi.org/10.1037/h0071663</w:t>
        </w:r>
      </w:hyperlink>
      <w:r w:rsidRPr="00B100C9">
        <w:rPr>
          <w:rFonts w:ascii="Arial" w:hAnsi="Arial" w:cs="Arial"/>
        </w:rPr>
        <w:t xml:space="preserve"> (Accessed: 13 May 2026).</w:t>
      </w:r>
    </w:p>
    <w:p w14:paraId="1974A192" w14:textId="77777777" w:rsidR="002F463E" w:rsidRPr="00B100C9" w:rsidRDefault="002F463E" w:rsidP="002F463E">
      <w:pPr>
        <w:rPr>
          <w:rFonts w:ascii="Arial" w:hAnsi="Arial" w:cs="Arial"/>
        </w:rPr>
      </w:pPr>
      <w:r w:rsidRPr="00B100C9">
        <w:rPr>
          <w:rFonts w:ascii="Arial" w:hAnsi="Arial" w:cs="Arial"/>
        </w:rPr>
        <w:t xml:space="preserve">Thurmond, V.A. (2001) ‘The point of triangulation’, </w:t>
      </w:r>
      <w:r w:rsidRPr="00B100C9">
        <w:rPr>
          <w:rFonts w:ascii="Arial" w:hAnsi="Arial" w:cs="Arial"/>
          <w:i/>
          <w:iCs/>
        </w:rPr>
        <w:t>Journal of Nursing Scholarship</w:t>
      </w:r>
      <w:r w:rsidRPr="00B100C9">
        <w:rPr>
          <w:rFonts w:ascii="Arial" w:hAnsi="Arial" w:cs="Arial"/>
        </w:rPr>
        <w:t xml:space="preserve">, 33(3), pp. 253–258. Available at: </w:t>
      </w:r>
      <w:hyperlink r:id="rId22" w:tgtFrame="_new" w:history="1">
        <w:r w:rsidRPr="00B100C9">
          <w:rPr>
            <w:rStyle w:val="Hyperlink"/>
            <w:rFonts w:ascii="Arial" w:hAnsi="Arial" w:cs="Arial"/>
          </w:rPr>
          <w:t>https://msessd.ioe.edu.np/wp-content/uploads/2017/04/the-point-of-triangulation.pdf</w:t>
        </w:r>
      </w:hyperlink>
      <w:r w:rsidRPr="00B100C9">
        <w:rPr>
          <w:rFonts w:ascii="Arial" w:hAnsi="Arial" w:cs="Arial"/>
        </w:rPr>
        <w:t xml:space="preserve"> (Accessed: 16 May 2026).</w:t>
      </w:r>
    </w:p>
    <w:p w14:paraId="2A67120A" w14:textId="77777777" w:rsidR="002F463E" w:rsidRPr="00B100C9" w:rsidRDefault="002F463E" w:rsidP="002F463E">
      <w:pPr>
        <w:rPr>
          <w:rFonts w:ascii="Arial" w:hAnsi="Arial" w:cs="Arial"/>
        </w:rPr>
      </w:pPr>
      <w:r w:rsidRPr="00B100C9">
        <w:rPr>
          <w:rFonts w:ascii="Arial" w:hAnsi="Arial" w:cs="Arial"/>
        </w:rPr>
        <w:t xml:space="preserve">Townsley, R., Beyer, S., Robinson, C. and Williams, V. (2013) </w:t>
      </w:r>
      <w:r w:rsidRPr="00B100C9">
        <w:rPr>
          <w:rFonts w:ascii="Arial" w:hAnsi="Arial" w:cs="Arial"/>
          <w:i/>
          <w:iCs/>
        </w:rPr>
        <w:t>Post-19 education provision for young people with complex learning difficulties living in Wales: levels of need and current provision</w:t>
      </w:r>
      <w:r w:rsidRPr="00B100C9">
        <w:rPr>
          <w:rFonts w:ascii="Arial" w:hAnsi="Arial" w:cs="Arial"/>
        </w:rPr>
        <w:t xml:space="preserve">. Cardiff: Welsh Government Social Research. Available at: </w:t>
      </w:r>
      <w:hyperlink r:id="rId23" w:tgtFrame="_new" w:history="1">
        <w:r w:rsidRPr="00B100C9">
          <w:rPr>
            <w:rStyle w:val="Hyperlink"/>
            <w:rFonts w:ascii="Arial" w:hAnsi="Arial" w:cs="Arial"/>
          </w:rPr>
          <w:t>https://www.gov.wales/sites/default/files/statistics-and-research/2019-08/130510-post-19-education-provision-young-people-complex-learning-difficulties-levels-need-current-provision-summary-en.pdf</w:t>
        </w:r>
      </w:hyperlink>
      <w:r w:rsidRPr="00B100C9">
        <w:rPr>
          <w:rFonts w:ascii="Arial" w:hAnsi="Arial" w:cs="Arial"/>
        </w:rPr>
        <w:t xml:space="preserve"> (Accessed: 25 April 2026). </w:t>
      </w:r>
    </w:p>
    <w:p w14:paraId="4F2BE5B8" w14:textId="77777777" w:rsidR="002F463E" w:rsidRPr="00B100C9" w:rsidRDefault="002F463E" w:rsidP="002F463E">
      <w:pPr>
        <w:rPr>
          <w:rFonts w:ascii="Arial" w:hAnsi="Arial" w:cs="Arial"/>
        </w:rPr>
      </w:pPr>
      <w:proofErr w:type="spellStart"/>
      <w:r w:rsidRPr="00B100C9">
        <w:rPr>
          <w:rFonts w:ascii="Arial" w:hAnsi="Arial" w:cs="Arial"/>
        </w:rPr>
        <w:t>tri.x</w:t>
      </w:r>
      <w:proofErr w:type="spellEnd"/>
      <w:r w:rsidRPr="00B100C9">
        <w:rPr>
          <w:rFonts w:ascii="Arial" w:hAnsi="Arial" w:cs="Arial"/>
        </w:rPr>
        <w:t xml:space="preserve"> (2016) </w:t>
      </w:r>
      <w:r w:rsidRPr="00B100C9">
        <w:rPr>
          <w:rFonts w:ascii="Arial" w:hAnsi="Arial" w:cs="Arial"/>
          <w:i/>
          <w:iCs/>
        </w:rPr>
        <w:t>Profound and Multiple Learning Disability (PMLD) practice guidance</w:t>
      </w:r>
      <w:r w:rsidRPr="00B100C9">
        <w:rPr>
          <w:rFonts w:ascii="Arial" w:hAnsi="Arial" w:cs="Arial"/>
        </w:rPr>
        <w:t xml:space="preserve">. Available at: </w:t>
      </w:r>
      <w:hyperlink r:id="rId24" w:tgtFrame="_new" w:history="1">
        <w:r w:rsidRPr="00B100C9">
          <w:rPr>
            <w:rStyle w:val="Hyperlink"/>
            <w:rFonts w:ascii="Arial" w:hAnsi="Arial" w:cs="Arial"/>
          </w:rPr>
          <w:t>https://www.proceduresonline.com/trixcms/media/8514/pmld-practice-guidance.pdf</w:t>
        </w:r>
      </w:hyperlink>
      <w:r w:rsidRPr="00B100C9">
        <w:rPr>
          <w:rFonts w:ascii="Arial" w:hAnsi="Arial" w:cs="Arial"/>
        </w:rPr>
        <w:t xml:space="preserve"> (Accessed: 4 May 2026).</w:t>
      </w:r>
    </w:p>
    <w:p w14:paraId="6218A6BF" w14:textId="77777777" w:rsidR="002F463E" w:rsidRPr="00B100C9" w:rsidRDefault="002F463E" w:rsidP="002F463E">
      <w:pPr>
        <w:rPr>
          <w:rFonts w:ascii="Arial" w:hAnsi="Arial" w:cs="Arial"/>
        </w:rPr>
      </w:pPr>
      <w:proofErr w:type="spellStart"/>
      <w:r w:rsidRPr="00B100C9">
        <w:rPr>
          <w:rFonts w:ascii="Arial" w:hAnsi="Arial" w:cs="Arial"/>
        </w:rPr>
        <w:t>Tröster</w:t>
      </w:r>
      <w:proofErr w:type="spellEnd"/>
      <w:r w:rsidRPr="00B100C9">
        <w:rPr>
          <w:rFonts w:ascii="Arial" w:hAnsi="Arial" w:cs="Arial"/>
        </w:rPr>
        <w:t xml:space="preserve">, H. and </w:t>
      </w:r>
      <w:proofErr w:type="spellStart"/>
      <w:r w:rsidRPr="00B100C9">
        <w:rPr>
          <w:rFonts w:ascii="Arial" w:hAnsi="Arial" w:cs="Arial"/>
        </w:rPr>
        <w:t>Bambring</w:t>
      </w:r>
      <w:proofErr w:type="spellEnd"/>
      <w:r w:rsidRPr="00B100C9">
        <w:rPr>
          <w:rFonts w:ascii="Arial" w:hAnsi="Arial" w:cs="Arial"/>
        </w:rPr>
        <w:t xml:space="preserve">, M. (1994) ‘The play </w:t>
      </w:r>
      <w:proofErr w:type="spellStart"/>
      <w:r w:rsidRPr="00B100C9">
        <w:rPr>
          <w:rFonts w:ascii="Arial" w:hAnsi="Arial" w:cs="Arial"/>
        </w:rPr>
        <w:t>behavior</w:t>
      </w:r>
      <w:proofErr w:type="spellEnd"/>
      <w:r w:rsidRPr="00B100C9">
        <w:rPr>
          <w:rFonts w:ascii="Arial" w:hAnsi="Arial" w:cs="Arial"/>
        </w:rPr>
        <w:t xml:space="preserve"> and play materials of blind and sighted infants and preschoolers’, </w:t>
      </w:r>
      <w:r w:rsidRPr="00B100C9">
        <w:rPr>
          <w:rFonts w:ascii="Arial" w:hAnsi="Arial" w:cs="Arial"/>
          <w:i/>
          <w:iCs/>
        </w:rPr>
        <w:t>Journal of Visual Impairment and Blindness</w:t>
      </w:r>
      <w:r w:rsidRPr="00B100C9">
        <w:rPr>
          <w:rFonts w:ascii="Arial" w:hAnsi="Arial" w:cs="Arial"/>
        </w:rPr>
        <w:t>, 88, pp. 421–432.</w:t>
      </w:r>
    </w:p>
    <w:p w14:paraId="66C1E498" w14:textId="77777777" w:rsidR="002F463E" w:rsidRPr="00B100C9" w:rsidRDefault="002F463E" w:rsidP="002F463E">
      <w:pPr>
        <w:rPr>
          <w:rFonts w:ascii="Arial" w:hAnsi="Arial" w:cs="Arial"/>
        </w:rPr>
      </w:pPr>
      <w:hyperlink r:id="rId25" w:tgtFrame="_blank" w:history="1">
        <w:r w:rsidRPr="00B100C9">
          <w:rPr>
            <w:rStyle w:val="Hyperlink"/>
            <w:rFonts w:ascii="Arial" w:hAnsi="Arial" w:cs="Arial"/>
          </w:rPr>
          <w:t>UK GDPR</w:t>
        </w:r>
      </w:hyperlink>
      <w:r w:rsidRPr="00B100C9">
        <w:rPr>
          <w:rFonts w:ascii="Arial" w:hAnsi="Arial" w:cs="Arial"/>
        </w:rPr>
        <w:t xml:space="preserve"> (2023) </w:t>
      </w:r>
      <w:r w:rsidRPr="00B100C9">
        <w:rPr>
          <w:rFonts w:ascii="Arial" w:hAnsi="Arial" w:cs="Arial"/>
          <w:i/>
          <w:iCs/>
        </w:rPr>
        <w:t>The complete guide to UK-GDPR</w:t>
      </w:r>
      <w:r w:rsidRPr="00B100C9">
        <w:rPr>
          <w:rFonts w:ascii="Arial" w:hAnsi="Arial" w:cs="Arial"/>
        </w:rPr>
        <w:t xml:space="preserve">. Available at: </w:t>
      </w:r>
      <w:hyperlink r:id="rId26" w:tgtFrame="_new" w:history="1">
        <w:r w:rsidRPr="00B100C9">
          <w:rPr>
            <w:rStyle w:val="Hyperlink"/>
            <w:rFonts w:ascii="Arial" w:hAnsi="Arial" w:cs="Arial"/>
          </w:rPr>
          <w:t>https://uk-gdpr.org/wp-content/uploads/2023/02/The-Complete-Guide-to-UK-GDPR-Sample-1.pdf</w:t>
        </w:r>
      </w:hyperlink>
      <w:r w:rsidRPr="00B100C9">
        <w:rPr>
          <w:rFonts w:ascii="Arial" w:hAnsi="Arial" w:cs="Arial"/>
        </w:rPr>
        <w:t xml:space="preserve"> (Accessed: 16 May 2026).</w:t>
      </w:r>
    </w:p>
    <w:p w14:paraId="376B9B0C" w14:textId="77777777" w:rsidR="002F463E" w:rsidRPr="00B100C9" w:rsidRDefault="002F463E" w:rsidP="002F463E">
      <w:pPr>
        <w:rPr>
          <w:rFonts w:ascii="Arial" w:hAnsi="Arial" w:cs="Arial"/>
        </w:rPr>
      </w:pPr>
      <w:hyperlink r:id="rId27" w:tgtFrame="_new" w:history="1">
        <w:r w:rsidRPr="00B100C9">
          <w:rPr>
            <w:rStyle w:val="Hyperlink"/>
            <w:rFonts w:ascii="Arial" w:hAnsi="Arial" w:cs="Arial"/>
          </w:rPr>
          <w:t>UNICEF UK</w:t>
        </w:r>
      </w:hyperlink>
      <w:r w:rsidRPr="00B100C9">
        <w:rPr>
          <w:rFonts w:ascii="Arial" w:hAnsi="Arial" w:cs="Arial"/>
        </w:rPr>
        <w:t xml:space="preserve"> (2019) </w:t>
      </w:r>
      <w:r w:rsidRPr="00B100C9">
        <w:rPr>
          <w:rFonts w:ascii="Arial" w:hAnsi="Arial" w:cs="Arial"/>
          <w:i/>
          <w:iCs/>
        </w:rPr>
        <w:t>A summary of the United Nations Convention on the Rights of the Child</w:t>
      </w:r>
      <w:r w:rsidRPr="00B100C9">
        <w:rPr>
          <w:rFonts w:ascii="Arial" w:hAnsi="Arial" w:cs="Arial"/>
        </w:rPr>
        <w:t xml:space="preserve">. Available at: </w:t>
      </w:r>
      <w:hyperlink r:id="rId28" w:tgtFrame="_new" w:history="1">
        <w:r w:rsidRPr="00B100C9">
          <w:rPr>
            <w:rStyle w:val="Hyperlink"/>
            <w:rFonts w:ascii="Arial" w:hAnsi="Arial" w:cs="Arial"/>
          </w:rPr>
          <w:t>https://www.unicef.org.uk/wp-content/uploads/2019/10/UNCRC_summary-1_1.pdf</w:t>
        </w:r>
      </w:hyperlink>
      <w:r w:rsidRPr="00B100C9">
        <w:rPr>
          <w:rFonts w:ascii="Arial" w:hAnsi="Arial" w:cs="Arial"/>
        </w:rPr>
        <w:t xml:space="preserve"> (Accessed: 15 May 2026).</w:t>
      </w:r>
    </w:p>
    <w:p w14:paraId="3627F08E" w14:textId="77777777" w:rsidR="002F463E" w:rsidRPr="00B100C9" w:rsidRDefault="002F463E" w:rsidP="002F463E">
      <w:pPr>
        <w:rPr>
          <w:rFonts w:ascii="Arial" w:hAnsi="Arial" w:cs="Arial"/>
        </w:rPr>
      </w:pPr>
      <w:r w:rsidRPr="00B100C9">
        <w:rPr>
          <w:rFonts w:ascii="Arial" w:hAnsi="Arial" w:cs="Arial"/>
        </w:rPr>
        <w:t xml:space="preserve">University of Wales Trinity Saint David (2022) </w:t>
      </w:r>
      <w:r w:rsidRPr="00B100C9">
        <w:rPr>
          <w:rFonts w:ascii="Arial" w:hAnsi="Arial" w:cs="Arial"/>
          <w:i/>
          <w:iCs/>
        </w:rPr>
        <w:t>Research Ethics &amp; Integrity Code of Practice (</w:t>
      </w:r>
      <w:proofErr w:type="spellStart"/>
      <w:r w:rsidRPr="00B100C9">
        <w:rPr>
          <w:rFonts w:ascii="Arial" w:hAnsi="Arial" w:cs="Arial"/>
          <w:i/>
          <w:iCs/>
        </w:rPr>
        <w:t>REICoP</w:t>
      </w:r>
      <w:proofErr w:type="spellEnd"/>
      <w:r w:rsidRPr="00B100C9">
        <w:rPr>
          <w:rFonts w:ascii="Arial" w:hAnsi="Arial" w:cs="Arial"/>
          <w:i/>
          <w:iCs/>
        </w:rPr>
        <w:t>)</w:t>
      </w:r>
      <w:r w:rsidRPr="00B100C9">
        <w:rPr>
          <w:rFonts w:ascii="Arial" w:hAnsi="Arial" w:cs="Arial"/>
        </w:rPr>
        <w:t xml:space="preserve">. Available at: </w:t>
      </w:r>
      <w:hyperlink r:id="rId29" w:tgtFrame="_new" w:history="1">
        <w:r w:rsidRPr="00B100C9">
          <w:rPr>
            <w:rStyle w:val="Hyperlink"/>
            <w:rFonts w:ascii="Arial" w:hAnsi="Arial" w:cs="Arial"/>
          </w:rPr>
          <w:t>https://www.uwtsd.ac.uk/sites/default/files/2024-02/REICoP-July-2022.pdf</w:t>
        </w:r>
      </w:hyperlink>
      <w:r w:rsidRPr="00B100C9">
        <w:rPr>
          <w:rFonts w:ascii="Arial" w:hAnsi="Arial" w:cs="Arial"/>
        </w:rPr>
        <w:t xml:space="preserve"> (Accessed: 13 May 2026).</w:t>
      </w:r>
    </w:p>
    <w:p w14:paraId="35443F38" w14:textId="77777777" w:rsidR="002F463E" w:rsidRPr="00B100C9" w:rsidRDefault="002F463E" w:rsidP="002F463E">
      <w:pPr>
        <w:rPr>
          <w:rFonts w:ascii="Arial" w:hAnsi="Arial" w:cs="Arial"/>
        </w:rPr>
      </w:pPr>
      <w:r w:rsidRPr="00B100C9">
        <w:rPr>
          <w:rFonts w:ascii="Arial" w:hAnsi="Arial" w:cs="Arial"/>
        </w:rPr>
        <w:t xml:space="preserve">Welsh Government (2012) </w:t>
      </w:r>
      <w:r w:rsidRPr="00B100C9">
        <w:rPr>
          <w:rFonts w:ascii="Arial" w:hAnsi="Arial" w:cs="Arial"/>
          <w:i/>
          <w:iCs/>
        </w:rPr>
        <w:t>Routes for learning engagement event: presentation overview</w:t>
      </w:r>
      <w:r w:rsidRPr="00B100C9">
        <w:rPr>
          <w:rFonts w:ascii="Arial" w:hAnsi="Arial" w:cs="Arial"/>
        </w:rPr>
        <w:t xml:space="preserve">. Available at: </w:t>
      </w:r>
      <w:hyperlink r:id="rId30" w:tgtFrame="_blank" w:history="1">
        <w:r w:rsidRPr="00B100C9">
          <w:rPr>
            <w:rStyle w:val="Hyperlink"/>
            <w:rFonts w:ascii="Arial" w:hAnsi="Arial" w:cs="Arial"/>
          </w:rPr>
          <w:t>https://hwb.gov.wales/api/storage/59e3a3af-2c2d-4d4b-a706-3aaa046f9a0f/201202-routes-for-learning-engagement-event-presentation-overview.pptx</w:t>
        </w:r>
      </w:hyperlink>
      <w:r w:rsidRPr="00B100C9">
        <w:rPr>
          <w:rFonts w:ascii="Arial" w:hAnsi="Arial" w:cs="Arial"/>
        </w:rPr>
        <w:t xml:space="preserve"> (Accessed: 2 May 2026). </w:t>
      </w:r>
    </w:p>
    <w:p w14:paraId="163A13B3" w14:textId="77777777" w:rsidR="002F463E" w:rsidRPr="00B100C9" w:rsidRDefault="002F463E" w:rsidP="002F463E">
      <w:pPr>
        <w:rPr>
          <w:rFonts w:ascii="Arial" w:hAnsi="Arial" w:cs="Arial"/>
        </w:rPr>
      </w:pPr>
      <w:r w:rsidRPr="00B100C9">
        <w:rPr>
          <w:rFonts w:ascii="Arial" w:hAnsi="Arial" w:cs="Arial"/>
        </w:rPr>
        <w:t xml:space="preserve">Welsh Government (2021) </w:t>
      </w:r>
      <w:r w:rsidRPr="00B100C9">
        <w:rPr>
          <w:rFonts w:ascii="Arial" w:hAnsi="Arial" w:cs="Arial"/>
          <w:i/>
          <w:iCs/>
        </w:rPr>
        <w:t>Routes for learning</w:t>
      </w:r>
      <w:r w:rsidRPr="00B100C9">
        <w:rPr>
          <w:rFonts w:ascii="Arial" w:hAnsi="Arial" w:cs="Arial"/>
        </w:rPr>
        <w:t xml:space="preserve">. Available at: </w:t>
      </w:r>
      <w:hyperlink r:id="rId31" w:tgtFrame="_blank" w:history="1">
        <w:r w:rsidRPr="00B100C9">
          <w:rPr>
            <w:rStyle w:val="Hyperlink"/>
            <w:rFonts w:ascii="Arial" w:hAnsi="Arial" w:cs="Arial"/>
          </w:rPr>
          <w:t>https://hwb.gov.wales/curriculum-for-wales/routes-for-learning/</w:t>
        </w:r>
      </w:hyperlink>
      <w:r w:rsidRPr="00B100C9">
        <w:rPr>
          <w:rFonts w:ascii="Arial" w:hAnsi="Arial" w:cs="Arial"/>
        </w:rPr>
        <w:t xml:space="preserve"> (Accessed: 2 May 2026). </w:t>
      </w:r>
    </w:p>
    <w:p w14:paraId="4D127106" w14:textId="77777777" w:rsidR="002F463E" w:rsidRPr="00B100C9" w:rsidRDefault="002F463E" w:rsidP="002F463E">
      <w:pPr>
        <w:rPr>
          <w:rFonts w:ascii="Arial" w:hAnsi="Arial" w:cs="Arial"/>
        </w:rPr>
      </w:pPr>
      <w:r w:rsidRPr="00B100C9">
        <w:rPr>
          <w:rFonts w:ascii="Arial" w:hAnsi="Arial" w:cs="Arial"/>
        </w:rPr>
        <w:lastRenderedPageBreak/>
        <w:t xml:space="preserve">Weston, H. and Ware, J. (2018) ‘The use of the “Routes for Learning” assessment for learners with profound and multiple learning difficulties (PMLD) in England and Wales’, </w:t>
      </w:r>
      <w:r w:rsidRPr="00B100C9">
        <w:rPr>
          <w:rFonts w:ascii="Arial" w:hAnsi="Arial" w:cs="Arial"/>
          <w:i/>
          <w:iCs/>
        </w:rPr>
        <w:t>The SLD Experience</w:t>
      </w:r>
      <w:r w:rsidRPr="00B100C9">
        <w:rPr>
          <w:rFonts w:ascii="Arial" w:hAnsi="Arial" w:cs="Arial"/>
        </w:rPr>
        <w:t xml:space="preserve">. Available at: </w:t>
      </w:r>
      <w:hyperlink r:id="rId32" w:tgtFrame="_new" w:history="1">
        <w:r w:rsidRPr="00B100C9">
          <w:rPr>
            <w:rStyle w:val="Hyperlink"/>
            <w:rFonts w:ascii="Arial" w:hAnsi="Arial" w:cs="Arial"/>
          </w:rPr>
          <w:t>https://hwb.gov.wales/api/storage/e7495373-92c0-4998-8332-a36a2f14b4ae/routes-for-learning_sld_experience.pdf</w:t>
        </w:r>
      </w:hyperlink>
      <w:r w:rsidRPr="00B100C9">
        <w:rPr>
          <w:rFonts w:ascii="Arial" w:hAnsi="Arial" w:cs="Arial"/>
        </w:rPr>
        <w:t xml:space="preserve"> (Accessed: 25 April 2026). </w:t>
      </w:r>
    </w:p>
    <w:p w14:paraId="6ACDB957" w14:textId="77777777" w:rsidR="002F463E" w:rsidRPr="002F463E" w:rsidRDefault="002F463E" w:rsidP="002F463E">
      <w:pPr>
        <w:rPr>
          <w:rFonts w:ascii="Arial" w:hAnsi="Arial" w:cs="Arial"/>
          <w:b/>
          <w:bCs/>
          <w:sz w:val="28"/>
          <w:szCs w:val="28"/>
        </w:rPr>
      </w:pPr>
    </w:p>
    <w:sectPr w:rsidR="002F463E" w:rsidRPr="002F463E">
      <w:headerReference w:type="default"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7353A3" w14:textId="77777777" w:rsidR="00A034F6" w:rsidRDefault="00A034F6" w:rsidP="00EA17BD">
      <w:pPr>
        <w:spacing w:after="0" w:line="240" w:lineRule="auto"/>
      </w:pPr>
      <w:r>
        <w:separator/>
      </w:r>
    </w:p>
  </w:endnote>
  <w:endnote w:type="continuationSeparator" w:id="0">
    <w:p w14:paraId="4E2FB035" w14:textId="77777777" w:rsidR="00A034F6" w:rsidRDefault="00A034F6" w:rsidP="00EA1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el">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0769795"/>
      <w:docPartObj>
        <w:docPartGallery w:val="Page Numbers (Bottom of Page)"/>
        <w:docPartUnique/>
      </w:docPartObj>
    </w:sdtPr>
    <w:sdtEndPr>
      <w:rPr>
        <w:noProof/>
      </w:rPr>
    </w:sdtEndPr>
    <w:sdtContent>
      <w:p w14:paraId="16EE0C62" w14:textId="3A190130" w:rsidR="00EA17BD" w:rsidRDefault="00EA17BD">
        <w:pPr>
          <w:pStyle w:val="Footer"/>
        </w:pPr>
        <w:r>
          <w:fldChar w:fldCharType="begin"/>
        </w:r>
        <w:r>
          <w:instrText xml:space="preserve"> PAGE   \* MERGEFORMAT </w:instrText>
        </w:r>
        <w:r>
          <w:fldChar w:fldCharType="separate"/>
        </w:r>
        <w:r>
          <w:rPr>
            <w:noProof/>
          </w:rPr>
          <w:t>2</w:t>
        </w:r>
        <w:r>
          <w:rPr>
            <w:noProof/>
          </w:rPr>
          <w:fldChar w:fldCharType="end"/>
        </w:r>
      </w:p>
    </w:sdtContent>
  </w:sdt>
  <w:p w14:paraId="26156077" w14:textId="77777777" w:rsidR="00EA17BD" w:rsidRDefault="00EA17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4191CE" w14:textId="77777777" w:rsidR="00A034F6" w:rsidRDefault="00A034F6" w:rsidP="00EA17BD">
      <w:pPr>
        <w:spacing w:after="0" w:line="240" w:lineRule="auto"/>
      </w:pPr>
      <w:r>
        <w:separator/>
      </w:r>
    </w:p>
  </w:footnote>
  <w:footnote w:type="continuationSeparator" w:id="0">
    <w:p w14:paraId="453094F4" w14:textId="77777777" w:rsidR="00A034F6" w:rsidRDefault="00A034F6" w:rsidP="00EA17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0C989" w14:textId="77777777" w:rsidR="00EA17BD" w:rsidRPr="00F259DE" w:rsidRDefault="00EA17BD" w:rsidP="00EA17BD">
    <w:pPr>
      <w:pStyle w:val="Header"/>
      <w:rPr>
        <w:rFonts w:ascii="Ariel" w:hAnsi="Ariel"/>
      </w:rPr>
    </w:pPr>
    <w:r w:rsidRPr="00F259DE">
      <w:rPr>
        <w:rFonts w:ascii="Ariel" w:hAnsi="Ariel"/>
      </w:rPr>
      <w:t>Student Number: 2506455</w:t>
    </w:r>
  </w:p>
  <w:p w14:paraId="3D407080" w14:textId="424C1CB2" w:rsidR="00EA17BD" w:rsidRPr="00F259DE" w:rsidRDefault="00EA17BD" w:rsidP="00EA17BD">
    <w:pPr>
      <w:pStyle w:val="Header"/>
      <w:rPr>
        <w:rFonts w:ascii="Ariel" w:hAnsi="Ariel"/>
      </w:rPr>
    </w:pPr>
    <w:r w:rsidRPr="00F259DE">
      <w:rPr>
        <w:rFonts w:ascii="Ariel" w:hAnsi="Ariel"/>
      </w:rPr>
      <w:t xml:space="preserve">Word Count: </w:t>
    </w:r>
    <w:r w:rsidR="002F463E">
      <w:rPr>
        <w:rFonts w:ascii="Ariel" w:hAnsi="Ariel"/>
      </w:rPr>
      <w:t>4070</w:t>
    </w:r>
  </w:p>
  <w:p w14:paraId="6C28AF45" w14:textId="34A26F09" w:rsidR="00EA17BD" w:rsidRPr="00521512" w:rsidRDefault="00EA17BD" w:rsidP="00EA17BD">
    <w:pPr>
      <w:pStyle w:val="Header"/>
      <w:rPr>
        <w:rFonts w:ascii="Ariel" w:hAnsi="Ariel"/>
        <w:b/>
        <w:bCs/>
      </w:rPr>
    </w:pPr>
    <w:r w:rsidRPr="00F259DE">
      <w:rPr>
        <w:rFonts w:ascii="Ariel" w:hAnsi="Ariel"/>
      </w:rPr>
      <w:t xml:space="preserve">Module Code: </w:t>
    </w:r>
    <w:r w:rsidRPr="008A55EA">
      <w:rPr>
        <w:rFonts w:ascii="Ariel" w:hAnsi="Ariel"/>
      </w:rPr>
      <w:t>ECEY</w:t>
    </w:r>
    <w:r>
      <w:rPr>
        <w:rFonts w:ascii="Ariel" w:hAnsi="Ariel"/>
      </w:rPr>
      <w:t>5</w:t>
    </w:r>
    <w:r w:rsidRPr="008A55EA">
      <w:rPr>
        <w:rFonts w:ascii="Ariel" w:hAnsi="Ariel"/>
      </w:rPr>
      <w:t>010</w:t>
    </w:r>
  </w:p>
  <w:p w14:paraId="56B0532A" w14:textId="77777777" w:rsidR="00EA17BD" w:rsidRDefault="00EA17B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7BD"/>
    <w:rsid w:val="002F463E"/>
    <w:rsid w:val="00480113"/>
    <w:rsid w:val="00666CAA"/>
    <w:rsid w:val="00736893"/>
    <w:rsid w:val="007D519A"/>
    <w:rsid w:val="007F4D2E"/>
    <w:rsid w:val="00A034F6"/>
    <w:rsid w:val="00EA17BD"/>
    <w:rsid w:val="00EA21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5D9DC"/>
  <w15:chartTrackingRefBased/>
  <w15:docId w15:val="{1FB1FD45-07AD-4B7A-AA06-B80E2FBD4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17BD"/>
    <w:rPr>
      <w:rFonts w:eastAsiaTheme="minorEastAsia"/>
      <w:lang w:eastAsia="zh-CN"/>
    </w:rPr>
  </w:style>
  <w:style w:type="paragraph" w:styleId="Heading1">
    <w:name w:val="heading 1"/>
    <w:basedOn w:val="Normal"/>
    <w:next w:val="Normal"/>
    <w:link w:val="Heading1Char"/>
    <w:uiPriority w:val="9"/>
    <w:qFormat/>
    <w:rsid w:val="00EA17BD"/>
    <w:pPr>
      <w:keepNext/>
      <w:keepLines/>
      <w:spacing w:before="360" w:after="8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EA17BD"/>
    <w:pPr>
      <w:keepNext/>
      <w:keepLines/>
      <w:spacing w:before="160" w:after="8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EA17BD"/>
    <w:pPr>
      <w:keepNext/>
      <w:keepLines/>
      <w:spacing w:before="160" w:after="80"/>
      <w:outlineLvl w:val="2"/>
    </w:pPr>
    <w:rPr>
      <w:rFonts w:eastAsiaTheme="majorEastAsia"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EA17BD"/>
    <w:pPr>
      <w:keepNext/>
      <w:keepLines/>
      <w:spacing w:before="80" w:after="40"/>
      <w:outlineLvl w:val="3"/>
    </w:pPr>
    <w:rPr>
      <w:rFonts w:eastAsiaTheme="majorEastAsia"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EA17BD"/>
    <w:pPr>
      <w:keepNext/>
      <w:keepLines/>
      <w:spacing w:before="80" w:after="40"/>
      <w:outlineLvl w:val="4"/>
    </w:pPr>
    <w:rPr>
      <w:rFonts w:eastAsiaTheme="majorEastAsia"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EA17BD"/>
    <w:pPr>
      <w:keepNext/>
      <w:keepLines/>
      <w:spacing w:before="40" w:after="0"/>
      <w:outlineLvl w:val="5"/>
    </w:pPr>
    <w:rPr>
      <w:rFonts w:eastAsiaTheme="majorEastAsia"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EA17BD"/>
    <w:pPr>
      <w:keepNext/>
      <w:keepLines/>
      <w:spacing w:before="40" w:after="0"/>
      <w:outlineLvl w:val="6"/>
    </w:pPr>
    <w:rPr>
      <w:rFonts w:eastAsiaTheme="majorEastAsia"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EA17BD"/>
    <w:pPr>
      <w:keepNext/>
      <w:keepLines/>
      <w:spacing w:after="0"/>
      <w:outlineLvl w:val="7"/>
    </w:pPr>
    <w:rPr>
      <w:rFonts w:eastAsiaTheme="majorEastAsia"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EA17BD"/>
    <w:pPr>
      <w:keepNext/>
      <w:keepLines/>
      <w:spacing w:after="0"/>
      <w:outlineLvl w:val="8"/>
    </w:pPr>
    <w:rPr>
      <w:rFonts w:eastAsiaTheme="majorEastAsia" w:cstheme="majorBidi"/>
      <w:color w:val="272727" w:themeColor="text1" w:themeTint="D8"/>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17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17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17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17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17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17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17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17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17BD"/>
    <w:rPr>
      <w:rFonts w:eastAsiaTheme="majorEastAsia" w:cstheme="majorBidi"/>
      <w:color w:val="272727" w:themeColor="text1" w:themeTint="D8"/>
    </w:rPr>
  </w:style>
  <w:style w:type="paragraph" w:styleId="Title">
    <w:name w:val="Title"/>
    <w:basedOn w:val="Normal"/>
    <w:next w:val="Normal"/>
    <w:link w:val="TitleChar"/>
    <w:uiPriority w:val="10"/>
    <w:qFormat/>
    <w:rsid w:val="00EA17BD"/>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EA17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17BD"/>
    <w:pPr>
      <w:numPr>
        <w:ilvl w:val="1"/>
      </w:numPr>
    </w:pPr>
    <w:rPr>
      <w:rFonts w:eastAsiaTheme="majorEastAsia"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EA17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17BD"/>
    <w:pPr>
      <w:spacing w:before="160"/>
      <w:jc w:val="center"/>
    </w:pPr>
    <w:rPr>
      <w:rFonts w:eastAsiaTheme="minorHAnsi"/>
      <w:i/>
      <w:iCs/>
      <w:color w:val="404040" w:themeColor="text1" w:themeTint="BF"/>
      <w:lang w:eastAsia="en-US"/>
    </w:rPr>
  </w:style>
  <w:style w:type="character" w:customStyle="1" w:styleId="QuoteChar">
    <w:name w:val="Quote Char"/>
    <w:basedOn w:val="DefaultParagraphFont"/>
    <w:link w:val="Quote"/>
    <w:uiPriority w:val="29"/>
    <w:rsid w:val="00EA17BD"/>
    <w:rPr>
      <w:i/>
      <w:iCs/>
      <w:color w:val="404040" w:themeColor="text1" w:themeTint="BF"/>
    </w:rPr>
  </w:style>
  <w:style w:type="paragraph" w:styleId="ListParagraph">
    <w:name w:val="List Paragraph"/>
    <w:basedOn w:val="Normal"/>
    <w:uiPriority w:val="34"/>
    <w:qFormat/>
    <w:rsid w:val="00EA17BD"/>
    <w:pPr>
      <w:ind w:left="720"/>
      <w:contextualSpacing/>
    </w:pPr>
    <w:rPr>
      <w:rFonts w:eastAsiaTheme="minorHAnsi"/>
      <w:lang w:eastAsia="en-US"/>
    </w:rPr>
  </w:style>
  <w:style w:type="character" w:styleId="IntenseEmphasis">
    <w:name w:val="Intense Emphasis"/>
    <w:basedOn w:val="DefaultParagraphFont"/>
    <w:uiPriority w:val="21"/>
    <w:qFormat/>
    <w:rsid w:val="00EA17BD"/>
    <w:rPr>
      <w:i/>
      <w:iCs/>
      <w:color w:val="0F4761" w:themeColor="accent1" w:themeShade="BF"/>
    </w:rPr>
  </w:style>
  <w:style w:type="paragraph" w:styleId="IntenseQuote">
    <w:name w:val="Intense Quote"/>
    <w:basedOn w:val="Normal"/>
    <w:next w:val="Normal"/>
    <w:link w:val="IntenseQuoteChar"/>
    <w:uiPriority w:val="30"/>
    <w:qFormat/>
    <w:rsid w:val="00EA17BD"/>
    <w:pPr>
      <w:pBdr>
        <w:top w:val="single" w:sz="4" w:space="10" w:color="0F4761" w:themeColor="accent1" w:themeShade="BF"/>
        <w:bottom w:val="single" w:sz="4" w:space="10" w:color="0F4761" w:themeColor="accent1" w:themeShade="BF"/>
      </w:pBdr>
      <w:spacing w:before="360" w:after="360"/>
      <w:ind w:left="864" w:right="864"/>
      <w:jc w:val="center"/>
    </w:pPr>
    <w:rPr>
      <w:rFonts w:eastAsiaTheme="minorHAnsi"/>
      <w:i/>
      <w:iCs/>
      <w:color w:val="0F4761" w:themeColor="accent1" w:themeShade="BF"/>
      <w:lang w:eastAsia="en-US"/>
    </w:rPr>
  </w:style>
  <w:style w:type="character" w:customStyle="1" w:styleId="IntenseQuoteChar">
    <w:name w:val="Intense Quote Char"/>
    <w:basedOn w:val="DefaultParagraphFont"/>
    <w:link w:val="IntenseQuote"/>
    <w:uiPriority w:val="30"/>
    <w:rsid w:val="00EA17BD"/>
    <w:rPr>
      <w:i/>
      <w:iCs/>
      <w:color w:val="0F4761" w:themeColor="accent1" w:themeShade="BF"/>
    </w:rPr>
  </w:style>
  <w:style w:type="character" w:styleId="IntenseReference">
    <w:name w:val="Intense Reference"/>
    <w:basedOn w:val="DefaultParagraphFont"/>
    <w:uiPriority w:val="32"/>
    <w:qFormat/>
    <w:rsid w:val="00EA17BD"/>
    <w:rPr>
      <w:b/>
      <w:bCs/>
      <w:smallCaps/>
      <w:color w:val="0F4761" w:themeColor="accent1" w:themeShade="BF"/>
      <w:spacing w:val="5"/>
    </w:rPr>
  </w:style>
  <w:style w:type="paragraph" w:styleId="Header">
    <w:name w:val="header"/>
    <w:basedOn w:val="Normal"/>
    <w:link w:val="HeaderChar"/>
    <w:uiPriority w:val="99"/>
    <w:unhideWhenUsed/>
    <w:rsid w:val="00EA17BD"/>
    <w:pPr>
      <w:tabs>
        <w:tab w:val="center" w:pos="4513"/>
        <w:tab w:val="right" w:pos="9026"/>
      </w:tabs>
      <w:spacing w:after="0" w:line="240" w:lineRule="auto"/>
    </w:pPr>
    <w:rPr>
      <w:rFonts w:eastAsiaTheme="minorHAnsi"/>
      <w:lang w:eastAsia="en-US"/>
    </w:rPr>
  </w:style>
  <w:style w:type="character" w:customStyle="1" w:styleId="HeaderChar">
    <w:name w:val="Header Char"/>
    <w:basedOn w:val="DefaultParagraphFont"/>
    <w:link w:val="Header"/>
    <w:uiPriority w:val="99"/>
    <w:rsid w:val="00EA17BD"/>
  </w:style>
  <w:style w:type="paragraph" w:styleId="Footer">
    <w:name w:val="footer"/>
    <w:basedOn w:val="Normal"/>
    <w:link w:val="FooterChar"/>
    <w:uiPriority w:val="99"/>
    <w:unhideWhenUsed/>
    <w:rsid w:val="00EA17BD"/>
    <w:pPr>
      <w:tabs>
        <w:tab w:val="center" w:pos="4513"/>
        <w:tab w:val="right" w:pos="9026"/>
      </w:tabs>
      <w:spacing w:after="0" w:line="240" w:lineRule="auto"/>
    </w:pPr>
    <w:rPr>
      <w:rFonts w:eastAsiaTheme="minorHAnsi"/>
      <w:lang w:eastAsia="en-US"/>
    </w:rPr>
  </w:style>
  <w:style w:type="character" w:customStyle="1" w:styleId="FooterChar">
    <w:name w:val="Footer Char"/>
    <w:basedOn w:val="DefaultParagraphFont"/>
    <w:link w:val="Footer"/>
    <w:uiPriority w:val="99"/>
    <w:rsid w:val="00EA17BD"/>
  </w:style>
  <w:style w:type="character" w:styleId="Hyperlink">
    <w:name w:val="Hyperlink"/>
    <w:basedOn w:val="DefaultParagraphFont"/>
    <w:uiPriority w:val="99"/>
    <w:unhideWhenUsed/>
    <w:rsid w:val="002F463E"/>
    <w:rPr>
      <w:color w:val="467886" w:themeColor="hyperlink"/>
      <w:u w:val="single"/>
    </w:rPr>
  </w:style>
  <w:style w:type="character" w:styleId="Emphasis">
    <w:name w:val="Emphasis"/>
    <w:basedOn w:val="DefaultParagraphFont"/>
    <w:uiPriority w:val="20"/>
    <w:qFormat/>
    <w:rsid w:val="002F463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8/TLDR-04-2015-0021" TargetMode="External"/><Relationship Id="rId18" Type="http://schemas.openxmlformats.org/officeDocument/2006/relationships/hyperlink" Target="https://www.pmldlink.org.uk/wp-content/uploads/2017/11/Standards-PMLD-h-web.pdf?utm_source=chatgpt.com" TargetMode="External"/><Relationship Id="rId26" Type="http://schemas.openxmlformats.org/officeDocument/2006/relationships/hyperlink" Target="https://uk-gdpr.org/wp-content/uploads/2023/02/The-Complete-Guide-to-UK-GDPR-Sample-1.pdf" TargetMode="External"/><Relationship Id="rId3" Type="http://schemas.openxmlformats.org/officeDocument/2006/relationships/webSettings" Target="webSettings.xml"/><Relationship Id="rId21" Type="http://schemas.openxmlformats.org/officeDocument/2006/relationships/hyperlink" Target="https://doi.org/10.1037/h0071663" TargetMode="External"/><Relationship Id="rId34" Type="http://schemas.openxmlformats.org/officeDocument/2006/relationships/footer" Target="footer1.xml"/><Relationship Id="rId7" Type="http://schemas.openxmlformats.org/officeDocument/2006/relationships/hyperlink" Target="https://www.bera.ac.uk?utm_source=chatgpt.com" TargetMode="External"/><Relationship Id="rId12" Type="http://schemas.openxmlformats.org/officeDocument/2006/relationships/hyperlink" Target="https://doi.org/10.3389/fpsyg.2021.631871" TargetMode="External"/><Relationship Id="rId17" Type="http://schemas.openxmlformats.org/officeDocument/2006/relationships/hyperlink" Target="https://pure.manchester.ac.uk/ws/portalfiles/portal/207102987/TriangulationChapterFinaleditedSS.pdf" TargetMode="External"/><Relationship Id="rId25" Type="http://schemas.openxmlformats.org/officeDocument/2006/relationships/hyperlink" Target="https://uk-gdpr.org?utm_source=chatgpt.com" TargetMode="External"/><Relationship Id="rId3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learn.microsoft.com/en-us/compliance/regulatory/gdpr-dsr-Office365?toc=%2Fmicrosoft-365%2Fenterprise%2Ftoc.json" TargetMode="External"/><Relationship Id="rId20" Type="http://schemas.openxmlformats.org/officeDocument/2006/relationships/hyperlink" Target="https://doi.org/10.1111/1467-9604.12265" TargetMode="External"/><Relationship Id="rId29" Type="http://schemas.openxmlformats.org/officeDocument/2006/relationships/hyperlink" Target="https://www.uwtsd.ac.uk/sites/default/files/2024-02/REICoP-July-2022.pdf" TargetMode="External"/><Relationship Id="rId1" Type="http://schemas.openxmlformats.org/officeDocument/2006/relationships/styles" Target="styles.xml"/><Relationship Id="rId6" Type="http://schemas.openxmlformats.org/officeDocument/2006/relationships/hyperlink" Target="https://doi.org/10.3109/17518423.2014.935822" TargetMode="External"/><Relationship Id="rId11" Type="http://schemas.openxmlformats.org/officeDocument/2006/relationships/hyperlink" Target="https://www.journalijdr.com/sites/default/files/issue-pdf/15710.pdf" TargetMode="External"/><Relationship Id="rId24" Type="http://schemas.openxmlformats.org/officeDocument/2006/relationships/hyperlink" Target="https://www.proceduresonline.com/trixcms/media/8514/pmld-practice-guidance.pdf" TargetMode="External"/><Relationship Id="rId32" Type="http://schemas.openxmlformats.org/officeDocument/2006/relationships/hyperlink" Target="https://hwb.gov.wales/api/storage/e7495373-92c0-4998-8332-a36a2f14b4ae/routes-for-learning_sld_experience.pdf" TargetMode="External"/><Relationship Id="rId5" Type="http://schemas.openxmlformats.org/officeDocument/2006/relationships/endnotes" Target="endnotes.xml"/><Relationship Id="rId15" Type="http://schemas.openxmlformats.org/officeDocument/2006/relationships/hyperlink" Target="https://learn.microsoft.com?utm_source=chatgpt.com" TargetMode="External"/><Relationship Id="rId23" Type="http://schemas.openxmlformats.org/officeDocument/2006/relationships/hyperlink" Target="https://www.gov.wales/sites/default/files/statistics-and-research/2019-08/130510-post-19-education-provision-young-people-complex-learning-difficulties-levels-need-current-provision-summary-en.pdf" TargetMode="External"/><Relationship Id="rId28" Type="http://schemas.openxmlformats.org/officeDocument/2006/relationships/hyperlink" Target="https://www.unicef.org.uk/wp-content/uploads/2019/10/UNCRC_summary-1_1.pdf" TargetMode="External"/><Relationship Id="rId36" Type="http://schemas.openxmlformats.org/officeDocument/2006/relationships/theme" Target="theme/theme1.xml"/><Relationship Id="rId10" Type="http://schemas.openxmlformats.org/officeDocument/2006/relationships/hyperlink" Target="https://doi.org/10.16922/wje.p5" TargetMode="External"/><Relationship Id="rId19" Type="http://schemas.openxmlformats.org/officeDocument/2006/relationships/hyperlink" Target="https://www.pmldlink.org.uk/" TargetMode="External"/><Relationship Id="rId31" Type="http://schemas.openxmlformats.org/officeDocument/2006/relationships/hyperlink" Target="https://hwb.gov.wales/curriculum-for-wales/routes-for-learning/" TargetMode="External"/><Relationship Id="rId4" Type="http://schemas.openxmlformats.org/officeDocument/2006/relationships/footnotes" Target="footnotes.xml"/><Relationship Id="rId9" Type="http://schemas.openxmlformats.org/officeDocument/2006/relationships/hyperlink" Target="https://www.cypcs.org.uk/rights/uncrc/articles/article-31/" TargetMode="External"/><Relationship Id="rId14" Type="http://schemas.openxmlformats.org/officeDocument/2006/relationships/hyperlink" Target="https://www.pmldlink.org.uk/wp-content/uploads/2015/07/mencap.pdf" TargetMode="External"/><Relationship Id="rId22" Type="http://schemas.openxmlformats.org/officeDocument/2006/relationships/hyperlink" Target="https://msessd.ioe.edu.np/wp-content/uploads/2017/04/the-point-of-triangulation.pdf" TargetMode="External"/><Relationship Id="rId27" Type="http://schemas.openxmlformats.org/officeDocument/2006/relationships/hyperlink" Target="https://www.unicef.org.uk?utm_source=chatgpt.com" TargetMode="External"/><Relationship Id="rId30" Type="http://schemas.openxmlformats.org/officeDocument/2006/relationships/hyperlink" Target="https://hwb.gov.wales/api/storage/59e3a3af-2c2d-4d4b-a706-3aaa046f9a0f/201202-routes-for-learning-engagement-event-presentation-overview.pptx" TargetMode="External"/><Relationship Id="rId35" Type="http://schemas.openxmlformats.org/officeDocument/2006/relationships/fontTable" Target="fontTable.xml"/><Relationship Id="rId8" Type="http://schemas.openxmlformats.org/officeDocument/2006/relationships/hyperlink" Target="https://www.bera.ac.uk/wp-content/uploads/2023/10/Code-of-Conduct-202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5400</Words>
  <Characters>30780</Characters>
  <Application>Microsoft Office Word</Application>
  <DocSecurity>0</DocSecurity>
  <Lines>256</Lines>
  <Paragraphs>72</Paragraphs>
  <ScaleCrop>false</ScaleCrop>
  <Company/>
  <LinksUpToDate>false</LinksUpToDate>
  <CharactersWithSpaces>36108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pope</dc:creator>
  <cp:keywords/>
  <dc:description/>
  <cp:lastModifiedBy>jordan pope</cp:lastModifiedBy>
  <cp:revision>1</cp:revision>
  <dcterms:created xsi:type="dcterms:W3CDTF">2026-05-17T12:02:00Z</dcterms:created>
  <dcterms:modified xsi:type="dcterms:W3CDTF">2026-05-17T12:21:00Z</dcterms:modified>
</cp:coreProperties>
</file>