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hint="default" w:ascii="Arial" w:hAnsi="Arial" w:cs="Arial"/>
          <w:b/>
          <w:bCs/>
          <w:sz w:val="44"/>
          <w:szCs w:val="44"/>
          <w:lang w:val="en-GB"/>
        </w:rPr>
      </w:pPr>
      <w:r>
        <w:rPr>
          <w:rFonts w:hint="default" w:ascii="Arial" w:hAnsi="Arial" w:cs="Arial"/>
          <w:b/>
          <w:bCs/>
          <w:sz w:val="44"/>
          <w:szCs w:val="44"/>
          <w:lang w:val="en-GB"/>
        </w:rPr>
        <w:t>CHIDREN , YOUNG PEOPLE AND FAMILIES</w:t>
      </w:r>
    </w:p>
    <w:p>
      <w:pPr>
        <w:spacing w:line="360" w:lineRule="auto"/>
        <w:jc w:val="center"/>
        <w:rPr>
          <w:rFonts w:hint="default" w:ascii="Arial" w:hAnsi="Arial" w:cs="Arial"/>
          <w:b/>
          <w:bCs/>
          <w:sz w:val="44"/>
          <w:szCs w:val="44"/>
          <w:lang w:val="en-GB"/>
        </w:rPr>
      </w:pPr>
      <w:r>
        <w:rPr>
          <w:rFonts w:hint="default" w:ascii="Arial" w:hAnsi="Arial" w:cs="Arial"/>
          <w:b/>
          <w:bCs/>
          <w:sz w:val="44"/>
          <w:szCs w:val="44"/>
          <w:lang w:val="en-GB"/>
        </w:rPr>
        <w:t>ESSAY</w:t>
      </w:r>
    </w:p>
    <w:p>
      <w:pPr>
        <w:rPr>
          <w:lang w:val="en-GB"/>
        </w:rPr>
      </w:pPr>
    </w:p>
    <w:p>
      <w:pPr>
        <w:rPr>
          <w:lang w:val="en-GB"/>
        </w:rPr>
      </w:pPr>
    </w:p>
    <w:p>
      <w:pPr>
        <w:spacing w:line="360" w:lineRule="auto"/>
        <w:jc w:val="both"/>
        <w:rPr>
          <w:rFonts w:hint="default" w:ascii="Arial" w:hAnsi="Arial" w:cs="Arial"/>
          <w:sz w:val="32"/>
          <w:szCs w:val="32"/>
          <w:lang w:val="en-GB"/>
        </w:rPr>
      </w:pPr>
      <w:r>
        <w:rPr>
          <w:rFonts w:hint="default" w:ascii="Arial" w:hAnsi="Arial" w:cs="Arial"/>
          <w:sz w:val="32"/>
          <w:szCs w:val="32"/>
          <w:lang w:val="en-GB"/>
        </w:rPr>
        <w:t>MODULE : CHIDREN , YOUNG PEOPLE AND FAMILIES</w:t>
      </w:r>
    </w:p>
    <w:p>
      <w:pPr>
        <w:spacing w:line="360" w:lineRule="auto"/>
        <w:jc w:val="both"/>
        <w:rPr>
          <w:rFonts w:hint="default" w:ascii="Arial" w:hAnsi="Arial" w:cs="Arial"/>
          <w:sz w:val="32"/>
          <w:szCs w:val="32"/>
          <w:lang w:val="en-GB"/>
        </w:rPr>
      </w:pPr>
      <w:r>
        <w:rPr>
          <w:rFonts w:hint="default" w:ascii="Arial" w:hAnsi="Arial" w:cs="Arial"/>
          <w:sz w:val="32"/>
          <w:szCs w:val="32"/>
          <w:lang w:val="en-GB"/>
        </w:rPr>
        <w:t>MODULE : BMHP5004_BIRM</w:t>
      </w:r>
    </w:p>
    <w:p>
      <w:pPr>
        <w:spacing w:line="360" w:lineRule="auto"/>
        <w:jc w:val="both"/>
        <w:rPr>
          <w:rFonts w:hint="default" w:ascii="Arial" w:hAnsi="Arial" w:cs="Arial"/>
          <w:sz w:val="32"/>
          <w:szCs w:val="32"/>
          <w:lang w:val="en-GB"/>
        </w:rPr>
      </w:pPr>
      <w:r>
        <w:rPr>
          <w:rFonts w:hint="default" w:ascii="Arial" w:hAnsi="Arial" w:cs="Arial"/>
          <w:sz w:val="32"/>
          <w:szCs w:val="32"/>
          <w:lang w:val="en-GB"/>
        </w:rPr>
        <w:t>LECTURER :  RACHAEL FRANCE</w:t>
      </w:r>
    </w:p>
    <w:p>
      <w:pPr>
        <w:spacing w:line="360" w:lineRule="auto"/>
        <w:jc w:val="both"/>
        <w:rPr>
          <w:rFonts w:hint="default" w:ascii="Arial" w:hAnsi="Arial" w:cs="Arial"/>
          <w:sz w:val="32"/>
          <w:szCs w:val="32"/>
          <w:lang w:val="en-GB"/>
        </w:rPr>
      </w:pPr>
      <w:r>
        <w:rPr>
          <w:rFonts w:hint="default" w:ascii="Arial" w:hAnsi="Arial" w:cs="Arial"/>
          <w:sz w:val="32"/>
          <w:szCs w:val="32"/>
          <w:lang w:val="en-GB"/>
        </w:rPr>
        <w:t>STUDENT : SIMONA PASU  (1918145)</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spacing w:line="360" w:lineRule="auto"/>
        <w:jc w:val="both"/>
        <w:rPr>
          <w:rFonts w:cstheme="minorHAnsi"/>
          <w:b/>
          <w:i/>
          <w:sz w:val="24"/>
          <w:szCs w:val="24"/>
          <w:lang w:val="en-GB"/>
        </w:rPr>
      </w:pPr>
    </w:p>
    <w:p>
      <w:pPr>
        <w:spacing w:line="360" w:lineRule="auto"/>
        <w:jc w:val="both"/>
        <w:rPr>
          <w:rFonts w:cstheme="minorHAnsi"/>
          <w:b/>
          <w:i/>
          <w:sz w:val="24"/>
          <w:szCs w:val="24"/>
          <w:lang w:val="en-GB"/>
        </w:rPr>
      </w:pPr>
    </w:p>
    <w:p>
      <w:pPr>
        <w:spacing w:line="360" w:lineRule="auto"/>
        <w:jc w:val="left"/>
        <w:rPr>
          <w:rFonts w:hint="default" w:ascii="Arial" w:hAnsi="Arial" w:cs="Arial"/>
          <w:b/>
          <w:i/>
          <w:color w:val="auto"/>
          <w:sz w:val="24"/>
          <w:szCs w:val="24"/>
          <w:lang w:val="en-GB"/>
        </w:rPr>
      </w:pPr>
      <w:r>
        <w:rPr>
          <w:rFonts w:hint="default" w:ascii="Arial" w:hAnsi="Arial" w:cs="Arial"/>
          <w:b/>
          <w:i/>
          <w:color w:val="auto"/>
          <w:sz w:val="24"/>
          <w:szCs w:val="24"/>
          <w:lang w:val="en-GB"/>
        </w:rPr>
        <w:t>Topic:</w:t>
      </w:r>
      <w:r>
        <w:rPr>
          <w:rFonts w:hint="default" w:ascii="Arial" w:hAnsi="Arial" w:cs="Arial"/>
          <w:i/>
          <w:color w:val="auto"/>
          <w:sz w:val="24"/>
          <w:szCs w:val="24"/>
          <w:lang w:val="en-GB"/>
        </w:rPr>
        <w:t xml:space="preserve"> </w:t>
      </w:r>
      <w:r>
        <w:rPr>
          <w:rFonts w:hint="default" w:ascii="Arial" w:hAnsi="Arial" w:cs="Arial"/>
          <w:b/>
          <w:i/>
          <w:color w:val="auto"/>
          <w:sz w:val="24"/>
          <w:szCs w:val="24"/>
          <w:lang w:val="en-GB"/>
        </w:rPr>
        <w:t>“Considering historical and present-day perspectives, discuss the advantages and disadvantages of multiagency working in safeguarding children, young people, and families.”</w:t>
      </w:r>
    </w:p>
    <w:p>
      <w:pPr>
        <w:pStyle w:val="2"/>
        <w:spacing w:line="360" w:lineRule="auto"/>
        <w:jc w:val="left"/>
        <w:rPr>
          <w:rFonts w:hint="default" w:ascii="Arial" w:hAnsi="Arial" w:cs="Arial"/>
          <w:color w:val="auto"/>
          <w:sz w:val="24"/>
          <w:szCs w:val="24"/>
          <w:lang w:val="en-GB"/>
        </w:rPr>
      </w:pPr>
      <w:bookmarkStart w:id="0" w:name="_Toc77802318"/>
      <w:r>
        <w:rPr>
          <w:rFonts w:hint="default" w:ascii="Arial" w:hAnsi="Arial" w:cs="Arial"/>
          <w:color w:val="auto"/>
          <w:sz w:val="24"/>
          <w:szCs w:val="24"/>
          <w:lang w:val="en-GB"/>
        </w:rPr>
        <w:t>INTRODUCTION</w:t>
      </w:r>
      <w:bookmarkEnd w:id="0"/>
      <w:r>
        <w:rPr>
          <w:rFonts w:hint="default" w:ascii="Arial" w:hAnsi="Arial" w:cs="Arial"/>
          <w:color w:val="auto"/>
          <w:sz w:val="24"/>
          <w:szCs w:val="24"/>
          <w:lang w:val="en-GB"/>
        </w:rPr>
        <w:t xml:space="preserve"> </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The multiagency work is about ensuring that people with various complicated needs are addressed seamlessly. This might be part of a multidisciplinary team. The multiagency working has significant changes from its historic perspective. Multiagency working has great importance in safeguarding young people, children and families (</w:t>
      </w:r>
      <w:r>
        <w:rPr>
          <w:rFonts w:hint="default" w:ascii="Arial" w:hAnsi="Arial" w:cs="Arial"/>
          <w:color w:val="auto"/>
          <w:sz w:val="24"/>
          <w:szCs w:val="24"/>
          <w:shd w:val="clear" w:color="auto" w:fill="FFFFFF"/>
        </w:rPr>
        <w:t>Thomson et al., 2018</w:t>
      </w:r>
      <w:r>
        <w:rPr>
          <w:rFonts w:hint="default" w:ascii="Arial" w:hAnsi="Arial" w:cs="Arial"/>
          <w:color w:val="auto"/>
          <w:sz w:val="24"/>
          <w:szCs w:val="24"/>
          <w:lang w:val="en-GB"/>
        </w:rPr>
        <w:t>). Multiagency working in safeguarding involves working together to guarantee a combined local response to minimise the threat of child danger. These are leaders who understand their local circumstances. Therefore, it is essential for children and their families to establish an atmosphere where multi-agency work may thrive. In addition, this effective working helps in safeguarding the people from various concerns and complexities (</w:t>
      </w:r>
      <w:r>
        <w:rPr>
          <w:rFonts w:hint="default" w:ascii="Arial" w:hAnsi="Arial" w:cs="Arial"/>
          <w:color w:val="auto"/>
          <w:sz w:val="24"/>
          <w:szCs w:val="24"/>
          <w:shd w:val="clear" w:color="auto" w:fill="FFFFFF"/>
        </w:rPr>
        <w:t>Cleaver et al., 2019</w:t>
      </w:r>
      <w:r>
        <w:rPr>
          <w:rFonts w:hint="default" w:ascii="Arial" w:hAnsi="Arial" w:cs="Arial"/>
          <w:color w:val="auto"/>
          <w:sz w:val="24"/>
          <w:szCs w:val="24"/>
          <w:lang w:val="en-GB"/>
        </w:rPr>
        <w:t>).</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This essay will provide the historical and present-day perspectives of multiagency working while critically discussing the key advantages and disadvantages of it in children, families and young people with various resources for key information and examples for better understanding.   </w:t>
      </w:r>
    </w:p>
    <w:p>
      <w:pPr>
        <w:pStyle w:val="2"/>
        <w:spacing w:line="360" w:lineRule="auto"/>
        <w:jc w:val="left"/>
        <w:rPr>
          <w:rFonts w:hint="default" w:ascii="Arial" w:hAnsi="Arial" w:cs="Arial"/>
          <w:color w:val="auto"/>
          <w:sz w:val="24"/>
          <w:szCs w:val="24"/>
          <w:lang w:val="en-GB"/>
        </w:rPr>
      </w:pPr>
      <w:bookmarkStart w:id="1" w:name="_Toc77802319"/>
      <w:r>
        <w:rPr>
          <w:rFonts w:hint="default" w:ascii="Arial" w:hAnsi="Arial" w:cs="Arial"/>
          <w:color w:val="auto"/>
          <w:sz w:val="24"/>
          <w:szCs w:val="24"/>
          <w:lang w:val="en-GB"/>
        </w:rPr>
        <w:t>MAIN BODY</w:t>
      </w:r>
      <w:bookmarkEnd w:id="1"/>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Effective work with multi-agencies is a major difficulty in day to day working. It takes time and can lead to conflict.  The fact that multi-agency operations have shown to be an effective method to address a broad variety of transverse risk factors that contribute towards worse results for children and young people may make an exceptionally significant contribution to preventative and early intervention programmes (</w:t>
      </w:r>
      <w:r>
        <w:rPr>
          <w:rFonts w:hint="default" w:ascii="Arial" w:hAnsi="Arial" w:cs="Arial"/>
          <w:color w:val="auto"/>
          <w:sz w:val="24"/>
          <w:szCs w:val="24"/>
          <w:shd w:val="clear" w:color="auto" w:fill="FFFFFF"/>
        </w:rPr>
        <w:t>Thomson et al., 2018</w:t>
      </w:r>
      <w:r>
        <w:rPr>
          <w:rFonts w:hint="default" w:ascii="Arial" w:hAnsi="Arial" w:cs="Arial"/>
          <w:color w:val="auto"/>
          <w:sz w:val="24"/>
          <w:szCs w:val="24"/>
          <w:lang w:val="en-GB"/>
        </w:rPr>
        <w:t>). Multi-agency work allows several services to unite forces in order to avoid complications. It is an effective method to meet additional needs and enhance the results of children, young people and families. For providing an effective multiagency working, Meetings and connections with others are about working together for children and their families, with teachers, medical staff, drugs, alcoholic beverages, mental health services, housing, protest etc (</w:t>
      </w:r>
      <w:r>
        <w:rPr>
          <w:rFonts w:hint="default" w:ascii="Arial" w:hAnsi="Arial" w:cs="Arial"/>
          <w:color w:val="auto"/>
          <w:sz w:val="24"/>
          <w:szCs w:val="24"/>
          <w:shd w:val="clear" w:color="auto" w:fill="FFFFFF"/>
        </w:rPr>
        <w:t>Pycroft and Gough, 2019</w:t>
      </w:r>
      <w:r>
        <w:rPr>
          <w:rFonts w:hint="default" w:ascii="Arial" w:hAnsi="Arial" w:cs="Arial"/>
          <w:color w:val="auto"/>
          <w:sz w:val="24"/>
          <w:szCs w:val="24"/>
          <w:lang w:val="en-GB"/>
        </w:rPr>
        <w:t>).</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SafeLives has co-established the below set of values and principles to help professionals of several agencies to work better together, working with individuals with experienced survivors and practitioners. This encourages experts in the development, participation in or assessment of a multi-agency forum, strategy or interactions to examine these values and principles. To ensure that professionals from multi agencies "do the right thing" for children, families and the community, they need to share the values and principles underpinning that and need a common commitment, in every aspect of work together, with individuals and families, to live up to the values and principles (</w:t>
      </w:r>
      <w:r>
        <w:rPr>
          <w:rFonts w:hint="default" w:ascii="Arial" w:hAnsi="Arial" w:cs="Arial"/>
          <w:color w:val="auto"/>
          <w:sz w:val="24"/>
          <w:szCs w:val="24"/>
          <w:shd w:val="clear" w:color="auto" w:fill="FFFFFF"/>
        </w:rPr>
        <w:t>Wydall and Freeman, 2020</w:t>
      </w:r>
      <w:r>
        <w:rPr>
          <w:rFonts w:hint="default" w:ascii="Arial" w:hAnsi="Arial" w:cs="Arial"/>
          <w:color w:val="auto"/>
          <w:sz w:val="24"/>
          <w:szCs w:val="24"/>
          <w:lang w:val="en-GB"/>
        </w:rPr>
        <w:t>). The focus on the values and principles of effective multi-agency cooperation helps to build a culture of responsibility and places the people we serve at the centre of all they do (</w:t>
      </w:r>
      <w:r>
        <w:rPr>
          <w:rFonts w:hint="default" w:ascii="Arial" w:hAnsi="Arial" w:cs="Arial"/>
          <w:color w:val="auto"/>
          <w:sz w:val="24"/>
          <w:szCs w:val="24"/>
          <w:shd w:val="clear" w:color="auto" w:fill="FFFFFF"/>
        </w:rPr>
        <w:t>Thomson et al., 2018</w:t>
      </w:r>
      <w:r>
        <w:rPr>
          <w:rFonts w:hint="default" w:ascii="Arial" w:hAnsi="Arial" w:cs="Arial"/>
          <w:color w:val="auto"/>
          <w:sz w:val="24"/>
          <w:szCs w:val="24"/>
          <w:lang w:val="en-GB"/>
        </w:rPr>
        <w:t xml:space="preserve">). </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Apart from this, Multiagency working is not a new concept and has been practising for years and it has a great historical perspective. In relation to this, according to </w:t>
      </w:r>
      <w:r>
        <w:rPr>
          <w:rFonts w:hint="default" w:ascii="Arial" w:hAnsi="Arial" w:cs="Arial"/>
          <w:color w:val="auto"/>
          <w:sz w:val="24"/>
          <w:szCs w:val="24"/>
          <w:shd w:val="clear" w:color="auto" w:fill="FFFFFF"/>
        </w:rPr>
        <w:t>Davies, (2018</w:t>
      </w:r>
      <w:r>
        <w:rPr>
          <w:rFonts w:hint="default" w:ascii="Arial" w:hAnsi="Arial" w:cs="Arial"/>
          <w:color w:val="auto"/>
          <w:sz w:val="24"/>
          <w:szCs w:val="24"/>
          <w:lang w:val="en-GB"/>
        </w:rPr>
        <w:t>), Working with several agencies is not a new concept. Health and social services worked together to decrease poverty in England by the middle of the nineteenth century. It wasn't until the 1980s, in Thatcher's years, that the foundation was built for multi-agency partnerships. The Children Act of 1989 laid down the legislative obligation for inter-agency collaboration and collaborative cooperation with children and young people to "work better together" by the professionals. The multi-agency activity has numerous forms and the vocabulary it describes varies, which makes it difficult to classify and compare various varieties (Davies, 2018).</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Models of different forms of multi-agency action tend to focus either on the scope of multi-agency activities or on multi-agency frameworks or teams. Multi-agency activities classify the extent of the activity approach them by creating a hierarchical kind of forms based on the scope, stage or level of the activity of several agencies (</w:t>
      </w:r>
      <w:r>
        <w:rPr>
          <w:rFonts w:hint="default" w:ascii="Arial" w:hAnsi="Arial" w:cs="Arial"/>
          <w:color w:val="auto"/>
          <w:sz w:val="24"/>
          <w:szCs w:val="24"/>
          <w:shd w:val="clear" w:color="auto" w:fill="FFFFFF"/>
        </w:rPr>
        <w:t>Cleaver et al., 2019</w:t>
      </w:r>
      <w:r>
        <w:rPr>
          <w:rFonts w:hint="default" w:ascii="Arial" w:hAnsi="Arial" w:cs="Arial"/>
          <w:color w:val="auto"/>
          <w:sz w:val="24"/>
          <w:szCs w:val="24"/>
          <w:lang w:val="en-GB"/>
        </w:rPr>
        <w:t xml:space="preserve">). In addition, </w:t>
      </w:r>
      <w:r>
        <w:rPr>
          <w:rFonts w:hint="default" w:ascii="Arial" w:hAnsi="Arial" w:cs="Arial"/>
          <w:color w:val="auto"/>
          <w:sz w:val="24"/>
          <w:szCs w:val="24"/>
          <w:shd w:val="clear" w:color="auto" w:fill="FFFFFF"/>
        </w:rPr>
        <w:t xml:space="preserve">Trotman and Tucker, </w:t>
      </w:r>
      <w:r>
        <w:rPr>
          <w:rFonts w:hint="default" w:ascii="Arial" w:hAnsi="Arial" w:cs="Arial"/>
          <w:color w:val="auto"/>
          <w:sz w:val="24"/>
          <w:szCs w:val="24"/>
          <w:lang w:val="en-GB"/>
        </w:rPr>
        <w:t>(2018) say that there are various factors that impact the effective working of multi-agency working relationships, Issues relating to working relations have been identified as important to multi-agency activities. One of the main questions is clarity regarding role demarcation, a failure that has been identified as the most common problem, Communication, communication has been recognised as the most popular facilitator for multi-agency work and hence excellent communication was a critical factor. In conjunction with this, defined aims were needed through clear and agreed objectives. Further, Leadership has been highlighted as the important component of multi-agency work as regards management and governance. The lack of clear leadership and support from the management was shown to be very detrimental. Also, the success of multi-agency work was driven by enough resources in terms of finance, manpower and time. Although financial security and fairness were crucial, insufficient money or time constraints were seen as problematic (</w:t>
      </w:r>
      <w:r>
        <w:rPr>
          <w:rFonts w:hint="default" w:ascii="Arial" w:hAnsi="Arial" w:cs="Arial"/>
          <w:color w:val="auto"/>
          <w:sz w:val="24"/>
          <w:szCs w:val="24"/>
          <w:shd w:val="clear" w:color="auto" w:fill="FFFFFF"/>
        </w:rPr>
        <w:t>Trotman and Tucker, 2018</w:t>
      </w:r>
      <w:r>
        <w:rPr>
          <w:rFonts w:hint="default" w:ascii="Arial" w:hAnsi="Arial" w:cs="Arial"/>
          <w:color w:val="auto"/>
          <w:sz w:val="24"/>
          <w:szCs w:val="24"/>
          <w:lang w:val="en-GB"/>
        </w:rPr>
        <w:t>).</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In addition to this, </w:t>
      </w:r>
      <w:r>
        <w:rPr>
          <w:rFonts w:hint="default" w:ascii="Arial" w:hAnsi="Arial" w:cs="Arial"/>
          <w:color w:val="auto"/>
          <w:sz w:val="24"/>
          <w:szCs w:val="24"/>
          <w:shd w:val="clear" w:color="auto" w:fill="FFFFFF"/>
        </w:rPr>
        <w:t>Humphreys</w:t>
      </w:r>
      <w:r>
        <w:rPr>
          <w:rFonts w:hint="default" w:ascii="Arial" w:hAnsi="Arial" w:cs="Arial"/>
          <w:color w:val="auto"/>
          <w:sz w:val="24"/>
          <w:szCs w:val="24"/>
          <w:lang w:val="en-GB"/>
        </w:rPr>
        <w:t xml:space="preserve"> et al., (2018) say that Multi-agency collaboration may offer a unique approach to preventative and early intervention programmes because the vast range of cross-cutting risk factors contributing to the poorer outcomes for children and youth have demonstrated that they are an effective means of addressing them. In the next several years, a comprehensive refurbishment of services will be underway to provide earlier, more cohesive support that response more efficiently to the needs of children and their families (Humphreys et al., 2018). </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Further, in the modern-day to day perspective, there are various changes that have been made in Multi-agency working that has created a completely new way to make the changes in the society such as the Multi-Agency safeguarding hubs (MASHs) have been started establishing from the year 2011 with the purpose of making or creating collaboration with failure agencies and NGOs to work together to safeguard the children and the young people with their families (</w:t>
      </w:r>
      <w:r>
        <w:rPr>
          <w:rFonts w:hint="default" w:ascii="Arial" w:hAnsi="Arial" w:cs="Arial"/>
          <w:color w:val="auto"/>
          <w:sz w:val="24"/>
          <w:szCs w:val="24"/>
          <w:shd w:val="clear" w:color="auto" w:fill="FFFFFF"/>
        </w:rPr>
        <w:t>Resetar et al., 2020</w:t>
      </w:r>
      <w:r>
        <w:rPr>
          <w:rFonts w:hint="default" w:ascii="Arial" w:hAnsi="Arial" w:cs="Arial"/>
          <w:color w:val="auto"/>
          <w:sz w:val="24"/>
          <w:szCs w:val="24"/>
          <w:lang w:val="en-GB"/>
        </w:rPr>
        <w:t>). In addition, there are various principles and values that have been developed in the modern days that help in more effectively presenting and safeguarding the people like as the values of Multi-Agency working organisation is a reflection on the fundamental aspects of effective cooperation, Encourage healthy interactions between  professionals and families based on trust, openness and common accountability, Create an environment where professionals can explain for each other, share data with each other and work collaboratively and effectively and proportionately with the person and family, Ensuring that individuals and families are safe and well-being is essential to all we do. In multi-agency working, One of the major tasks is included in modern times is to protect vulnerable individuals, and to know the local organisational rules and multi-agency processes (</w:t>
      </w:r>
      <w:r>
        <w:rPr>
          <w:rFonts w:hint="default" w:ascii="Arial" w:hAnsi="Arial" w:cs="Arial"/>
          <w:color w:val="auto"/>
          <w:sz w:val="24"/>
          <w:szCs w:val="24"/>
          <w:shd w:val="clear" w:color="auto" w:fill="FFFFFF"/>
        </w:rPr>
        <w:t>Juhila and Dall, 2021</w:t>
      </w:r>
      <w:r>
        <w:rPr>
          <w:rFonts w:hint="default" w:ascii="Arial" w:hAnsi="Arial" w:cs="Arial"/>
          <w:color w:val="auto"/>
          <w:sz w:val="24"/>
          <w:szCs w:val="24"/>
          <w:lang w:val="en-GB"/>
        </w:rPr>
        <w:t>). Children and broader family members are covered by safeguarding obligations. To protect, a clear difference should be made between placing a person at risk and making it possible for them to properly manage risks. People are entitled to make decisions and take risks if they are not considered to be competent. It should be noted that decisions are made (</w:t>
      </w:r>
      <w:r>
        <w:rPr>
          <w:rFonts w:hint="default" w:ascii="Arial" w:hAnsi="Arial" w:cs="Arial"/>
          <w:color w:val="auto"/>
          <w:sz w:val="24"/>
          <w:szCs w:val="24"/>
          <w:shd w:val="clear" w:color="auto" w:fill="FFFFFF"/>
        </w:rPr>
        <w:t>Resetar et al., 2020</w:t>
      </w:r>
      <w:r>
        <w:rPr>
          <w:rFonts w:hint="default" w:ascii="Arial" w:hAnsi="Arial" w:cs="Arial"/>
          <w:color w:val="auto"/>
          <w:sz w:val="24"/>
          <w:szCs w:val="24"/>
          <w:lang w:val="en-GB"/>
        </w:rPr>
        <w:t xml:space="preserve">).   </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 xml:space="preserve">In respect to this, there are various functions that multi-agencies play to make the sustainable living of the people. One of the main functions of multi-agency working is the safeguarding of children, people and families. According to </w:t>
      </w:r>
      <w:r>
        <w:rPr>
          <w:rFonts w:hint="default" w:ascii="Arial" w:hAnsi="Arial" w:cs="Arial"/>
          <w:color w:val="auto"/>
          <w:sz w:val="24"/>
          <w:szCs w:val="24"/>
          <w:shd w:val="clear" w:color="auto" w:fill="FFFFFF"/>
        </w:rPr>
        <w:t>Barton,</w:t>
      </w:r>
      <w:r>
        <w:rPr>
          <w:rFonts w:hint="default" w:ascii="Arial" w:hAnsi="Arial" w:cs="Arial"/>
          <w:color w:val="auto"/>
          <w:sz w:val="24"/>
          <w:szCs w:val="24"/>
          <w:lang w:val="en-GB"/>
        </w:rPr>
        <w:t xml:space="preserve"> (2018) multi-agency response is needed to protect children. Local authorities alone cannot accomplish this. This applies to all elements of safeguarding from frontline practitioners who detect a child at risk to the local authorities via local strategy and operational responses to childcare concerns. In addition to this, there are various policies and procedures in the multi-agency workings to make sure that people are safe and free from any danger, The Care Act 2014 provides out a clear legal framework for the protection of care for individuals at risk of abuse or neglect by local government and other statutory bodies. The following policy outlines the approach to adult protection. The procedures describe then how agencies and people should cooperate to implement the policy (</w:t>
      </w:r>
      <w:r>
        <w:rPr>
          <w:rFonts w:hint="default" w:ascii="Arial" w:hAnsi="Arial" w:cs="Arial"/>
          <w:color w:val="auto"/>
          <w:sz w:val="24"/>
          <w:szCs w:val="24"/>
          <w:shd w:val="clear" w:color="auto" w:fill="FFFFFF"/>
        </w:rPr>
        <w:t>Cooper and Bruin, 2017</w:t>
      </w:r>
      <w:r>
        <w:rPr>
          <w:rFonts w:hint="default" w:ascii="Arial" w:hAnsi="Arial" w:cs="Arial"/>
          <w:color w:val="auto"/>
          <w:sz w:val="24"/>
          <w:szCs w:val="24"/>
          <w:lang w:val="en-GB"/>
        </w:rPr>
        <w:t>). The Children Act 1989 provides for authorities to take decisions on the basis of children to keep them from abuse and neglect. Young people who get aftercare are included in adult safeguards by children and family services, but close connections with children and family service providers are critical in determining that the person manage and support young people by procedures of adult protection (</w:t>
      </w:r>
      <w:r>
        <w:rPr>
          <w:rFonts w:hint="default" w:ascii="Arial" w:hAnsi="Arial" w:cs="Arial"/>
          <w:color w:val="auto"/>
          <w:sz w:val="24"/>
          <w:szCs w:val="24"/>
          <w:shd w:val="clear" w:color="auto" w:fill="FFFFFF"/>
        </w:rPr>
        <w:t>Moosa-Mitha, 2018</w:t>
      </w:r>
      <w:r>
        <w:rPr>
          <w:rFonts w:hint="default" w:ascii="Arial" w:hAnsi="Arial" w:cs="Arial"/>
          <w:color w:val="auto"/>
          <w:sz w:val="24"/>
          <w:szCs w:val="24"/>
          <w:lang w:val="en-GB"/>
        </w:rPr>
        <w:t>). Further, The Mental Capacity Act 2005 offers a statutory framework for empowering and protecting persons who do not have the capacity to make decisions on their own behalf. Whether decisions are incidents that change a life or daily issues, this is important. All choices taken in the process of adult protection must conform to the Act for the effective safeguarding of the people. Also, there are various teams and people in healthcare that supports childhood care health like the multidisciplinary teams are composed of employees from diverse fields of experience. These teams can answer consumers and especially the children who need the assistance of a number of professionals (</w:t>
      </w:r>
      <w:r>
        <w:rPr>
          <w:rFonts w:hint="default" w:ascii="Arial" w:hAnsi="Arial" w:cs="Arial"/>
          <w:color w:val="auto"/>
          <w:sz w:val="24"/>
          <w:szCs w:val="24"/>
          <w:shd w:val="clear" w:color="auto" w:fill="FFFFFF"/>
        </w:rPr>
        <w:t>Kong and Keene, 2018</w:t>
      </w:r>
      <w:r>
        <w:rPr>
          <w:rFonts w:hint="default" w:ascii="Arial" w:hAnsi="Arial" w:cs="Arial"/>
          <w:color w:val="auto"/>
          <w:sz w:val="24"/>
          <w:szCs w:val="24"/>
          <w:lang w:val="en-GB"/>
        </w:rPr>
        <w:t>). Multidisciplinary teams (MDTs) are the mechanism to arrange and coordinate health services for people with complicated care requirements. The teams bring the knowledge and the abilities of many specialists together to evaluate, organise and manage treatment. These care systems involve skills and practices for helping with social care, vulnerable people and more (</w:t>
      </w:r>
      <w:r>
        <w:rPr>
          <w:rFonts w:hint="default" w:ascii="Arial" w:hAnsi="Arial" w:cs="Arial"/>
          <w:color w:val="auto"/>
          <w:sz w:val="24"/>
          <w:szCs w:val="24"/>
          <w:shd w:val="clear" w:color="auto" w:fill="FFFFFF"/>
        </w:rPr>
        <w:t>Miller et al., 2017</w:t>
      </w:r>
      <w:r>
        <w:rPr>
          <w:rFonts w:hint="default" w:ascii="Arial" w:hAnsi="Arial" w:cs="Arial"/>
          <w:color w:val="auto"/>
          <w:sz w:val="24"/>
          <w:szCs w:val="24"/>
          <w:lang w:val="en-GB"/>
        </w:rPr>
        <w:t>).</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Further, multi-agency functions with various different categories like vulnerable people, people with needs or below the poverty line and more are involved in this agency's work. Further, there are various advantages and disadvantages and potential impacts of multi-agency working like as; There have been studies focusing on the perceived advantages of multi-agency collaboration and, although holistic and enhanced understanding and trust across agencies have been also noted, the most often reported were improved/more effective services and collaborative solution of problems. Improved access to services through faster and more suitable referencing, and increased focus on prevention and early intervention was the primary impact on service consumers reported on (Thomson et al., 2018). The effects also included benefits in the lives of service users through concentrated assistance, allowing children with disabilities to stay at home and attend their local school, for instance while it was widely mentioned and demonstrated factual evidence that the influence on professionals participating in multi-agency work service users' effect is limited. In view of the existing environment, emphasises the multi-agency effort and care given to the client's voice, for future investigation, this would appear to be an essential topic for future research (</w:t>
      </w:r>
      <w:r>
        <w:rPr>
          <w:rFonts w:hint="default" w:ascii="Arial" w:hAnsi="Arial" w:cs="Arial"/>
          <w:color w:val="auto"/>
          <w:sz w:val="24"/>
          <w:szCs w:val="24"/>
          <w:shd w:val="clear" w:color="auto" w:fill="FFFFFF"/>
        </w:rPr>
        <w:t>Solomon, 2018</w:t>
      </w:r>
      <w:r>
        <w:rPr>
          <w:rFonts w:hint="default" w:ascii="Arial" w:hAnsi="Arial" w:cs="Arial"/>
          <w:color w:val="auto"/>
          <w:sz w:val="24"/>
          <w:szCs w:val="24"/>
          <w:lang w:val="en-GB"/>
        </w:rPr>
        <w:t>).</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Positive effects on professionals mainly focused on rewarding and arousing multi-agency activities, increasing knowledge and understanding of other agencies and enabling relations between agencies. Negative consequences on multi-agency professionals centred in particular on confusion about professional identity. There were some mixed messages as to whether many agencies work resulted in the professional engagement being raised or decreased workload; however, the evidence appeared to be inclined to increase burden (</w:t>
      </w:r>
      <w:r>
        <w:rPr>
          <w:rFonts w:hint="default" w:ascii="Arial" w:hAnsi="Arial" w:cs="Arial"/>
          <w:color w:val="auto"/>
          <w:sz w:val="24"/>
          <w:szCs w:val="24"/>
          <w:shd w:val="clear" w:color="auto" w:fill="FFFFFF"/>
        </w:rPr>
        <w:t>Pycroft and Gough, 2019</w:t>
      </w:r>
      <w:r>
        <w:rPr>
          <w:rFonts w:hint="default" w:ascii="Arial" w:hAnsi="Arial" w:cs="Arial"/>
          <w:color w:val="auto"/>
          <w:sz w:val="24"/>
          <w:szCs w:val="24"/>
          <w:lang w:val="en-GB"/>
        </w:rPr>
        <w:t>). There were conflicting views on whether the demand for services/agencies as a whole for operating multi-agency companies was raised or diminished, but evidence appeared to be weighted more towards rising demand as was the case with demand for professionals. Together with earlier conflicting studies on the influence on the workload of professionals, these contrasting findings imply that the pressure imposed on both persons and agencies may be justified by more research (</w:t>
      </w:r>
      <w:r>
        <w:rPr>
          <w:rFonts w:hint="default" w:ascii="Arial" w:hAnsi="Arial" w:cs="Arial"/>
          <w:color w:val="auto"/>
          <w:sz w:val="24"/>
          <w:szCs w:val="24"/>
          <w:shd w:val="clear" w:color="auto" w:fill="FFFFFF"/>
        </w:rPr>
        <w:t>Driscoll et al., 2020</w:t>
      </w:r>
      <w:r>
        <w:rPr>
          <w:rFonts w:hint="default" w:ascii="Arial" w:hAnsi="Arial" w:cs="Arial"/>
          <w:color w:val="auto"/>
          <w:sz w:val="24"/>
          <w:szCs w:val="24"/>
          <w:lang w:val="en-GB"/>
        </w:rPr>
        <w:t>).</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In addition to, the historical emergence of childhood is something that is related to multi-agency working as it involves the crucial aspects of childhood safeguarding and family construction. Since the influential book 'Centuries of Childhood' released by the French historian Philippe Ariès in 1960, the concept of childhood has been an important issue in social history. "Childhood" Ariès contended as the notion of contemporary civilization being established. The artworks, graves, furnishings and school records were investigated by Ariès. The idea of childhood originated during the 17th century, accompanied by events such as a drop in infant mortalities, changes to the European school system, the increased stratification of classes and the eventual retirement of the family from a broader web of social interactions."    Further, the family and social construction are the aspects of childhood development that importantly impacts the living and the growth years (</w:t>
      </w:r>
      <w:r>
        <w:rPr>
          <w:rFonts w:hint="default" w:ascii="Arial" w:hAnsi="Arial" w:cs="Arial"/>
          <w:color w:val="auto"/>
          <w:sz w:val="24"/>
          <w:szCs w:val="24"/>
          <w:shd w:val="clear" w:color="auto" w:fill="FFFFFF"/>
        </w:rPr>
        <w:t>Prag and Tendler, 2018</w:t>
      </w:r>
      <w:r>
        <w:rPr>
          <w:rFonts w:hint="default" w:ascii="Arial" w:hAnsi="Arial" w:cs="Arial"/>
          <w:color w:val="auto"/>
          <w:sz w:val="24"/>
          <w:szCs w:val="24"/>
          <w:lang w:val="en-GB"/>
        </w:rPr>
        <w:t xml:space="preserve">). Children and teenagers are far fewer free, unstructured and unattended than their ancestors. Parents do considerably more than in respect to the past to place their children in adult-structured, adult-supervised activities. Over time, children and youth have been on an increasingly geographical scale. Whereas cultural classifications may be based on blood, marital status or legal relationships, "families," such as fostering, nurture or economic links, are socially structured and can encompass cohabitation and other social ties acknowledged by cultures. Sociology also investigates the effect of family and societal interactions on the childhood of the person. </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Further, the social construction is something that creates values in the society and is all related to childhood and growth and that stage of the person is to learn new things and adopt the real facets of the societal behaviours (</w:t>
      </w:r>
      <w:r>
        <w:rPr>
          <w:rFonts w:hint="default" w:ascii="Arial" w:hAnsi="Arial" w:cs="Arial"/>
          <w:color w:val="auto"/>
          <w:sz w:val="24"/>
          <w:szCs w:val="24"/>
          <w:shd w:val="clear" w:color="auto" w:fill="FFFFFF"/>
        </w:rPr>
        <w:t>Piper, 2018)</w:t>
      </w:r>
      <w:r>
        <w:rPr>
          <w:rFonts w:hint="default" w:ascii="Arial" w:hAnsi="Arial" w:cs="Arial"/>
          <w:color w:val="auto"/>
          <w:sz w:val="24"/>
          <w:szCs w:val="24"/>
          <w:lang w:val="en-GB"/>
        </w:rPr>
        <w:t xml:space="preserve">. In relation to this, </w:t>
      </w:r>
      <w:r>
        <w:rPr>
          <w:rFonts w:hint="default" w:ascii="Arial" w:hAnsi="Arial" w:cs="Arial"/>
          <w:color w:val="auto"/>
          <w:sz w:val="24"/>
          <w:szCs w:val="24"/>
          <w:shd w:val="clear" w:color="auto" w:fill="FFFFFF"/>
        </w:rPr>
        <w:t>Nelson and Constantinidis,</w:t>
      </w:r>
      <w:r>
        <w:rPr>
          <w:rFonts w:hint="default" w:ascii="Arial" w:hAnsi="Arial" w:cs="Arial"/>
          <w:color w:val="auto"/>
          <w:sz w:val="24"/>
          <w:szCs w:val="24"/>
          <w:lang w:val="en-GB"/>
        </w:rPr>
        <w:t xml:space="preserve"> (2017) say that the social construction of the family is the concept that helps the child to learn, acknowledge, grow and understand the belief and the values within the society. A key aim of social constructions is to find means of participating in the creation of the perceived social realities by people and communities. It examines the ways in which organisations establish social phenomena, institutionalise them, make them known and make their tradition by humans. Countries and money are some examples of social structures. The way countries may be social structures is simpler to understand than how money is a social structure. Countries wouldn't exist unless they interacted with people. There are potentially the three stages of social construction that are involved in creating the values and beliefs likes as externalisation, internalisation and objectification for social understandings and acknowledgements</w:t>
      </w:r>
      <w:r>
        <w:rPr>
          <w:rFonts w:hint="default" w:ascii="Arial" w:hAnsi="Arial" w:cs="Arial"/>
          <w:color w:val="auto"/>
          <w:sz w:val="24"/>
          <w:szCs w:val="24"/>
          <w:shd w:val="clear" w:color="auto" w:fill="FFFFFF"/>
        </w:rPr>
        <w:t xml:space="preserve"> (Nelson and Constantinidis,</w:t>
      </w:r>
      <w:r>
        <w:rPr>
          <w:rFonts w:hint="default" w:ascii="Arial" w:hAnsi="Arial" w:cs="Arial"/>
          <w:color w:val="auto"/>
          <w:sz w:val="24"/>
          <w:szCs w:val="24"/>
          <w:lang w:val="en-GB"/>
        </w:rPr>
        <w:t xml:space="preserve"> 2017). The multi-agency working is related to the social construction of family in the respect that this construction of social reforms and values support the multi-agency working for being creative and adaptive in nature that further helps in analysing the key social phenomenon in the social and function accordingly for the welfare of the society like as poor people are considered as helpless and needs support from various aspects to grow in the society, there the multi-agency recognises the needs and supports in a significant manner (</w:t>
      </w:r>
      <w:r>
        <w:rPr>
          <w:rFonts w:hint="default" w:ascii="Arial" w:hAnsi="Arial" w:cs="Arial"/>
          <w:color w:val="auto"/>
          <w:sz w:val="24"/>
          <w:szCs w:val="24"/>
          <w:shd w:val="clear" w:color="auto" w:fill="FFFFFF"/>
        </w:rPr>
        <w:t>Määttä, 2019</w:t>
      </w:r>
      <w:r>
        <w:rPr>
          <w:rFonts w:hint="default" w:ascii="Arial" w:hAnsi="Arial" w:cs="Arial"/>
          <w:color w:val="auto"/>
          <w:sz w:val="24"/>
          <w:szCs w:val="24"/>
          <w:lang w:val="en-GB"/>
        </w:rPr>
        <w:t xml:space="preserve">).           </w:t>
      </w:r>
    </w:p>
    <w:p>
      <w:pPr>
        <w:pStyle w:val="2"/>
        <w:spacing w:line="360" w:lineRule="auto"/>
        <w:jc w:val="left"/>
        <w:rPr>
          <w:rFonts w:hint="default" w:ascii="Arial" w:hAnsi="Arial" w:cs="Arial"/>
          <w:color w:val="auto"/>
          <w:sz w:val="24"/>
          <w:szCs w:val="24"/>
          <w:lang w:val="en-GB"/>
        </w:rPr>
      </w:pPr>
      <w:bookmarkStart w:id="2" w:name="_Toc77802320"/>
    </w:p>
    <w:p>
      <w:pPr>
        <w:pStyle w:val="2"/>
        <w:spacing w:line="360" w:lineRule="auto"/>
        <w:jc w:val="left"/>
        <w:rPr>
          <w:rFonts w:hint="default" w:ascii="Arial" w:hAnsi="Arial" w:cs="Arial"/>
          <w:color w:val="auto"/>
          <w:sz w:val="24"/>
          <w:szCs w:val="24"/>
          <w:lang w:val="en-GB"/>
        </w:rPr>
      </w:pPr>
    </w:p>
    <w:p>
      <w:pPr>
        <w:pStyle w:val="2"/>
        <w:spacing w:line="360" w:lineRule="auto"/>
        <w:jc w:val="left"/>
        <w:rPr>
          <w:rFonts w:hint="default" w:ascii="Arial" w:hAnsi="Arial" w:cs="Arial"/>
          <w:color w:val="auto"/>
          <w:sz w:val="24"/>
          <w:szCs w:val="24"/>
          <w:lang w:val="en-GB"/>
        </w:rPr>
      </w:pPr>
      <w:bookmarkStart w:id="4" w:name="_GoBack"/>
      <w:bookmarkEnd w:id="4"/>
    </w:p>
    <w:p>
      <w:pPr>
        <w:pStyle w:val="2"/>
        <w:spacing w:line="360" w:lineRule="auto"/>
        <w:jc w:val="left"/>
        <w:rPr>
          <w:rFonts w:hint="default" w:ascii="Arial" w:hAnsi="Arial" w:cs="Arial"/>
          <w:color w:val="auto"/>
          <w:sz w:val="24"/>
          <w:szCs w:val="24"/>
          <w:lang w:val="en-GB"/>
        </w:rPr>
      </w:pPr>
    </w:p>
    <w:p>
      <w:pPr>
        <w:pStyle w:val="2"/>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CONCLUSION</w:t>
      </w:r>
      <w:bookmarkEnd w:id="2"/>
      <w:r>
        <w:rPr>
          <w:rFonts w:hint="default" w:ascii="Arial" w:hAnsi="Arial" w:cs="Arial"/>
          <w:color w:val="auto"/>
          <w:sz w:val="24"/>
          <w:szCs w:val="24"/>
          <w:lang w:val="en-GB"/>
        </w:rPr>
        <w:t xml:space="preserve"> </w:t>
      </w:r>
    </w:p>
    <w:p>
      <w:pPr>
        <w:spacing w:line="360" w:lineRule="auto"/>
        <w:jc w:val="left"/>
        <w:rPr>
          <w:rFonts w:hint="default" w:ascii="Arial" w:hAnsi="Arial" w:cs="Arial" w:eastAsiaTheme="majorEastAsia"/>
          <w:b/>
          <w:bCs/>
          <w:color w:val="auto"/>
          <w:sz w:val="24"/>
          <w:szCs w:val="24"/>
          <w:lang w:val="en-GB"/>
        </w:rPr>
      </w:pPr>
      <w:r>
        <w:rPr>
          <w:rFonts w:hint="default" w:ascii="Arial" w:hAnsi="Arial" w:cs="Arial"/>
          <w:color w:val="auto"/>
          <w:sz w:val="24"/>
          <w:szCs w:val="24"/>
          <w:lang w:val="en-GB"/>
        </w:rPr>
        <w:t xml:space="preserve">From all the above analysis, it is clear that the multi-agency working is significantly working for enhancing the living of the people, safeguarding the individuals, children and their families. Further, multiagency working is the way through which the people are supported, protected and influenced in such a manner that helps to lead a great life by working and acknowledging their worth. This essay indicates that in the UK multiagency working has helped to reduce the poverty with the contribution of various social and other organisations and with the help of various policies and procedures like as this essay has covered the Metal capacity act, 2005, The Children Act 1989, Care act, 2014 and more. Further, this report has included various potential impacts of multiagency working positive and negative that potentially impacts the living of people in the society and safeguarding them the dangers in it. </w:t>
      </w:r>
    </w:p>
    <w:p>
      <w:pPr>
        <w:spacing w:line="360" w:lineRule="auto"/>
        <w:jc w:val="left"/>
        <w:rPr>
          <w:rFonts w:hint="default" w:ascii="Arial" w:hAnsi="Arial" w:cs="Arial"/>
          <w:color w:val="auto"/>
          <w:sz w:val="24"/>
          <w:szCs w:val="24"/>
          <w:lang w:val="en-GB"/>
        </w:rPr>
      </w:pPr>
      <w:bookmarkStart w:id="3" w:name="_Toc77802321"/>
      <w:r>
        <w:rPr>
          <w:rFonts w:hint="default" w:ascii="Arial" w:hAnsi="Arial" w:cs="Arial"/>
          <w:color w:val="auto"/>
          <w:sz w:val="24"/>
          <w:szCs w:val="24"/>
          <w:lang w:val="en-GB"/>
        </w:rPr>
        <w:br w:type="page"/>
      </w:r>
    </w:p>
    <w:p>
      <w:pPr>
        <w:pStyle w:val="2"/>
        <w:spacing w:line="360" w:lineRule="auto"/>
        <w:jc w:val="left"/>
        <w:rPr>
          <w:rFonts w:hint="default" w:ascii="Arial" w:hAnsi="Arial" w:cs="Arial"/>
          <w:color w:val="auto"/>
          <w:sz w:val="24"/>
          <w:szCs w:val="24"/>
          <w:lang w:val="en-GB"/>
        </w:rPr>
      </w:pPr>
      <w:r>
        <w:rPr>
          <w:rFonts w:hint="default" w:ascii="Arial" w:hAnsi="Arial" w:cs="Arial"/>
          <w:color w:val="auto"/>
          <w:sz w:val="24"/>
          <w:szCs w:val="24"/>
          <w:lang w:val="en-GB"/>
        </w:rPr>
        <w:t>REFERENCES</w:t>
      </w:r>
      <w:bookmarkEnd w:id="3"/>
      <w:r>
        <w:rPr>
          <w:rFonts w:hint="default" w:ascii="Arial" w:hAnsi="Arial" w:cs="Arial"/>
          <w:color w:val="auto"/>
          <w:sz w:val="24"/>
          <w:szCs w:val="24"/>
          <w:lang w:val="en-GB"/>
        </w:rPr>
        <w:t xml:space="preserve"> </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Barton, A. (2018). </w:t>
      </w:r>
      <w:r>
        <w:rPr>
          <w:rFonts w:hint="default" w:ascii="Arial" w:hAnsi="Arial" w:cs="Arial"/>
          <w:i/>
          <w:iCs/>
          <w:color w:val="auto"/>
          <w:sz w:val="24"/>
          <w:szCs w:val="24"/>
          <w:shd w:val="clear" w:color="auto" w:fill="FFFFFF"/>
        </w:rPr>
        <w:t>Managing fragmentation: an area child protection committee in a time of change</w:t>
      </w:r>
      <w:r>
        <w:rPr>
          <w:rFonts w:hint="default" w:ascii="Arial" w:hAnsi="Arial" w:cs="Arial"/>
          <w:color w:val="auto"/>
          <w:sz w:val="24"/>
          <w:szCs w:val="24"/>
          <w:shd w:val="clear" w:color="auto" w:fill="FFFFFF"/>
        </w:rPr>
        <w:t>. Routledge.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Cleaver, K., Maras, P., Oram, C., and McCallum, K. (2019). A review of UK based multi-agency approaches to early intervention in domestic abuse: Lessons to be learnt from existing evaluation studies. </w:t>
      </w:r>
      <w:r>
        <w:rPr>
          <w:rFonts w:hint="default" w:ascii="Arial" w:hAnsi="Arial" w:cs="Arial"/>
          <w:i/>
          <w:iCs/>
          <w:color w:val="auto"/>
          <w:sz w:val="24"/>
          <w:szCs w:val="24"/>
          <w:shd w:val="clear" w:color="auto" w:fill="FFFFFF"/>
        </w:rPr>
        <w:t>Aggression and violent behaviour</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46</w:t>
      </w:r>
      <w:r>
        <w:rPr>
          <w:rFonts w:hint="default" w:ascii="Arial" w:hAnsi="Arial" w:cs="Arial"/>
          <w:color w:val="auto"/>
          <w:sz w:val="24"/>
          <w:szCs w:val="24"/>
          <w:shd w:val="clear" w:color="auto" w:fill="FFFFFF"/>
        </w:rPr>
        <w:t>, 140-155.</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Cooper, A., and Bruin, C. (2017). Adult safeguarding and the Care Act (2014)–the impacts on partnerships and practice. </w:t>
      </w:r>
      <w:r>
        <w:rPr>
          <w:rFonts w:hint="default" w:ascii="Arial" w:hAnsi="Arial" w:cs="Arial"/>
          <w:i/>
          <w:iCs/>
          <w:color w:val="auto"/>
          <w:sz w:val="24"/>
          <w:szCs w:val="24"/>
          <w:shd w:val="clear" w:color="auto" w:fill="FFFFFF"/>
        </w:rPr>
        <w:t>The Journal of Adult Protection</w:t>
      </w:r>
      <w:r>
        <w:rPr>
          <w:rFonts w:hint="default" w:ascii="Arial" w:hAnsi="Arial" w:cs="Arial"/>
          <w:color w:val="auto"/>
          <w:sz w:val="24"/>
          <w:szCs w:val="24"/>
          <w:shd w:val="clear" w:color="auto" w:fill="FFFFFF"/>
        </w:rPr>
        <w:t>.</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Davies, P. (2018). Tackling domestic abuse locally: paradigms, ideologies and the political tensions of multi-agency working. </w:t>
      </w:r>
      <w:r>
        <w:rPr>
          <w:rFonts w:hint="default" w:ascii="Arial" w:hAnsi="Arial" w:cs="Arial"/>
          <w:i/>
          <w:iCs/>
          <w:color w:val="auto"/>
          <w:sz w:val="24"/>
          <w:szCs w:val="24"/>
          <w:shd w:val="clear" w:color="auto" w:fill="FFFFFF"/>
        </w:rPr>
        <w:t>Journal of gender-based violence</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2</w:t>
      </w:r>
      <w:r>
        <w:rPr>
          <w:rFonts w:hint="default" w:ascii="Arial" w:hAnsi="Arial" w:cs="Arial"/>
          <w:color w:val="auto"/>
          <w:sz w:val="24"/>
          <w:szCs w:val="24"/>
          <w:shd w:val="clear" w:color="auto" w:fill="FFFFFF"/>
        </w:rPr>
        <w:t>(3), 429-446.</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Driscoll, J., Lorek, A., Kinnear, E., and Hutchinson, A. (2020). Multi-agency safeguarding arrangements: overcoming the challenges of Covid-19 measures. </w:t>
      </w:r>
      <w:r>
        <w:rPr>
          <w:rFonts w:hint="default" w:ascii="Arial" w:hAnsi="Arial" w:cs="Arial"/>
          <w:i/>
          <w:iCs/>
          <w:color w:val="auto"/>
          <w:sz w:val="24"/>
          <w:szCs w:val="24"/>
          <w:shd w:val="clear" w:color="auto" w:fill="FFFFFF"/>
        </w:rPr>
        <w:t>Journal of Children's Services</w:t>
      </w:r>
      <w:r>
        <w:rPr>
          <w:rFonts w:hint="default" w:ascii="Arial" w:hAnsi="Arial" w:cs="Arial"/>
          <w:color w:val="auto"/>
          <w:sz w:val="24"/>
          <w:szCs w:val="24"/>
          <w:shd w:val="clear" w:color="auto" w:fill="FFFFFF"/>
        </w:rPr>
        <w:t>.</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Humphreys, C., Healey, L., Kirkwood, D., and Nicholson, D. (2018). Children living with domestic violence: a differential response through multi-agency collaboration. </w:t>
      </w:r>
      <w:r>
        <w:rPr>
          <w:rFonts w:hint="default" w:ascii="Arial" w:hAnsi="Arial" w:cs="Arial"/>
          <w:i/>
          <w:iCs/>
          <w:color w:val="auto"/>
          <w:sz w:val="24"/>
          <w:szCs w:val="24"/>
          <w:shd w:val="clear" w:color="auto" w:fill="FFFFFF"/>
        </w:rPr>
        <w:t>Australian social work</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71</w:t>
      </w:r>
      <w:r>
        <w:rPr>
          <w:rFonts w:hint="default" w:ascii="Arial" w:hAnsi="Arial" w:cs="Arial"/>
          <w:color w:val="auto"/>
          <w:sz w:val="24"/>
          <w:szCs w:val="24"/>
          <w:shd w:val="clear" w:color="auto" w:fill="FFFFFF"/>
        </w:rPr>
        <w:t>(2), 162-174.</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Juhila, K., and Dall, T. (Eds.). (2021). </w:t>
      </w:r>
      <w:r>
        <w:rPr>
          <w:rFonts w:hint="default" w:ascii="Arial" w:hAnsi="Arial" w:cs="Arial"/>
          <w:i/>
          <w:iCs/>
          <w:color w:val="auto"/>
          <w:sz w:val="24"/>
          <w:szCs w:val="24"/>
          <w:shd w:val="clear" w:color="auto" w:fill="FFFFFF"/>
        </w:rPr>
        <w:t>Interprofessional Collaboration and Service Users: Analysing Meetings in Social Welfare</w:t>
      </w:r>
      <w:r>
        <w:rPr>
          <w:rFonts w:hint="default" w:ascii="Arial" w:hAnsi="Arial" w:cs="Arial"/>
          <w:color w:val="auto"/>
          <w:sz w:val="24"/>
          <w:szCs w:val="24"/>
          <w:shd w:val="clear" w:color="auto" w:fill="FFFFFF"/>
        </w:rPr>
        <w:t>. Policy Press.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Kong, C., and Keene, A. R. (2018). </w:t>
      </w:r>
      <w:r>
        <w:rPr>
          <w:rFonts w:hint="default" w:ascii="Arial" w:hAnsi="Arial" w:cs="Arial"/>
          <w:i/>
          <w:iCs/>
          <w:color w:val="auto"/>
          <w:sz w:val="24"/>
          <w:szCs w:val="24"/>
          <w:shd w:val="clear" w:color="auto" w:fill="FFFFFF"/>
        </w:rPr>
        <w:t>Overcoming challenges in the Mental Capacity Act 2005: Practical guidance for working with complex issues</w:t>
      </w:r>
      <w:r>
        <w:rPr>
          <w:rFonts w:hint="default" w:ascii="Arial" w:hAnsi="Arial" w:cs="Arial"/>
          <w:color w:val="auto"/>
          <w:sz w:val="24"/>
          <w:szCs w:val="24"/>
          <w:shd w:val="clear" w:color="auto" w:fill="FFFFFF"/>
        </w:rPr>
        <w:t>. Jessica Kingsley Publishers. (Handbook)</w:t>
      </w:r>
    </w:p>
    <w:p>
      <w:pPr>
        <w:spacing w:line="360" w:lineRule="auto"/>
        <w:jc w:val="left"/>
        <w:rPr>
          <w:rFonts w:hint="default" w:ascii="Arial" w:hAnsi="Arial" w:cs="Arial"/>
          <w:color w:val="auto"/>
          <w:sz w:val="24"/>
          <w:szCs w:val="24"/>
          <w:lang w:val="en-GB"/>
        </w:rPr>
      </w:pPr>
      <w:r>
        <w:rPr>
          <w:rFonts w:hint="default" w:ascii="Arial" w:hAnsi="Arial" w:cs="Arial"/>
          <w:color w:val="auto"/>
          <w:sz w:val="24"/>
          <w:szCs w:val="24"/>
          <w:shd w:val="clear" w:color="auto" w:fill="FFFFFF"/>
        </w:rPr>
        <w:t>Määttä, M. (2019). Reforming youth transition support with the multi-agency approach?–A case study of the Finnish One-Stop Guidance Centers. </w:t>
      </w:r>
      <w:r>
        <w:rPr>
          <w:rFonts w:hint="default" w:ascii="Arial" w:hAnsi="Arial" w:cs="Arial"/>
          <w:i/>
          <w:iCs/>
          <w:color w:val="auto"/>
          <w:sz w:val="24"/>
          <w:szCs w:val="24"/>
          <w:shd w:val="clear" w:color="auto" w:fill="FFFFFF"/>
        </w:rPr>
        <w:t>Sociologija</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61</w:t>
      </w:r>
      <w:r>
        <w:rPr>
          <w:rFonts w:hint="default" w:ascii="Arial" w:hAnsi="Arial" w:cs="Arial"/>
          <w:color w:val="auto"/>
          <w:sz w:val="24"/>
          <w:szCs w:val="24"/>
          <w:shd w:val="clear" w:color="auto" w:fill="FFFFFF"/>
        </w:rPr>
        <w:t>(2), 277-291.</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Miller, J. J., Lianekhammy, J., Pope, N., Lee, J., and Grise-Owens, E. (2017). Self-care among healthcare social workers: An exploratory study. </w:t>
      </w:r>
      <w:r>
        <w:rPr>
          <w:rFonts w:hint="default" w:ascii="Arial" w:hAnsi="Arial" w:cs="Arial"/>
          <w:i/>
          <w:iCs/>
          <w:color w:val="auto"/>
          <w:sz w:val="24"/>
          <w:szCs w:val="24"/>
          <w:shd w:val="clear" w:color="auto" w:fill="FFFFFF"/>
        </w:rPr>
        <w:t>Social Work in Health Care</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56</w:t>
      </w:r>
      <w:r>
        <w:rPr>
          <w:rFonts w:hint="default" w:ascii="Arial" w:hAnsi="Arial" w:cs="Arial"/>
          <w:color w:val="auto"/>
          <w:sz w:val="24"/>
          <w:szCs w:val="24"/>
          <w:shd w:val="clear" w:color="auto" w:fill="FFFFFF"/>
        </w:rPr>
        <w:t>(10), 865-883.</w:t>
      </w:r>
    </w:p>
    <w:p>
      <w:pPr>
        <w:spacing w:line="360" w:lineRule="auto"/>
        <w:jc w:val="left"/>
        <w:rPr>
          <w:rFonts w:hint="default" w:ascii="Arial" w:hAnsi="Arial" w:cs="Arial"/>
          <w:color w:val="auto"/>
          <w:sz w:val="24"/>
          <w:szCs w:val="24"/>
          <w:shd w:val="clear" w:color="auto" w:fill="FFFFFF"/>
        </w:rPr>
      </w:pP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Moosa-Mitha, M. (2018). The Children Act, 1989: A New Partnership with Parents?. In </w:t>
      </w:r>
      <w:r>
        <w:rPr>
          <w:rFonts w:hint="default" w:ascii="Arial" w:hAnsi="Arial" w:cs="Arial"/>
          <w:i/>
          <w:iCs/>
          <w:color w:val="auto"/>
          <w:sz w:val="24"/>
          <w:szCs w:val="24"/>
          <w:shd w:val="clear" w:color="auto" w:fill="FFFFFF"/>
        </w:rPr>
        <w:t>Community Approaches to Child Welfare</w:t>
      </w:r>
      <w:r>
        <w:rPr>
          <w:rFonts w:hint="default" w:ascii="Arial" w:hAnsi="Arial" w:cs="Arial"/>
          <w:color w:val="auto"/>
          <w:sz w:val="24"/>
          <w:szCs w:val="24"/>
          <w:shd w:val="clear" w:color="auto" w:fill="FFFFFF"/>
        </w:rPr>
        <w:t> (pp. 95-116). Routledge.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Nelson, T., and Constantinidis, C. (2017). Sex and gender in family business succession research: A review and forward agenda from a social construction perspective. </w:t>
      </w:r>
      <w:r>
        <w:rPr>
          <w:rFonts w:hint="default" w:ascii="Arial" w:hAnsi="Arial" w:cs="Arial"/>
          <w:i/>
          <w:iCs/>
          <w:color w:val="auto"/>
          <w:sz w:val="24"/>
          <w:szCs w:val="24"/>
          <w:shd w:val="clear" w:color="auto" w:fill="FFFFFF"/>
        </w:rPr>
        <w:t>Family Business Review</w:t>
      </w:r>
      <w:r>
        <w:rPr>
          <w:rFonts w:hint="default" w:ascii="Arial" w:hAnsi="Arial" w:cs="Arial"/>
          <w:color w:val="auto"/>
          <w:sz w:val="24"/>
          <w:szCs w:val="24"/>
          <w:shd w:val="clear" w:color="auto" w:fill="FFFFFF"/>
        </w:rPr>
        <w:t>, </w:t>
      </w:r>
      <w:r>
        <w:rPr>
          <w:rFonts w:hint="default" w:ascii="Arial" w:hAnsi="Arial" w:cs="Arial"/>
          <w:i/>
          <w:iCs/>
          <w:color w:val="auto"/>
          <w:sz w:val="24"/>
          <w:szCs w:val="24"/>
          <w:shd w:val="clear" w:color="auto" w:fill="FFFFFF"/>
        </w:rPr>
        <w:t>30</w:t>
      </w:r>
      <w:r>
        <w:rPr>
          <w:rFonts w:hint="default" w:ascii="Arial" w:hAnsi="Arial" w:cs="Arial"/>
          <w:color w:val="auto"/>
          <w:sz w:val="24"/>
          <w:szCs w:val="24"/>
          <w:shd w:val="clear" w:color="auto" w:fill="FFFFFF"/>
        </w:rPr>
        <w:t>(3), 219-241.</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Piper, C. (2018). Historical constructions of childhood innocence: Removing sexuality. In </w:t>
      </w:r>
      <w:r>
        <w:rPr>
          <w:rFonts w:hint="default" w:ascii="Arial" w:hAnsi="Arial" w:cs="Arial"/>
          <w:i/>
          <w:iCs/>
          <w:color w:val="auto"/>
          <w:sz w:val="24"/>
          <w:szCs w:val="24"/>
          <w:shd w:val="clear" w:color="auto" w:fill="FFFFFF"/>
        </w:rPr>
        <w:t>Of innocence and autonomy</w:t>
      </w:r>
      <w:r>
        <w:rPr>
          <w:rFonts w:hint="default" w:ascii="Arial" w:hAnsi="Arial" w:cs="Arial"/>
          <w:color w:val="auto"/>
          <w:sz w:val="24"/>
          <w:szCs w:val="24"/>
          <w:shd w:val="clear" w:color="auto" w:fill="FFFFFF"/>
        </w:rPr>
        <w:t> (pp. 26-46). Routledge.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Prag, E. M., and Tendler, J. (2018). </w:t>
      </w:r>
      <w:r>
        <w:rPr>
          <w:rFonts w:hint="default" w:ascii="Arial" w:hAnsi="Arial" w:cs="Arial"/>
          <w:i/>
          <w:iCs/>
          <w:color w:val="auto"/>
          <w:sz w:val="24"/>
          <w:szCs w:val="24"/>
          <w:shd w:val="clear" w:color="auto" w:fill="FFFFFF"/>
        </w:rPr>
        <w:t>An Analysis of Philippe Ariès’s Centuries of Childhood: A Social History of Family Life</w:t>
      </w:r>
      <w:r>
        <w:rPr>
          <w:rFonts w:hint="default" w:ascii="Arial" w:hAnsi="Arial" w:cs="Arial"/>
          <w:color w:val="auto"/>
          <w:sz w:val="24"/>
          <w:szCs w:val="24"/>
          <w:shd w:val="clear" w:color="auto" w:fill="FFFFFF"/>
        </w:rPr>
        <w:t>. Macat Library.(Handbook)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Pycroft, A., and Gough, D. (Eds.). (2019). </w:t>
      </w:r>
      <w:r>
        <w:rPr>
          <w:rFonts w:hint="default" w:ascii="Arial" w:hAnsi="Arial" w:cs="Arial"/>
          <w:i/>
          <w:iCs/>
          <w:color w:val="auto"/>
          <w:sz w:val="24"/>
          <w:szCs w:val="24"/>
          <w:shd w:val="clear" w:color="auto" w:fill="FFFFFF"/>
        </w:rPr>
        <w:t>Multi-Agency Working in Criminal Justice 2e: Theory, Policy and Practice</w:t>
      </w:r>
      <w:r>
        <w:rPr>
          <w:rFonts w:hint="default" w:ascii="Arial" w:hAnsi="Arial" w:cs="Arial"/>
          <w:color w:val="auto"/>
          <w:sz w:val="24"/>
          <w:szCs w:val="24"/>
          <w:shd w:val="clear" w:color="auto" w:fill="FFFFFF"/>
        </w:rPr>
        <w:t>. Policy Press.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Pycroft, A., and Gough, D. (Eds.). (2019). </w:t>
      </w:r>
      <w:r>
        <w:rPr>
          <w:rFonts w:hint="default" w:ascii="Arial" w:hAnsi="Arial" w:cs="Arial"/>
          <w:i/>
          <w:iCs/>
          <w:color w:val="auto"/>
          <w:sz w:val="24"/>
          <w:szCs w:val="24"/>
          <w:shd w:val="clear" w:color="auto" w:fill="FFFFFF"/>
        </w:rPr>
        <w:t>Multi-Agency Working in Criminal Justice 2e: Theory, Policy and Practice</w:t>
      </w:r>
      <w:r>
        <w:rPr>
          <w:rFonts w:hint="default" w:ascii="Arial" w:hAnsi="Arial" w:cs="Arial"/>
          <w:color w:val="auto"/>
          <w:sz w:val="24"/>
          <w:szCs w:val="24"/>
          <w:shd w:val="clear" w:color="auto" w:fill="FFFFFF"/>
        </w:rPr>
        <w:t>. Policy Press.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Resetar, S., Ecola, L., Liang, R., Adamson, D., Forinash, C., Shoup, L., ... and Zabel, Z. (2020). Guidebook for Multi-Agency Collaboration for Sustainability and Resilience.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Solomon, M. (2018). An alternative to" slapping": multi-agency working with excluded young people exhibiting antisocial behaviour. In </w:t>
      </w:r>
      <w:r>
        <w:rPr>
          <w:rFonts w:hint="default" w:ascii="Arial" w:hAnsi="Arial" w:cs="Arial"/>
          <w:i/>
          <w:iCs/>
          <w:color w:val="auto"/>
          <w:sz w:val="24"/>
          <w:szCs w:val="24"/>
          <w:shd w:val="clear" w:color="auto" w:fill="FFFFFF"/>
        </w:rPr>
        <w:t>Containment in the Community</w:t>
      </w:r>
      <w:r>
        <w:rPr>
          <w:rFonts w:hint="default" w:ascii="Arial" w:hAnsi="Arial" w:cs="Arial"/>
          <w:color w:val="auto"/>
          <w:sz w:val="24"/>
          <w:szCs w:val="24"/>
          <w:shd w:val="clear" w:color="auto" w:fill="FFFFFF"/>
        </w:rPr>
        <w:t> (pp. 103-124). Routledge.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Thomson, L., Goethals, K., Nitschke, J., and Nedopil, N. (2018). Multi-agency working. In </w:t>
      </w:r>
      <w:r>
        <w:rPr>
          <w:rFonts w:hint="default" w:ascii="Arial" w:hAnsi="Arial" w:cs="Arial"/>
          <w:i/>
          <w:iCs/>
          <w:color w:val="auto"/>
          <w:sz w:val="24"/>
          <w:szCs w:val="24"/>
          <w:shd w:val="clear" w:color="auto" w:fill="FFFFFF"/>
        </w:rPr>
        <w:t>Forensic Psychiatry and Psychology in Europe</w:t>
      </w:r>
      <w:r>
        <w:rPr>
          <w:rFonts w:hint="default" w:ascii="Arial" w:hAnsi="Arial" w:cs="Arial"/>
          <w:color w:val="auto"/>
          <w:sz w:val="24"/>
          <w:szCs w:val="24"/>
          <w:shd w:val="clear" w:color="auto" w:fill="FFFFFF"/>
        </w:rPr>
        <w:t> (pp. 143-153). Springer, Cham. (Handbook)</w:t>
      </w: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Trotman, D., and Tucker, S. (2018). Multi-agency Working and Pastoral Care in Behavioural Management: Discourse, Policy, and Practice. In </w:t>
      </w:r>
      <w:r>
        <w:rPr>
          <w:rFonts w:hint="default" w:ascii="Arial" w:hAnsi="Arial" w:cs="Arial"/>
          <w:i/>
          <w:iCs/>
          <w:color w:val="auto"/>
          <w:sz w:val="24"/>
          <w:szCs w:val="24"/>
          <w:shd w:val="clear" w:color="auto" w:fill="FFFFFF"/>
        </w:rPr>
        <w:t>The Palgrave International Handbook of School Discipline, Surveillance, and Social Control</w:t>
      </w:r>
      <w:r>
        <w:rPr>
          <w:rFonts w:hint="default" w:ascii="Arial" w:hAnsi="Arial" w:cs="Arial"/>
          <w:color w:val="auto"/>
          <w:sz w:val="24"/>
          <w:szCs w:val="24"/>
          <w:shd w:val="clear" w:color="auto" w:fill="FFFFFF"/>
        </w:rPr>
        <w:t> (pp. 553-571). Palgrave Macmillan, Cham.</w:t>
      </w:r>
    </w:p>
    <w:p>
      <w:pPr>
        <w:spacing w:line="360" w:lineRule="auto"/>
        <w:jc w:val="left"/>
        <w:rPr>
          <w:rFonts w:hint="default" w:ascii="Arial" w:hAnsi="Arial" w:cs="Arial"/>
          <w:color w:val="auto"/>
          <w:sz w:val="24"/>
          <w:szCs w:val="24"/>
          <w:shd w:val="clear" w:color="auto" w:fill="FFFFFF"/>
        </w:rPr>
      </w:pPr>
    </w:p>
    <w:p>
      <w:pPr>
        <w:spacing w:line="360" w:lineRule="auto"/>
        <w:jc w:val="left"/>
        <w:rPr>
          <w:rFonts w:hint="default" w:ascii="Arial" w:hAnsi="Arial" w:cs="Arial"/>
          <w:color w:val="auto"/>
          <w:sz w:val="24"/>
          <w:szCs w:val="24"/>
          <w:shd w:val="clear" w:color="auto" w:fill="FFFFFF"/>
        </w:rPr>
      </w:pPr>
      <w:r>
        <w:rPr>
          <w:rFonts w:hint="default" w:ascii="Arial" w:hAnsi="Arial" w:cs="Arial"/>
          <w:color w:val="auto"/>
          <w:sz w:val="24"/>
          <w:szCs w:val="24"/>
          <w:shd w:val="clear" w:color="auto" w:fill="FFFFFF"/>
        </w:rPr>
        <w:t>Wydall, S., and Freeman, E. (2020). Older People and Domestic Violence and Abuse. In </w:t>
      </w:r>
      <w:r>
        <w:rPr>
          <w:rFonts w:hint="default" w:ascii="Arial" w:hAnsi="Arial" w:cs="Arial"/>
          <w:i/>
          <w:iCs/>
          <w:color w:val="auto"/>
          <w:sz w:val="24"/>
          <w:szCs w:val="24"/>
          <w:shd w:val="clear" w:color="auto" w:fill="FFFFFF"/>
        </w:rPr>
        <w:t>Domestic Violence in Health Contexts: A Guide for Healthcare Professions</w:t>
      </w:r>
      <w:r>
        <w:rPr>
          <w:rFonts w:hint="default" w:ascii="Arial" w:hAnsi="Arial" w:cs="Arial"/>
          <w:color w:val="auto"/>
          <w:sz w:val="24"/>
          <w:szCs w:val="24"/>
          <w:shd w:val="clear" w:color="auto" w:fill="FFFFFF"/>
        </w:rPr>
        <w:t> (pp. 89-107). Springer, Cham. (Handbook)</w:t>
      </w:r>
    </w:p>
    <w:p>
      <w:pPr>
        <w:spacing w:line="360" w:lineRule="auto"/>
        <w:jc w:val="left"/>
        <w:rPr>
          <w:rFonts w:hint="default" w:ascii="Arial" w:hAnsi="Arial" w:cs="Arial"/>
          <w:color w:val="auto"/>
          <w:sz w:val="24"/>
          <w:szCs w:val="24"/>
          <w:lang w:val="en-GB"/>
        </w:rPr>
      </w:pPr>
    </w:p>
    <w:sectPr>
      <w:footerReference r:id="rId5" w:type="default"/>
      <w:pgSz w:w="12240" w:h="15840"/>
      <w:pgMar w:top="1440" w:right="1440" w:bottom="1440" w:left="1440" w:header="708" w:footer="708" w:gutter="0"/>
      <w:cols w:space="708" w:num="1"/>
      <w:docGrid w:linePitch="360"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Cambria">
    <w:panose1 w:val="02040503050406030204"/>
    <w:charset w:val="00"/>
    <w:family w:val="roman"/>
    <w:pitch w:val="default"/>
    <w:sig w:usb0="E00006FF" w:usb1="420024FF" w:usb2="02000000" w:usb3="00000000" w:csb0="2000019F" w:csb1="00000000"/>
  </w:font>
  <w:font w:name="Tahoma">
    <w:panose1 w:val="020B0604030504040204"/>
    <w:charset w:val="00"/>
    <w:family w:val="swiss"/>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271591611"/>
      <w:docPartObj>
        <w:docPartGallery w:val="autotext"/>
      </w:docPartObj>
    </w:sdtPr>
    <w:sdtContent>
      <w:p>
        <w:pPr>
          <w:pStyle w:val="8"/>
          <w:jc w:val="right"/>
        </w:pPr>
        <w:r>
          <w:fldChar w:fldCharType="begin"/>
        </w:r>
        <w:r>
          <w:instrText xml:space="preserve"> PAGE   \* MERGEFORMAT </w:instrText>
        </w:r>
        <w:r>
          <w:fldChar w:fldCharType="separate"/>
        </w:r>
        <w:r>
          <w:t>1</w:t>
        </w:r>
        <w:r>
          <w:fldChar w:fldCharType="end"/>
        </w:r>
      </w:p>
    </w:sdtContent>
  </w:sdt>
  <w:p>
    <w:pPr>
      <w:pStyle w:val="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line="240" w:lineRule="auto"/>
      </w:pPr>
      <w:r>
        <w:separator/>
      </w:r>
    </w:p>
  </w:footnote>
  <w:footnote w:type="continuationSeparator" w:id="1">
    <w:p>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2B5"/>
    <w:rsid w:val="00006069"/>
    <w:rsid w:val="00010BE4"/>
    <w:rsid w:val="000276C7"/>
    <w:rsid w:val="00041111"/>
    <w:rsid w:val="000772E8"/>
    <w:rsid w:val="000A03F4"/>
    <w:rsid w:val="000C1AD0"/>
    <w:rsid w:val="000C35EF"/>
    <w:rsid w:val="000E6C1B"/>
    <w:rsid w:val="000E7976"/>
    <w:rsid w:val="001076EE"/>
    <w:rsid w:val="001240A5"/>
    <w:rsid w:val="00127B77"/>
    <w:rsid w:val="00146C26"/>
    <w:rsid w:val="0015273C"/>
    <w:rsid w:val="00184CE6"/>
    <w:rsid w:val="001931C1"/>
    <w:rsid w:val="001D14C7"/>
    <w:rsid w:val="00201289"/>
    <w:rsid w:val="002501DF"/>
    <w:rsid w:val="002C2877"/>
    <w:rsid w:val="002D51EF"/>
    <w:rsid w:val="002F0DC7"/>
    <w:rsid w:val="002F62AA"/>
    <w:rsid w:val="00336067"/>
    <w:rsid w:val="0034051E"/>
    <w:rsid w:val="00360299"/>
    <w:rsid w:val="00375A10"/>
    <w:rsid w:val="003A2214"/>
    <w:rsid w:val="003B05B4"/>
    <w:rsid w:val="003C4BE1"/>
    <w:rsid w:val="003D0DBB"/>
    <w:rsid w:val="003E1F36"/>
    <w:rsid w:val="00411C19"/>
    <w:rsid w:val="00420732"/>
    <w:rsid w:val="00427B25"/>
    <w:rsid w:val="004303E2"/>
    <w:rsid w:val="00467092"/>
    <w:rsid w:val="00482E06"/>
    <w:rsid w:val="00495F88"/>
    <w:rsid w:val="004B5AD9"/>
    <w:rsid w:val="004C2A8B"/>
    <w:rsid w:val="004C3A6F"/>
    <w:rsid w:val="004F4CA1"/>
    <w:rsid w:val="004F6D9A"/>
    <w:rsid w:val="005030B4"/>
    <w:rsid w:val="0050661A"/>
    <w:rsid w:val="00514969"/>
    <w:rsid w:val="0052082C"/>
    <w:rsid w:val="00532ECF"/>
    <w:rsid w:val="005635CA"/>
    <w:rsid w:val="005935A6"/>
    <w:rsid w:val="005D67B6"/>
    <w:rsid w:val="006121F1"/>
    <w:rsid w:val="00640965"/>
    <w:rsid w:val="006602CB"/>
    <w:rsid w:val="006768DB"/>
    <w:rsid w:val="006852B5"/>
    <w:rsid w:val="006C61A5"/>
    <w:rsid w:val="006E3626"/>
    <w:rsid w:val="006F0495"/>
    <w:rsid w:val="007354D3"/>
    <w:rsid w:val="00752750"/>
    <w:rsid w:val="0076129C"/>
    <w:rsid w:val="007C2C76"/>
    <w:rsid w:val="007F4183"/>
    <w:rsid w:val="0080364B"/>
    <w:rsid w:val="008054C9"/>
    <w:rsid w:val="00855C45"/>
    <w:rsid w:val="00860DB6"/>
    <w:rsid w:val="008B172A"/>
    <w:rsid w:val="008E2E03"/>
    <w:rsid w:val="008F08BA"/>
    <w:rsid w:val="008F1597"/>
    <w:rsid w:val="00910D98"/>
    <w:rsid w:val="009213C8"/>
    <w:rsid w:val="0092516D"/>
    <w:rsid w:val="00946FEB"/>
    <w:rsid w:val="009608A8"/>
    <w:rsid w:val="00962A1A"/>
    <w:rsid w:val="00963004"/>
    <w:rsid w:val="00967894"/>
    <w:rsid w:val="00990906"/>
    <w:rsid w:val="009A6E70"/>
    <w:rsid w:val="009F4809"/>
    <w:rsid w:val="00A434B2"/>
    <w:rsid w:val="00A7309A"/>
    <w:rsid w:val="00AA452B"/>
    <w:rsid w:val="00AE220A"/>
    <w:rsid w:val="00AF47BB"/>
    <w:rsid w:val="00B11DC0"/>
    <w:rsid w:val="00B409DA"/>
    <w:rsid w:val="00B71CCB"/>
    <w:rsid w:val="00BA6278"/>
    <w:rsid w:val="00BB064D"/>
    <w:rsid w:val="00BC427A"/>
    <w:rsid w:val="00BD4C07"/>
    <w:rsid w:val="00BD5933"/>
    <w:rsid w:val="00C048C6"/>
    <w:rsid w:val="00C103C6"/>
    <w:rsid w:val="00C3767A"/>
    <w:rsid w:val="00C70CCE"/>
    <w:rsid w:val="00C72479"/>
    <w:rsid w:val="00C97ED7"/>
    <w:rsid w:val="00CB3B82"/>
    <w:rsid w:val="00CB5523"/>
    <w:rsid w:val="00CC23A9"/>
    <w:rsid w:val="00D26ED5"/>
    <w:rsid w:val="00D324D0"/>
    <w:rsid w:val="00D32AC3"/>
    <w:rsid w:val="00D37187"/>
    <w:rsid w:val="00D40C1A"/>
    <w:rsid w:val="00D74BB5"/>
    <w:rsid w:val="00D8510B"/>
    <w:rsid w:val="00D95E90"/>
    <w:rsid w:val="00DC670B"/>
    <w:rsid w:val="00DD05FD"/>
    <w:rsid w:val="00DE1A46"/>
    <w:rsid w:val="00E31CDA"/>
    <w:rsid w:val="00E341C2"/>
    <w:rsid w:val="00E61FFD"/>
    <w:rsid w:val="00E834A8"/>
    <w:rsid w:val="00EA1550"/>
    <w:rsid w:val="00EA2ABC"/>
    <w:rsid w:val="00F07FE8"/>
    <w:rsid w:val="00F121E9"/>
    <w:rsid w:val="00F3408D"/>
    <w:rsid w:val="00F44994"/>
    <w:rsid w:val="00F457C4"/>
    <w:rsid w:val="00F652BE"/>
    <w:rsid w:val="00F72A89"/>
    <w:rsid w:val="00FC2EB0"/>
    <w:rsid w:val="00FD29D4"/>
    <w:rsid w:val="011A79AB"/>
    <w:rsid w:val="47DB5E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0" w:semiHidden="0" w:name="header"/>
    <w:lsdException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HAnsi" w:cstheme="minorBidi"/>
      <w:sz w:val="22"/>
      <w:szCs w:val="22"/>
      <w:lang w:val="en-US" w:eastAsia="en-US" w:bidi="ar-SA"/>
    </w:rPr>
  </w:style>
  <w:style w:type="paragraph" w:styleId="2">
    <w:name w:val="heading 1"/>
    <w:basedOn w:val="1"/>
    <w:next w:val="1"/>
    <w:link w:val="13"/>
    <w:qFormat/>
    <w:uiPriority w:val="9"/>
    <w:pPr>
      <w:keepNext/>
      <w:keepLines/>
      <w:spacing w:before="480" w:after="0"/>
      <w:outlineLvl w:val="0"/>
    </w:pPr>
    <w:rPr>
      <w:rFonts w:asciiTheme="majorHAnsi" w:hAnsiTheme="majorHAnsi" w:eastAsiaTheme="majorEastAsia" w:cstheme="majorBidi"/>
      <w:b/>
      <w:bCs/>
      <w:color w:val="376092" w:themeColor="accent1" w:themeShade="BF"/>
      <w:sz w:val="28"/>
      <w:szCs w:val="28"/>
    </w:rPr>
  </w:style>
  <w:style w:type="paragraph" w:styleId="3">
    <w:name w:val="heading 2"/>
    <w:basedOn w:val="1"/>
    <w:next w:val="1"/>
    <w:link w:val="19"/>
    <w:semiHidden/>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14:textFill>
        <w14:solidFill>
          <w14:schemeClr w14:val="accent1"/>
        </w14:solidFill>
      </w14:textFill>
    </w:rPr>
  </w:style>
  <w:style w:type="paragraph" w:styleId="4">
    <w:name w:val="heading 4"/>
    <w:basedOn w:val="1"/>
    <w:next w:val="1"/>
    <w:link w:val="20"/>
    <w:semiHidden/>
    <w:unhideWhenUsed/>
    <w:qFormat/>
    <w:uiPriority w:val="9"/>
    <w:pPr>
      <w:keepNext/>
      <w:keepLines/>
      <w:spacing w:before="200" w:after="0"/>
      <w:outlineLvl w:val="3"/>
    </w:pPr>
    <w:rPr>
      <w:rFonts w:asciiTheme="majorHAnsi" w:hAnsiTheme="majorHAnsi" w:eastAsiaTheme="majorEastAsia" w:cstheme="majorBidi"/>
      <w:b/>
      <w:bCs/>
      <w:i/>
      <w:iCs/>
      <w:color w:val="4F81BD" w:themeColor="accent1"/>
      <w14:textFill>
        <w14:solidFill>
          <w14:schemeClr w14:val="accent1"/>
        </w14:solidFill>
      </w14:textFill>
    </w:rPr>
  </w:style>
  <w:style w:type="character" w:default="1" w:styleId="5">
    <w:name w:val="Default Paragraph Font"/>
    <w:semiHidden/>
    <w:unhideWhenUsed/>
    <w:uiPriority w:val="1"/>
  </w:style>
  <w:style w:type="table" w:default="1" w:styleId="6">
    <w:name w:val="Normal Table"/>
    <w:semiHidden/>
    <w:unhideWhenUsed/>
    <w:uiPriority w:val="99"/>
    <w:tblPr>
      <w:tblCellMar>
        <w:top w:w="0" w:type="dxa"/>
        <w:left w:w="108" w:type="dxa"/>
        <w:bottom w:w="0" w:type="dxa"/>
        <w:right w:w="108" w:type="dxa"/>
      </w:tblCellMar>
    </w:tblPr>
  </w:style>
  <w:style w:type="paragraph" w:styleId="7">
    <w:name w:val="Balloon Text"/>
    <w:basedOn w:val="1"/>
    <w:link w:val="15"/>
    <w:semiHidden/>
    <w:unhideWhenUsed/>
    <w:uiPriority w:val="99"/>
    <w:pPr>
      <w:spacing w:after="0" w:line="240" w:lineRule="auto"/>
    </w:pPr>
    <w:rPr>
      <w:rFonts w:ascii="Tahoma" w:hAnsi="Tahoma" w:cs="Tahoma"/>
      <w:sz w:val="16"/>
      <w:szCs w:val="16"/>
    </w:rPr>
  </w:style>
  <w:style w:type="paragraph" w:styleId="8">
    <w:name w:val="footer"/>
    <w:basedOn w:val="1"/>
    <w:link w:val="17"/>
    <w:unhideWhenUsed/>
    <w:uiPriority w:val="99"/>
    <w:pPr>
      <w:tabs>
        <w:tab w:val="center" w:pos="4680"/>
        <w:tab w:val="right" w:pos="9360"/>
      </w:tabs>
      <w:spacing w:after="0" w:line="240" w:lineRule="auto"/>
    </w:pPr>
  </w:style>
  <w:style w:type="paragraph" w:styleId="9">
    <w:name w:val="header"/>
    <w:basedOn w:val="1"/>
    <w:link w:val="16"/>
    <w:unhideWhenUsed/>
    <w:uiPriority w:val="0"/>
    <w:pPr>
      <w:tabs>
        <w:tab w:val="center" w:pos="4680"/>
        <w:tab w:val="right" w:pos="9360"/>
      </w:tabs>
      <w:spacing w:after="0" w:line="240" w:lineRule="auto"/>
    </w:pPr>
  </w:style>
  <w:style w:type="character" w:styleId="10">
    <w:name w:val="Hyperlink"/>
    <w:basedOn w:val="5"/>
    <w:unhideWhenUsed/>
    <w:uiPriority w:val="99"/>
    <w:rPr>
      <w:color w:val="0000FF" w:themeColor="hyperlink"/>
      <w:u w:val="single"/>
      <w14:textFill>
        <w14:solidFill>
          <w14:schemeClr w14:val="hlink"/>
        </w14:solidFill>
      </w14:textFill>
    </w:rPr>
  </w:style>
  <w:style w:type="paragraph" w:styleId="11">
    <w:name w:val="toc 1"/>
    <w:basedOn w:val="1"/>
    <w:next w:val="1"/>
    <w:unhideWhenUsed/>
    <w:uiPriority w:val="39"/>
    <w:pPr>
      <w:spacing w:after="100"/>
    </w:pPr>
  </w:style>
  <w:style w:type="paragraph" w:styleId="12">
    <w:name w:val="toc 2"/>
    <w:basedOn w:val="1"/>
    <w:next w:val="1"/>
    <w:unhideWhenUsed/>
    <w:uiPriority w:val="39"/>
    <w:pPr>
      <w:spacing w:after="100"/>
      <w:ind w:left="220"/>
    </w:pPr>
  </w:style>
  <w:style w:type="character" w:customStyle="1" w:styleId="13">
    <w:name w:val="Heading 1 Char"/>
    <w:basedOn w:val="5"/>
    <w:link w:val="2"/>
    <w:qFormat/>
    <w:uiPriority w:val="9"/>
    <w:rPr>
      <w:rFonts w:asciiTheme="majorHAnsi" w:hAnsiTheme="majorHAnsi" w:eastAsiaTheme="majorEastAsia" w:cstheme="majorBidi"/>
      <w:b/>
      <w:bCs/>
      <w:color w:val="376092" w:themeColor="accent1" w:themeShade="BF"/>
      <w:sz w:val="28"/>
      <w:szCs w:val="28"/>
    </w:rPr>
  </w:style>
  <w:style w:type="paragraph" w:customStyle="1" w:styleId="14">
    <w:name w:val="TOC Heading"/>
    <w:basedOn w:val="2"/>
    <w:next w:val="1"/>
    <w:semiHidden/>
    <w:unhideWhenUsed/>
    <w:qFormat/>
    <w:uiPriority w:val="39"/>
    <w:pPr>
      <w:outlineLvl w:val="9"/>
    </w:pPr>
  </w:style>
  <w:style w:type="character" w:customStyle="1" w:styleId="15">
    <w:name w:val="Balloon Text Char"/>
    <w:basedOn w:val="5"/>
    <w:link w:val="7"/>
    <w:semiHidden/>
    <w:uiPriority w:val="99"/>
    <w:rPr>
      <w:rFonts w:ascii="Tahoma" w:hAnsi="Tahoma" w:cs="Tahoma"/>
      <w:sz w:val="16"/>
      <w:szCs w:val="16"/>
    </w:rPr>
  </w:style>
  <w:style w:type="character" w:customStyle="1" w:styleId="16">
    <w:name w:val="Header Char"/>
    <w:basedOn w:val="5"/>
    <w:link w:val="9"/>
    <w:uiPriority w:val="0"/>
  </w:style>
  <w:style w:type="character" w:customStyle="1" w:styleId="17">
    <w:name w:val="Footer Char"/>
    <w:basedOn w:val="5"/>
    <w:link w:val="8"/>
    <w:uiPriority w:val="99"/>
  </w:style>
  <w:style w:type="paragraph" w:styleId="18">
    <w:name w:val="List Paragraph"/>
    <w:basedOn w:val="1"/>
    <w:qFormat/>
    <w:uiPriority w:val="34"/>
    <w:pPr>
      <w:spacing w:after="0" w:line="240" w:lineRule="auto"/>
      <w:ind w:left="720"/>
      <w:contextualSpacing/>
    </w:pPr>
    <w:rPr>
      <w:rFonts w:ascii="Times New Roman" w:hAnsi="Times New Roman" w:eastAsia="Times New Roman" w:cs="Times New Roman"/>
      <w:sz w:val="20"/>
      <w:szCs w:val="20"/>
      <w:lang w:val="en-GB" w:eastAsia="en-GB"/>
    </w:rPr>
  </w:style>
  <w:style w:type="character" w:customStyle="1" w:styleId="19">
    <w:name w:val="Heading 2 Char"/>
    <w:basedOn w:val="5"/>
    <w:link w:val="3"/>
    <w:semiHidden/>
    <w:uiPriority w:val="9"/>
    <w:rPr>
      <w:rFonts w:asciiTheme="majorHAnsi" w:hAnsiTheme="majorHAnsi" w:eastAsiaTheme="majorEastAsia" w:cstheme="majorBidi"/>
      <w:b/>
      <w:bCs/>
      <w:color w:val="4F81BD" w:themeColor="accent1"/>
      <w:sz w:val="26"/>
      <w:szCs w:val="26"/>
      <w14:textFill>
        <w14:solidFill>
          <w14:schemeClr w14:val="accent1"/>
        </w14:solidFill>
      </w14:textFill>
    </w:rPr>
  </w:style>
  <w:style w:type="character" w:customStyle="1" w:styleId="20">
    <w:name w:val="Heading 4 Char"/>
    <w:basedOn w:val="5"/>
    <w:link w:val="4"/>
    <w:semiHidden/>
    <w:uiPriority w:val="9"/>
    <w:rPr>
      <w:rFonts w:asciiTheme="majorHAnsi" w:hAnsiTheme="majorHAnsi" w:eastAsiaTheme="majorEastAsia" w:cstheme="majorBidi"/>
      <w:b/>
      <w:bCs/>
      <w:i/>
      <w:iCs/>
      <w:color w:val="4F81BD" w:themeColor="accent1"/>
      <w14:textFill>
        <w14:solidFill>
          <w14:schemeClr w14:val="accent1"/>
        </w14:solidFill>
      </w14:textFill>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2.xml"/><Relationship Id="rId7"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06FD15B7-A8CD-450C-88A4-1DFB66AB4C44}">
  <ds:schemaRefs/>
</ds:datastoreItem>
</file>

<file path=docProps/app.xml><?xml version="1.0" encoding="utf-8"?>
<Properties xmlns="http://schemas.openxmlformats.org/officeDocument/2006/extended-properties" xmlns:vt="http://schemas.openxmlformats.org/officeDocument/2006/docPropsVTypes">
  <Template>Normal</Template>
  <Pages>11</Pages>
  <Words>3175</Words>
  <Characters>18100</Characters>
  <Lines>150</Lines>
  <Paragraphs>42</Paragraphs>
  <TotalTime>2</TotalTime>
  <ScaleCrop>false</ScaleCrop>
  <LinksUpToDate>false</LinksUpToDate>
  <CharactersWithSpaces>21233</CharactersWithSpaces>
  <Application>WPS Office_11.2.0.10094_F1E327BC-269C-435d-A152-05C5408002CA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2021-07-23T06:42:00Z</dcterms:created>
  <dc:creator>Windows User</dc:creator>
  <cp:lastModifiedBy>simon</cp:lastModifiedBy>
  <dcterms:modified xsi:type="dcterms:W3CDTF">2021-08-03T10:52:43Z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1033-11.2.0.10094</vt:lpwstr>
  </property>
</Properties>
</file>