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78CEE" w14:textId="77777777" w:rsidR="00E91FA3" w:rsidRDefault="00E91FA3">
      <w:pPr>
        <w:spacing w:line="360" w:lineRule="auto"/>
        <w:jc w:val="center"/>
        <w:rPr>
          <w:rFonts w:ascii="Times New Roman" w:eastAsia="Times New Roman" w:hAnsi="Times New Roman" w:cs="Times New Roman"/>
          <w:b/>
          <w:sz w:val="32"/>
          <w:szCs w:val="32"/>
        </w:rPr>
      </w:pPr>
    </w:p>
    <w:p w14:paraId="10465EBB" w14:textId="77777777" w:rsidR="00E91FA3" w:rsidRDefault="00E91FA3">
      <w:pPr>
        <w:spacing w:line="360" w:lineRule="auto"/>
        <w:jc w:val="center"/>
        <w:rPr>
          <w:rFonts w:ascii="Times New Roman" w:eastAsia="Times New Roman" w:hAnsi="Times New Roman" w:cs="Times New Roman"/>
          <w:b/>
          <w:sz w:val="32"/>
          <w:szCs w:val="32"/>
        </w:rPr>
      </w:pPr>
    </w:p>
    <w:p w14:paraId="76ACDE5B" w14:textId="77777777" w:rsidR="00E91FA3" w:rsidRDefault="00E91FA3">
      <w:pPr>
        <w:spacing w:line="360" w:lineRule="auto"/>
        <w:jc w:val="center"/>
        <w:rPr>
          <w:rFonts w:ascii="Times New Roman" w:eastAsia="Times New Roman" w:hAnsi="Times New Roman" w:cs="Times New Roman"/>
          <w:b/>
          <w:sz w:val="32"/>
          <w:szCs w:val="32"/>
        </w:rPr>
      </w:pPr>
    </w:p>
    <w:p w14:paraId="60DB52A0" w14:textId="77777777" w:rsidR="00E91FA3" w:rsidRDefault="00E91FA3">
      <w:pPr>
        <w:spacing w:line="360" w:lineRule="auto"/>
        <w:jc w:val="center"/>
        <w:rPr>
          <w:rFonts w:ascii="Times New Roman" w:eastAsia="Times New Roman" w:hAnsi="Times New Roman" w:cs="Times New Roman"/>
          <w:b/>
          <w:sz w:val="32"/>
          <w:szCs w:val="32"/>
        </w:rPr>
      </w:pPr>
    </w:p>
    <w:p w14:paraId="58FDB0D8" w14:textId="77777777" w:rsidR="00E91FA3" w:rsidRDefault="00E91FA3">
      <w:pPr>
        <w:spacing w:line="360" w:lineRule="auto"/>
        <w:jc w:val="center"/>
        <w:rPr>
          <w:rFonts w:ascii="Times New Roman" w:eastAsia="Times New Roman" w:hAnsi="Times New Roman" w:cs="Times New Roman"/>
          <w:b/>
          <w:sz w:val="32"/>
          <w:szCs w:val="32"/>
        </w:rPr>
      </w:pPr>
    </w:p>
    <w:p w14:paraId="17763DD1" w14:textId="77777777" w:rsidR="00E91FA3" w:rsidRDefault="00E91FA3">
      <w:pPr>
        <w:spacing w:line="360" w:lineRule="auto"/>
        <w:jc w:val="center"/>
        <w:rPr>
          <w:rFonts w:ascii="Times New Roman" w:eastAsia="Times New Roman" w:hAnsi="Times New Roman" w:cs="Times New Roman"/>
          <w:b/>
          <w:sz w:val="32"/>
          <w:szCs w:val="32"/>
        </w:rPr>
      </w:pPr>
    </w:p>
    <w:p w14:paraId="2E2E2B42" w14:textId="77777777" w:rsidR="00E91FA3" w:rsidRDefault="00E91FA3">
      <w:pPr>
        <w:spacing w:line="360" w:lineRule="auto"/>
        <w:jc w:val="center"/>
        <w:rPr>
          <w:rFonts w:ascii="Times New Roman" w:eastAsia="Times New Roman" w:hAnsi="Times New Roman" w:cs="Times New Roman"/>
          <w:b/>
          <w:sz w:val="32"/>
          <w:szCs w:val="32"/>
        </w:rPr>
      </w:pPr>
    </w:p>
    <w:p w14:paraId="3C3E3C86" w14:textId="77777777" w:rsidR="00E91FA3" w:rsidRDefault="00E91FA3">
      <w:pPr>
        <w:spacing w:line="360" w:lineRule="auto"/>
        <w:jc w:val="center"/>
        <w:rPr>
          <w:rFonts w:ascii="Times New Roman" w:eastAsia="Times New Roman" w:hAnsi="Times New Roman" w:cs="Times New Roman"/>
          <w:b/>
          <w:sz w:val="32"/>
          <w:szCs w:val="32"/>
        </w:rPr>
      </w:pPr>
    </w:p>
    <w:p w14:paraId="3AA4A756" w14:textId="77777777" w:rsidR="00E91FA3" w:rsidRDefault="00E91FA3">
      <w:pPr>
        <w:spacing w:line="360" w:lineRule="auto"/>
        <w:jc w:val="center"/>
        <w:rPr>
          <w:rFonts w:ascii="Times New Roman" w:eastAsia="Times New Roman" w:hAnsi="Times New Roman" w:cs="Times New Roman"/>
          <w:b/>
          <w:sz w:val="32"/>
          <w:szCs w:val="32"/>
        </w:rPr>
      </w:pPr>
    </w:p>
    <w:p w14:paraId="59B47318" w14:textId="77777777" w:rsidR="00F420EB" w:rsidRDefault="004D570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ACCOUNTING FUNDAMENTALS</w:t>
      </w:r>
    </w:p>
    <w:p w14:paraId="7AB04C49" w14:textId="77777777" w:rsidR="00F420EB" w:rsidRDefault="004D5703">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lang w:val="en-GB" w:eastAsia="en-US"/>
        </w:rPr>
        <w:id w:val="1343821400"/>
        <w:docPartObj>
          <w:docPartGallery w:val="Table of Contents"/>
          <w:docPartUnique/>
        </w:docPartObj>
      </w:sdtPr>
      <w:sdtEndPr>
        <w:rPr>
          <w:noProof/>
        </w:rPr>
      </w:sdtEndPr>
      <w:sdtContent>
        <w:p w14:paraId="586B944A" w14:textId="77777777" w:rsidR="00F420EB" w:rsidRPr="00F420EB" w:rsidRDefault="004D5703" w:rsidP="00F420EB">
          <w:pPr>
            <w:pStyle w:val="TOCHeading"/>
            <w:spacing w:line="360" w:lineRule="auto"/>
            <w:jc w:val="center"/>
            <w:rPr>
              <w:rFonts w:ascii="Times New Roman" w:hAnsi="Times New Roman" w:cs="Times New Roman"/>
              <w:color w:val="000000" w:themeColor="text1"/>
              <w:sz w:val="24"/>
              <w:szCs w:val="24"/>
            </w:rPr>
          </w:pPr>
          <w:r w:rsidRPr="00F420EB">
            <w:rPr>
              <w:rFonts w:ascii="Times New Roman" w:hAnsi="Times New Roman" w:cs="Times New Roman"/>
              <w:color w:val="000000" w:themeColor="text1"/>
              <w:sz w:val="24"/>
              <w:szCs w:val="24"/>
            </w:rPr>
            <w:t>Table of Contents</w:t>
          </w:r>
        </w:p>
        <w:p w14:paraId="3224B9D1" w14:textId="77777777" w:rsidR="006912EF" w:rsidRPr="006912EF" w:rsidRDefault="00424C61" w:rsidP="006912EF">
          <w:pPr>
            <w:pStyle w:val="TOC1"/>
            <w:tabs>
              <w:tab w:val="right" w:leader="dot" w:pos="9350"/>
            </w:tabs>
            <w:spacing w:line="360" w:lineRule="auto"/>
            <w:rPr>
              <w:rFonts w:ascii="Times New Roman" w:eastAsiaTheme="minorEastAsia" w:hAnsi="Times New Roman" w:cs="Times New Roman"/>
              <w:noProof/>
              <w:sz w:val="24"/>
              <w:szCs w:val="24"/>
              <w:lang w:val="en-US"/>
            </w:rPr>
          </w:pPr>
          <w:r w:rsidRPr="006912EF">
            <w:rPr>
              <w:rFonts w:ascii="Times New Roman" w:hAnsi="Times New Roman" w:cs="Times New Roman"/>
              <w:color w:val="000000" w:themeColor="text1"/>
              <w:sz w:val="24"/>
              <w:szCs w:val="24"/>
            </w:rPr>
            <w:fldChar w:fldCharType="begin"/>
          </w:r>
          <w:r w:rsidR="004D5703" w:rsidRPr="006912EF">
            <w:rPr>
              <w:rFonts w:ascii="Times New Roman" w:hAnsi="Times New Roman" w:cs="Times New Roman"/>
              <w:color w:val="000000" w:themeColor="text1"/>
              <w:sz w:val="24"/>
              <w:szCs w:val="24"/>
            </w:rPr>
            <w:instrText xml:space="preserve"> TOC \o "1-3" \h \z \u </w:instrText>
          </w:r>
          <w:r w:rsidRPr="006912EF">
            <w:rPr>
              <w:rFonts w:ascii="Times New Roman" w:hAnsi="Times New Roman" w:cs="Times New Roman"/>
              <w:color w:val="000000" w:themeColor="text1"/>
              <w:sz w:val="24"/>
              <w:szCs w:val="24"/>
            </w:rPr>
            <w:fldChar w:fldCharType="separate"/>
          </w:r>
          <w:hyperlink w:anchor="_Toc97403243" w:history="1">
            <w:r w:rsidR="006912EF" w:rsidRPr="006912EF">
              <w:rPr>
                <w:rStyle w:val="Hyperlink"/>
                <w:rFonts w:ascii="Times New Roman" w:hAnsi="Times New Roman" w:cs="Times New Roman"/>
                <w:noProof/>
                <w:sz w:val="24"/>
                <w:szCs w:val="24"/>
              </w:rPr>
              <w:t>Introduction</w:t>
            </w:r>
            <w:r w:rsidR="006912EF" w:rsidRPr="006912EF">
              <w:rPr>
                <w:rFonts w:ascii="Times New Roman" w:hAnsi="Times New Roman" w:cs="Times New Roman"/>
                <w:noProof/>
                <w:webHidden/>
                <w:sz w:val="24"/>
                <w:szCs w:val="24"/>
              </w:rPr>
              <w:tab/>
            </w:r>
            <w:r w:rsidRPr="006912EF">
              <w:rPr>
                <w:rFonts w:ascii="Times New Roman" w:hAnsi="Times New Roman" w:cs="Times New Roman"/>
                <w:noProof/>
                <w:webHidden/>
                <w:sz w:val="24"/>
                <w:szCs w:val="24"/>
              </w:rPr>
              <w:fldChar w:fldCharType="begin"/>
            </w:r>
            <w:r w:rsidR="006912EF" w:rsidRPr="006912EF">
              <w:rPr>
                <w:rFonts w:ascii="Times New Roman" w:hAnsi="Times New Roman" w:cs="Times New Roman"/>
                <w:noProof/>
                <w:webHidden/>
                <w:sz w:val="24"/>
                <w:szCs w:val="24"/>
              </w:rPr>
              <w:instrText xml:space="preserve"> PAGEREF _Toc97403243 \h </w:instrText>
            </w:r>
            <w:r w:rsidRPr="006912EF">
              <w:rPr>
                <w:rFonts w:ascii="Times New Roman" w:hAnsi="Times New Roman" w:cs="Times New Roman"/>
                <w:noProof/>
                <w:webHidden/>
                <w:sz w:val="24"/>
                <w:szCs w:val="24"/>
              </w:rPr>
            </w:r>
            <w:r w:rsidRPr="006912EF">
              <w:rPr>
                <w:rFonts w:ascii="Times New Roman" w:hAnsi="Times New Roman" w:cs="Times New Roman"/>
                <w:noProof/>
                <w:webHidden/>
                <w:sz w:val="24"/>
                <w:szCs w:val="24"/>
              </w:rPr>
              <w:fldChar w:fldCharType="separate"/>
            </w:r>
            <w:r w:rsidR="006912EF" w:rsidRPr="006912EF">
              <w:rPr>
                <w:rFonts w:ascii="Times New Roman" w:hAnsi="Times New Roman" w:cs="Times New Roman"/>
                <w:noProof/>
                <w:webHidden/>
                <w:sz w:val="24"/>
                <w:szCs w:val="24"/>
              </w:rPr>
              <w:t>3</w:t>
            </w:r>
            <w:r w:rsidRPr="006912EF">
              <w:rPr>
                <w:rFonts w:ascii="Times New Roman" w:hAnsi="Times New Roman" w:cs="Times New Roman"/>
                <w:noProof/>
                <w:webHidden/>
                <w:sz w:val="24"/>
                <w:szCs w:val="24"/>
              </w:rPr>
              <w:fldChar w:fldCharType="end"/>
            </w:r>
          </w:hyperlink>
        </w:p>
        <w:p w14:paraId="45F96616" w14:textId="77777777" w:rsidR="006912EF" w:rsidRPr="006912EF" w:rsidRDefault="0097759F" w:rsidP="006912E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97403244" w:history="1">
            <w:r w:rsidR="006912EF" w:rsidRPr="006912EF">
              <w:rPr>
                <w:rStyle w:val="Hyperlink"/>
                <w:rFonts w:ascii="Times New Roman" w:hAnsi="Times New Roman" w:cs="Times New Roman"/>
                <w:noProof/>
                <w:sz w:val="24"/>
                <w:szCs w:val="24"/>
              </w:rPr>
              <w:t>Question 1: Bookkeeping for General Supplies Ltd.</w:t>
            </w:r>
            <w:r w:rsidR="006912EF" w:rsidRPr="006912EF">
              <w:rPr>
                <w:rFonts w:ascii="Times New Roman" w:hAnsi="Times New Roman" w:cs="Times New Roman"/>
                <w:noProof/>
                <w:webHidden/>
                <w:sz w:val="24"/>
                <w:szCs w:val="24"/>
              </w:rPr>
              <w:tab/>
            </w:r>
            <w:r w:rsidR="00424C61" w:rsidRPr="006912EF">
              <w:rPr>
                <w:rFonts w:ascii="Times New Roman" w:hAnsi="Times New Roman" w:cs="Times New Roman"/>
                <w:noProof/>
                <w:webHidden/>
                <w:sz w:val="24"/>
                <w:szCs w:val="24"/>
              </w:rPr>
              <w:fldChar w:fldCharType="begin"/>
            </w:r>
            <w:r w:rsidR="006912EF" w:rsidRPr="006912EF">
              <w:rPr>
                <w:rFonts w:ascii="Times New Roman" w:hAnsi="Times New Roman" w:cs="Times New Roman"/>
                <w:noProof/>
                <w:webHidden/>
                <w:sz w:val="24"/>
                <w:szCs w:val="24"/>
              </w:rPr>
              <w:instrText xml:space="preserve"> PAGEREF _Toc97403244 \h </w:instrText>
            </w:r>
            <w:r w:rsidR="00424C61" w:rsidRPr="006912EF">
              <w:rPr>
                <w:rFonts w:ascii="Times New Roman" w:hAnsi="Times New Roman" w:cs="Times New Roman"/>
                <w:noProof/>
                <w:webHidden/>
                <w:sz w:val="24"/>
                <w:szCs w:val="24"/>
              </w:rPr>
            </w:r>
            <w:r w:rsidR="00424C61" w:rsidRPr="006912EF">
              <w:rPr>
                <w:rFonts w:ascii="Times New Roman" w:hAnsi="Times New Roman" w:cs="Times New Roman"/>
                <w:noProof/>
                <w:webHidden/>
                <w:sz w:val="24"/>
                <w:szCs w:val="24"/>
              </w:rPr>
              <w:fldChar w:fldCharType="separate"/>
            </w:r>
            <w:r w:rsidR="006912EF" w:rsidRPr="006912EF">
              <w:rPr>
                <w:rFonts w:ascii="Times New Roman" w:hAnsi="Times New Roman" w:cs="Times New Roman"/>
                <w:noProof/>
                <w:webHidden/>
                <w:sz w:val="24"/>
                <w:szCs w:val="24"/>
              </w:rPr>
              <w:t>3</w:t>
            </w:r>
            <w:r w:rsidR="00424C61" w:rsidRPr="006912EF">
              <w:rPr>
                <w:rFonts w:ascii="Times New Roman" w:hAnsi="Times New Roman" w:cs="Times New Roman"/>
                <w:noProof/>
                <w:webHidden/>
                <w:sz w:val="24"/>
                <w:szCs w:val="24"/>
              </w:rPr>
              <w:fldChar w:fldCharType="end"/>
            </w:r>
          </w:hyperlink>
        </w:p>
        <w:p w14:paraId="0BCE27B2" w14:textId="77777777" w:rsidR="006912EF" w:rsidRPr="006912EF" w:rsidRDefault="0097759F" w:rsidP="006912E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97403245" w:history="1">
            <w:r w:rsidR="006912EF" w:rsidRPr="006912EF">
              <w:rPr>
                <w:rStyle w:val="Hyperlink"/>
                <w:rFonts w:ascii="Times New Roman" w:hAnsi="Times New Roman" w:cs="Times New Roman"/>
                <w:noProof/>
                <w:sz w:val="24"/>
                <w:szCs w:val="24"/>
              </w:rPr>
              <w:t>a. Trial balance</w:t>
            </w:r>
            <w:r w:rsidR="006912EF" w:rsidRPr="006912EF">
              <w:rPr>
                <w:rFonts w:ascii="Times New Roman" w:hAnsi="Times New Roman" w:cs="Times New Roman"/>
                <w:noProof/>
                <w:webHidden/>
                <w:sz w:val="24"/>
                <w:szCs w:val="24"/>
              </w:rPr>
              <w:tab/>
            </w:r>
            <w:r w:rsidR="00424C61" w:rsidRPr="006912EF">
              <w:rPr>
                <w:rFonts w:ascii="Times New Roman" w:hAnsi="Times New Roman" w:cs="Times New Roman"/>
                <w:noProof/>
                <w:webHidden/>
                <w:sz w:val="24"/>
                <w:szCs w:val="24"/>
              </w:rPr>
              <w:fldChar w:fldCharType="begin"/>
            </w:r>
            <w:r w:rsidR="006912EF" w:rsidRPr="006912EF">
              <w:rPr>
                <w:rFonts w:ascii="Times New Roman" w:hAnsi="Times New Roman" w:cs="Times New Roman"/>
                <w:noProof/>
                <w:webHidden/>
                <w:sz w:val="24"/>
                <w:szCs w:val="24"/>
              </w:rPr>
              <w:instrText xml:space="preserve"> PAGEREF _Toc97403245 \h </w:instrText>
            </w:r>
            <w:r w:rsidR="00424C61" w:rsidRPr="006912EF">
              <w:rPr>
                <w:rFonts w:ascii="Times New Roman" w:hAnsi="Times New Roman" w:cs="Times New Roman"/>
                <w:noProof/>
                <w:webHidden/>
                <w:sz w:val="24"/>
                <w:szCs w:val="24"/>
              </w:rPr>
            </w:r>
            <w:r w:rsidR="00424C61" w:rsidRPr="006912EF">
              <w:rPr>
                <w:rFonts w:ascii="Times New Roman" w:hAnsi="Times New Roman" w:cs="Times New Roman"/>
                <w:noProof/>
                <w:webHidden/>
                <w:sz w:val="24"/>
                <w:szCs w:val="24"/>
              </w:rPr>
              <w:fldChar w:fldCharType="separate"/>
            </w:r>
            <w:r w:rsidR="006912EF" w:rsidRPr="006912EF">
              <w:rPr>
                <w:rFonts w:ascii="Times New Roman" w:hAnsi="Times New Roman" w:cs="Times New Roman"/>
                <w:noProof/>
                <w:webHidden/>
                <w:sz w:val="24"/>
                <w:szCs w:val="24"/>
              </w:rPr>
              <w:t>3</w:t>
            </w:r>
            <w:r w:rsidR="00424C61" w:rsidRPr="006912EF">
              <w:rPr>
                <w:rFonts w:ascii="Times New Roman" w:hAnsi="Times New Roman" w:cs="Times New Roman"/>
                <w:noProof/>
                <w:webHidden/>
                <w:sz w:val="24"/>
                <w:szCs w:val="24"/>
              </w:rPr>
              <w:fldChar w:fldCharType="end"/>
            </w:r>
          </w:hyperlink>
        </w:p>
        <w:p w14:paraId="7ED598FF" w14:textId="77777777" w:rsidR="006912EF" w:rsidRPr="006912EF" w:rsidRDefault="0097759F" w:rsidP="006912E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97403246" w:history="1">
            <w:r w:rsidR="006912EF" w:rsidRPr="006912EF">
              <w:rPr>
                <w:rStyle w:val="Hyperlink"/>
                <w:rFonts w:ascii="Times New Roman" w:hAnsi="Times New Roman" w:cs="Times New Roman"/>
                <w:noProof/>
                <w:sz w:val="24"/>
                <w:szCs w:val="24"/>
              </w:rPr>
              <w:t>b. Income statement</w:t>
            </w:r>
            <w:r w:rsidR="006912EF" w:rsidRPr="006912EF">
              <w:rPr>
                <w:rFonts w:ascii="Times New Roman" w:hAnsi="Times New Roman" w:cs="Times New Roman"/>
                <w:noProof/>
                <w:webHidden/>
                <w:sz w:val="24"/>
                <w:szCs w:val="24"/>
              </w:rPr>
              <w:tab/>
            </w:r>
            <w:r w:rsidR="00424C61" w:rsidRPr="006912EF">
              <w:rPr>
                <w:rFonts w:ascii="Times New Roman" w:hAnsi="Times New Roman" w:cs="Times New Roman"/>
                <w:noProof/>
                <w:webHidden/>
                <w:sz w:val="24"/>
                <w:szCs w:val="24"/>
              </w:rPr>
              <w:fldChar w:fldCharType="begin"/>
            </w:r>
            <w:r w:rsidR="006912EF" w:rsidRPr="006912EF">
              <w:rPr>
                <w:rFonts w:ascii="Times New Roman" w:hAnsi="Times New Roman" w:cs="Times New Roman"/>
                <w:noProof/>
                <w:webHidden/>
                <w:sz w:val="24"/>
                <w:szCs w:val="24"/>
              </w:rPr>
              <w:instrText xml:space="preserve"> PAGEREF _Toc97403246 \h </w:instrText>
            </w:r>
            <w:r w:rsidR="00424C61" w:rsidRPr="006912EF">
              <w:rPr>
                <w:rFonts w:ascii="Times New Roman" w:hAnsi="Times New Roman" w:cs="Times New Roman"/>
                <w:noProof/>
                <w:webHidden/>
                <w:sz w:val="24"/>
                <w:szCs w:val="24"/>
              </w:rPr>
            </w:r>
            <w:r w:rsidR="00424C61" w:rsidRPr="006912EF">
              <w:rPr>
                <w:rFonts w:ascii="Times New Roman" w:hAnsi="Times New Roman" w:cs="Times New Roman"/>
                <w:noProof/>
                <w:webHidden/>
                <w:sz w:val="24"/>
                <w:szCs w:val="24"/>
              </w:rPr>
              <w:fldChar w:fldCharType="separate"/>
            </w:r>
            <w:r w:rsidR="006912EF" w:rsidRPr="006912EF">
              <w:rPr>
                <w:rFonts w:ascii="Times New Roman" w:hAnsi="Times New Roman" w:cs="Times New Roman"/>
                <w:noProof/>
                <w:webHidden/>
                <w:sz w:val="24"/>
                <w:szCs w:val="24"/>
              </w:rPr>
              <w:t>5</w:t>
            </w:r>
            <w:r w:rsidR="00424C61" w:rsidRPr="006912EF">
              <w:rPr>
                <w:rFonts w:ascii="Times New Roman" w:hAnsi="Times New Roman" w:cs="Times New Roman"/>
                <w:noProof/>
                <w:webHidden/>
                <w:sz w:val="24"/>
                <w:szCs w:val="24"/>
              </w:rPr>
              <w:fldChar w:fldCharType="end"/>
            </w:r>
          </w:hyperlink>
        </w:p>
        <w:p w14:paraId="635B7DD3" w14:textId="77777777" w:rsidR="006912EF" w:rsidRPr="006912EF" w:rsidRDefault="0097759F" w:rsidP="006912E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97403247" w:history="1">
            <w:r w:rsidR="006912EF" w:rsidRPr="006912EF">
              <w:rPr>
                <w:rStyle w:val="Hyperlink"/>
                <w:rFonts w:ascii="Times New Roman" w:hAnsi="Times New Roman" w:cs="Times New Roman"/>
                <w:noProof/>
                <w:sz w:val="24"/>
                <w:szCs w:val="24"/>
              </w:rPr>
              <w:t>c. Balance sheet</w:t>
            </w:r>
            <w:r w:rsidR="006912EF" w:rsidRPr="006912EF">
              <w:rPr>
                <w:rFonts w:ascii="Times New Roman" w:hAnsi="Times New Roman" w:cs="Times New Roman"/>
                <w:noProof/>
                <w:webHidden/>
                <w:sz w:val="24"/>
                <w:szCs w:val="24"/>
              </w:rPr>
              <w:tab/>
            </w:r>
            <w:r w:rsidR="00424C61" w:rsidRPr="006912EF">
              <w:rPr>
                <w:rFonts w:ascii="Times New Roman" w:hAnsi="Times New Roman" w:cs="Times New Roman"/>
                <w:noProof/>
                <w:webHidden/>
                <w:sz w:val="24"/>
                <w:szCs w:val="24"/>
              </w:rPr>
              <w:fldChar w:fldCharType="begin"/>
            </w:r>
            <w:r w:rsidR="006912EF" w:rsidRPr="006912EF">
              <w:rPr>
                <w:rFonts w:ascii="Times New Roman" w:hAnsi="Times New Roman" w:cs="Times New Roman"/>
                <w:noProof/>
                <w:webHidden/>
                <w:sz w:val="24"/>
                <w:szCs w:val="24"/>
              </w:rPr>
              <w:instrText xml:space="preserve"> PAGEREF _Toc97403247 \h </w:instrText>
            </w:r>
            <w:r w:rsidR="00424C61" w:rsidRPr="006912EF">
              <w:rPr>
                <w:rFonts w:ascii="Times New Roman" w:hAnsi="Times New Roman" w:cs="Times New Roman"/>
                <w:noProof/>
                <w:webHidden/>
                <w:sz w:val="24"/>
                <w:szCs w:val="24"/>
              </w:rPr>
            </w:r>
            <w:r w:rsidR="00424C61" w:rsidRPr="006912EF">
              <w:rPr>
                <w:rFonts w:ascii="Times New Roman" w:hAnsi="Times New Roman" w:cs="Times New Roman"/>
                <w:noProof/>
                <w:webHidden/>
                <w:sz w:val="24"/>
                <w:szCs w:val="24"/>
              </w:rPr>
              <w:fldChar w:fldCharType="separate"/>
            </w:r>
            <w:r w:rsidR="006912EF" w:rsidRPr="006912EF">
              <w:rPr>
                <w:rFonts w:ascii="Times New Roman" w:hAnsi="Times New Roman" w:cs="Times New Roman"/>
                <w:noProof/>
                <w:webHidden/>
                <w:sz w:val="24"/>
                <w:szCs w:val="24"/>
              </w:rPr>
              <w:t>7</w:t>
            </w:r>
            <w:r w:rsidR="00424C61" w:rsidRPr="006912EF">
              <w:rPr>
                <w:rFonts w:ascii="Times New Roman" w:hAnsi="Times New Roman" w:cs="Times New Roman"/>
                <w:noProof/>
                <w:webHidden/>
                <w:sz w:val="24"/>
                <w:szCs w:val="24"/>
              </w:rPr>
              <w:fldChar w:fldCharType="end"/>
            </w:r>
          </w:hyperlink>
        </w:p>
        <w:p w14:paraId="47F6E5FD" w14:textId="77777777" w:rsidR="006912EF" w:rsidRPr="006912EF" w:rsidRDefault="0097759F" w:rsidP="006912E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97403248" w:history="1">
            <w:r w:rsidR="006912EF" w:rsidRPr="006912EF">
              <w:rPr>
                <w:rStyle w:val="Hyperlink"/>
                <w:rFonts w:ascii="Times New Roman" w:hAnsi="Times New Roman" w:cs="Times New Roman"/>
                <w:noProof/>
                <w:sz w:val="24"/>
                <w:szCs w:val="24"/>
              </w:rPr>
              <w:t>Question 2: Principles of accounting</w:t>
            </w:r>
            <w:r w:rsidR="006912EF" w:rsidRPr="006912EF">
              <w:rPr>
                <w:rFonts w:ascii="Times New Roman" w:hAnsi="Times New Roman" w:cs="Times New Roman"/>
                <w:noProof/>
                <w:webHidden/>
                <w:sz w:val="24"/>
                <w:szCs w:val="24"/>
              </w:rPr>
              <w:tab/>
            </w:r>
            <w:r w:rsidR="00424C61" w:rsidRPr="006912EF">
              <w:rPr>
                <w:rFonts w:ascii="Times New Roman" w:hAnsi="Times New Roman" w:cs="Times New Roman"/>
                <w:noProof/>
                <w:webHidden/>
                <w:sz w:val="24"/>
                <w:szCs w:val="24"/>
              </w:rPr>
              <w:fldChar w:fldCharType="begin"/>
            </w:r>
            <w:r w:rsidR="006912EF" w:rsidRPr="006912EF">
              <w:rPr>
                <w:rFonts w:ascii="Times New Roman" w:hAnsi="Times New Roman" w:cs="Times New Roman"/>
                <w:noProof/>
                <w:webHidden/>
                <w:sz w:val="24"/>
                <w:szCs w:val="24"/>
              </w:rPr>
              <w:instrText xml:space="preserve"> PAGEREF _Toc97403248 \h </w:instrText>
            </w:r>
            <w:r w:rsidR="00424C61" w:rsidRPr="006912EF">
              <w:rPr>
                <w:rFonts w:ascii="Times New Roman" w:hAnsi="Times New Roman" w:cs="Times New Roman"/>
                <w:noProof/>
                <w:webHidden/>
                <w:sz w:val="24"/>
                <w:szCs w:val="24"/>
              </w:rPr>
            </w:r>
            <w:r w:rsidR="00424C61" w:rsidRPr="006912EF">
              <w:rPr>
                <w:rFonts w:ascii="Times New Roman" w:hAnsi="Times New Roman" w:cs="Times New Roman"/>
                <w:noProof/>
                <w:webHidden/>
                <w:sz w:val="24"/>
                <w:szCs w:val="24"/>
              </w:rPr>
              <w:fldChar w:fldCharType="separate"/>
            </w:r>
            <w:r w:rsidR="006912EF" w:rsidRPr="006912EF">
              <w:rPr>
                <w:rFonts w:ascii="Times New Roman" w:hAnsi="Times New Roman" w:cs="Times New Roman"/>
                <w:noProof/>
                <w:webHidden/>
                <w:sz w:val="24"/>
                <w:szCs w:val="24"/>
              </w:rPr>
              <w:t>8</w:t>
            </w:r>
            <w:r w:rsidR="00424C61" w:rsidRPr="006912EF">
              <w:rPr>
                <w:rFonts w:ascii="Times New Roman" w:hAnsi="Times New Roman" w:cs="Times New Roman"/>
                <w:noProof/>
                <w:webHidden/>
                <w:sz w:val="24"/>
                <w:szCs w:val="24"/>
              </w:rPr>
              <w:fldChar w:fldCharType="end"/>
            </w:r>
          </w:hyperlink>
        </w:p>
        <w:p w14:paraId="65E1E8AF" w14:textId="77777777" w:rsidR="006912EF" w:rsidRPr="006912EF" w:rsidRDefault="0097759F" w:rsidP="006912E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97403249" w:history="1">
            <w:r w:rsidR="006912EF" w:rsidRPr="006912EF">
              <w:rPr>
                <w:rStyle w:val="Hyperlink"/>
                <w:rFonts w:ascii="Times New Roman" w:hAnsi="Times New Roman" w:cs="Times New Roman"/>
                <w:noProof/>
                <w:sz w:val="24"/>
                <w:szCs w:val="24"/>
              </w:rPr>
              <w:t>Consistency Unit</w:t>
            </w:r>
            <w:r w:rsidR="006912EF" w:rsidRPr="006912EF">
              <w:rPr>
                <w:rFonts w:ascii="Times New Roman" w:hAnsi="Times New Roman" w:cs="Times New Roman"/>
                <w:noProof/>
                <w:webHidden/>
                <w:sz w:val="24"/>
                <w:szCs w:val="24"/>
              </w:rPr>
              <w:tab/>
            </w:r>
            <w:r w:rsidR="00424C61" w:rsidRPr="006912EF">
              <w:rPr>
                <w:rFonts w:ascii="Times New Roman" w:hAnsi="Times New Roman" w:cs="Times New Roman"/>
                <w:noProof/>
                <w:webHidden/>
                <w:sz w:val="24"/>
                <w:szCs w:val="24"/>
              </w:rPr>
              <w:fldChar w:fldCharType="begin"/>
            </w:r>
            <w:r w:rsidR="006912EF" w:rsidRPr="006912EF">
              <w:rPr>
                <w:rFonts w:ascii="Times New Roman" w:hAnsi="Times New Roman" w:cs="Times New Roman"/>
                <w:noProof/>
                <w:webHidden/>
                <w:sz w:val="24"/>
                <w:szCs w:val="24"/>
              </w:rPr>
              <w:instrText xml:space="preserve"> PAGEREF _Toc97403249 \h </w:instrText>
            </w:r>
            <w:r w:rsidR="00424C61" w:rsidRPr="006912EF">
              <w:rPr>
                <w:rFonts w:ascii="Times New Roman" w:hAnsi="Times New Roman" w:cs="Times New Roman"/>
                <w:noProof/>
                <w:webHidden/>
                <w:sz w:val="24"/>
                <w:szCs w:val="24"/>
              </w:rPr>
            </w:r>
            <w:r w:rsidR="00424C61" w:rsidRPr="006912EF">
              <w:rPr>
                <w:rFonts w:ascii="Times New Roman" w:hAnsi="Times New Roman" w:cs="Times New Roman"/>
                <w:noProof/>
                <w:webHidden/>
                <w:sz w:val="24"/>
                <w:szCs w:val="24"/>
              </w:rPr>
              <w:fldChar w:fldCharType="separate"/>
            </w:r>
            <w:r w:rsidR="006912EF" w:rsidRPr="006912EF">
              <w:rPr>
                <w:rFonts w:ascii="Times New Roman" w:hAnsi="Times New Roman" w:cs="Times New Roman"/>
                <w:noProof/>
                <w:webHidden/>
                <w:sz w:val="24"/>
                <w:szCs w:val="24"/>
              </w:rPr>
              <w:t>9</w:t>
            </w:r>
            <w:r w:rsidR="00424C61" w:rsidRPr="006912EF">
              <w:rPr>
                <w:rFonts w:ascii="Times New Roman" w:hAnsi="Times New Roman" w:cs="Times New Roman"/>
                <w:noProof/>
                <w:webHidden/>
                <w:sz w:val="24"/>
                <w:szCs w:val="24"/>
              </w:rPr>
              <w:fldChar w:fldCharType="end"/>
            </w:r>
          </w:hyperlink>
        </w:p>
        <w:p w14:paraId="26A8703F" w14:textId="77777777" w:rsidR="006912EF" w:rsidRPr="006912EF" w:rsidRDefault="0097759F" w:rsidP="006912E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97403250" w:history="1">
            <w:r w:rsidR="006912EF" w:rsidRPr="006912EF">
              <w:rPr>
                <w:rStyle w:val="Hyperlink"/>
                <w:rFonts w:ascii="Times New Roman" w:hAnsi="Times New Roman" w:cs="Times New Roman"/>
                <w:noProof/>
                <w:sz w:val="24"/>
                <w:szCs w:val="24"/>
              </w:rPr>
              <w:t>Materiality Unit</w:t>
            </w:r>
            <w:r w:rsidR="006912EF" w:rsidRPr="006912EF">
              <w:rPr>
                <w:rFonts w:ascii="Times New Roman" w:hAnsi="Times New Roman" w:cs="Times New Roman"/>
                <w:noProof/>
                <w:webHidden/>
                <w:sz w:val="24"/>
                <w:szCs w:val="24"/>
              </w:rPr>
              <w:tab/>
            </w:r>
            <w:r w:rsidR="00424C61" w:rsidRPr="006912EF">
              <w:rPr>
                <w:rFonts w:ascii="Times New Roman" w:hAnsi="Times New Roman" w:cs="Times New Roman"/>
                <w:noProof/>
                <w:webHidden/>
                <w:sz w:val="24"/>
                <w:szCs w:val="24"/>
              </w:rPr>
              <w:fldChar w:fldCharType="begin"/>
            </w:r>
            <w:r w:rsidR="006912EF" w:rsidRPr="006912EF">
              <w:rPr>
                <w:rFonts w:ascii="Times New Roman" w:hAnsi="Times New Roman" w:cs="Times New Roman"/>
                <w:noProof/>
                <w:webHidden/>
                <w:sz w:val="24"/>
                <w:szCs w:val="24"/>
              </w:rPr>
              <w:instrText xml:space="preserve"> PAGEREF _Toc97403250 \h </w:instrText>
            </w:r>
            <w:r w:rsidR="00424C61" w:rsidRPr="006912EF">
              <w:rPr>
                <w:rFonts w:ascii="Times New Roman" w:hAnsi="Times New Roman" w:cs="Times New Roman"/>
                <w:noProof/>
                <w:webHidden/>
                <w:sz w:val="24"/>
                <w:szCs w:val="24"/>
              </w:rPr>
            </w:r>
            <w:r w:rsidR="00424C61" w:rsidRPr="006912EF">
              <w:rPr>
                <w:rFonts w:ascii="Times New Roman" w:hAnsi="Times New Roman" w:cs="Times New Roman"/>
                <w:noProof/>
                <w:webHidden/>
                <w:sz w:val="24"/>
                <w:szCs w:val="24"/>
              </w:rPr>
              <w:fldChar w:fldCharType="separate"/>
            </w:r>
            <w:r w:rsidR="006912EF" w:rsidRPr="006912EF">
              <w:rPr>
                <w:rFonts w:ascii="Times New Roman" w:hAnsi="Times New Roman" w:cs="Times New Roman"/>
                <w:noProof/>
                <w:webHidden/>
                <w:sz w:val="24"/>
                <w:szCs w:val="24"/>
              </w:rPr>
              <w:t>9</w:t>
            </w:r>
            <w:r w:rsidR="00424C61" w:rsidRPr="006912EF">
              <w:rPr>
                <w:rFonts w:ascii="Times New Roman" w:hAnsi="Times New Roman" w:cs="Times New Roman"/>
                <w:noProof/>
                <w:webHidden/>
                <w:sz w:val="24"/>
                <w:szCs w:val="24"/>
              </w:rPr>
              <w:fldChar w:fldCharType="end"/>
            </w:r>
          </w:hyperlink>
        </w:p>
        <w:p w14:paraId="26E6DF3B" w14:textId="77777777" w:rsidR="006912EF" w:rsidRPr="006912EF" w:rsidRDefault="0097759F" w:rsidP="006912E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97403251" w:history="1">
            <w:r w:rsidR="006912EF" w:rsidRPr="006912EF">
              <w:rPr>
                <w:rStyle w:val="Hyperlink"/>
                <w:rFonts w:ascii="Times New Roman" w:hAnsi="Times New Roman" w:cs="Times New Roman"/>
                <w:noProof/>
                <w:sz w:val="24"/>
                <w:szCs w:val="24"/>
              </w:rPr>
              <w:t>Monetary Unit</w:t>
            </w:r>
            <w:r w:rsidR="006912EF" w:rsidRPr="006912EF">
              <w:rPr>
                <w:rFonts w:ascii="Times New Roman" w:hAnsi="Times New Roman" w:cs="Times New Roman"/>
                <w:noProof/>
                <w:webHidden/>
                <w:sz w:val="24"/>
                <w:szCs w:val="24"/>
              </w:rPr>
              <w:tab/>
            </w:r>
            <w:r w:rsidR="00424C61" w:rsidRPr="006912EF">
              <w:rPr>
                <w:rFonts w:ascii="Times New Roman" w:hAnsi="Times New Roman" w:cs="Times New Roman"/>
                <w:noProof/>
                <w:webHidden/>
                <w:sz w:val="24"/>
                <w:szCs w:val="24"/>
              </w:rPr>
              <w:fldChar w:fldCharType="begin"/>
            </w:r>
            <w:r w:rsidR="006912EF" w:rsidRPr="006912EF">
              <w:rPr>
                <w:rFonts w:ascii="Times New Roman" w:hAnsi="Times New Roman" w:cs="Times New Roman"/>
                <w:noProof/>
                <w:webHidden/>
                <w:sz w:val="24"/>
                <w:szCs w:val="24"/>
              </w:rPr>
              <w:instrText xml:space="preserve"> PAGEREF _Toc97403251 \h </w:instrText>
            </w:r>
            <w:r w:rsidR="00424C61" w:rsidRPr="006912EF">
              <w:rPr>
                <w:rFonts w:ascii="Times New Roman" w:hAnsi="Times New Roman" w:cs="Times New Roman"/>
                <w:noProof/>
                <w:webHidden/>
                <w:sz w:val="24"/>
                <w:szCs w:val="24"/>
              </w:rPr>
            </w:r>
            <w:r w:rsidR="00424C61" w:rsidRPr="006912EF">
              <w:rPr>
                <w:rFonts w:ascii="Times New Roman" w:hAnsi="Times New Roman" w:cs="Times New Roman"/>
                <w:noProof/>
                <w:webHidden/>
                <w:sz w:val="24"/>
                <w:szCs w:val="24"/>
              </w:rPr>
              <w:fldChar w:fldCharType="separate"/>
            </w:r>
            <w:r w:rsidR="006912EF" w:rsidRPr="006912EF">
              <w:rPr>
                <w:rFonts w:ascii="Times New Roman" w:hAnsi="Times New Roman" w:cs="Times New Roman"/>
                <w:noProof/>
                <w:webHidden/>
                <w:sz w:val="24"/>
                <w:szCs w:val="24"/>
              </w:rPr>
              <w:t>10</w:t>
            </w:r>
            <w:r w:rsidR="00424C61" w:rsidRPr="006912EF">
              <w:rPr>
                <w:rFonts w:ascii="Times New Roman" w:hAnsi="Times New Roman" w:cs="Times New Roman"/>
                <w:noProof/>
                <w:webHidden/>
                <w:sz w:val="24"/>
                <w:szCs w:val="24"/>
              </w:rPr>
              <w:fldChar w:fldCharType="end"/>
            </w:r>
          </w:hyperlink>
        </w:p>
        <w:p w14:paraId="020E92B5" w14:textId="77777777" w:rsidR="006912EF" w:rsidRPr="006912EF" w:rsidRDefault="0097759F" w:rsidP="006912E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97403252" w:history="1">
            <w:r w:rsidR="006912EF" w:rsidRPr="006912EF">
              <w:rPr>
                <w:rStyle w:val="Hyperlink"/>
                <w:rFonts w:ascii="Times New Roman" w:hAnsi="Times New Roman" w:cs="Times New Roman"/>
                <w:noProof/>
                <w:sz w:val="24"/>
                <w:szCs w:val="24"/>
              </w:rPr>
              <w:t>Going Concern</w:t>
            </w:r>
            <w:r w:rsidR="006912EF" w:rsidRPr="006912EF">
              <w:rPr>
                <w:rFonts w:ascii="Times New Roman" w:hAnsi="Times New Roman" w:cs="Times New Roman"/>
                <w:noProof/>
                <w:webHidden/>
                <w:sz w:val="24"/>
                <w:szCs w:val="24"/>
              </w:rPr>
              <w:tab/>
            </w:r>
            <w:r w:rsidR="00424C61" w:rsidRPr="006912EF">
              <w:rPr>
                <w:rFonts w:ascii="Times New Roman" w:hAnsi="Times New Roman" w:cs="Times New Roman"/>
                <w:noProof/>
                <w:webHidden/>
                <w:sz w:val="24"/>
                <w:szCs w:val="24"/>
              </w:rPr>
              <w:fldChar w:fldCharType="begin"/>
            </w:r>
            <w:r w:rsidR="006912EF" w:rsidRPr="006912EF">
              <w:rPr>
                <w:rFonts w:ascii="Times New Roman" w:hAnsi="Times New Roman" w:cs="Times New Roman"/>
                <w:noProof/>
                <w:webHidden/>
                <w:sz w:val="24"/>
                <w:szCs w:val="24"/>
              </w:rPr>
              <w:instrText xml:space="preserve"> PAGEREF _Toc97403252 \h </w:instrText>
            </w:r>
            <w:r w:rsidR="00424C61" w:rsidRPr="006912EF">
              <w:rPr>
                <w:rFonts w:ascii="Times New Roman" w:hAnsi="Times New Roman" w:cs="Times New Roman"/>
                <w:noProof/>
                <w:webHidden/>
                <w:sz w:val="24"/>
                <w:szCs w:val="24"/>
              </w:rPr>
            </w:r>
            <w:r w:rsidR="00424C61" w:rsidRPr="006912EF">
              <w:rPr>
                <w:rFonts w:ascii="Times New Roman" w:hAnsi="Times New Roman" w:cs="Times New Roman"/>
                <w:noProof/>
                <w:webHidden/>
                <w:sz w:val="24"/>
                <w:szCs w:val="24"/>
              </w:rPr>
              <w:fldChar w:fldCharType="separate"/>
            </w:r>
            <w:r w:rsidR="006912EF" w:rsidRPr="006912EF">
              <w:rPr>
                <w:rFonts w:ascii="Times New Roman" w:hAnsi="Times New Roman" w:cs="Times New Roman"/>
                <w:noProof/>
                <w:webHidden/>
                <w:sz w:val="24"/>
                <w:szCs w:val="24"/>
              </w:rPr>
              <w:t>11</w:t>
            </w:r>
            <w:r w:rsidR="00424C61" w:rsidRPr="006912EF">
              <w:rPr>
                <w:rFonts w:ascii="Times New Roman" w:hAnsi="Times New Roman" w:cs="Times New Roman"/>
                <w:noProof/>
                <w:webHidden/>
                <w:sz w:val="24"/>
                <w:szCs w:val="24"/>
              </w:rPr>
              <w:fldChar w:fldCharType="end"/>
            </w:r>
          </w:hyperlink>
        </w:p>
        <w:p w14:paraId="041EED0B" w14:textId="77777777" w:rsidR="006912EF" w:rsidRPr="006912EF" w:rsidRDefault="0097759F" w:rsidP="006912E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97403253" w:history="1">
            <w:r w:rsidR="006912EF" w:rsidRPr="006912EF">
              <w:rPr>
                <w:rStyle w:val="Hyperlink"/>
                <w:rFonts w:ascii="Times New Roman" w:hAnsi="Times New Roman" w:cs="Times New Roman"/>
                <w:noProof/>
                <w:sz w:val="24"/>
                <w:szCs w:val="24"/>
              </w:rPr>
              <w:t>Conclusion</w:t>
            </w:r>
            <w:r w:rsidR="006912EF" w:rsidRPr="006912EF">
              <w:rPr>
                <w:rFonts w:ascii="Times New Roman" w:hAnsi="Times New Roman" w:cs="Times New Roman"/>
                <w:noProof/>
                <w:webHidden/>
                <w:sz w:val="24"/>
                <w:szCs w:val="24"/>
              </w:rPr>
              <w:tab/>
            </w:r>
            <w:r w:rsidR="00424C61" w:rsidRPr="006912EF">
              <w:rPr>
                <w:rFonts w:ascii="Times New Roman" w:hAnsi="Times New Roman" w:cs="Times New Roman"/>
                <w:noProof/>
                <w:webHidden/>
                <w:sz w:val="24"/>
                <w:szCs w:val="24"/>
              </w:rPr>
              <w:fldChar w:fldCharType="begin"/>
            </w:r>
            <w:r w:rsidR="006912EF" w:rsidRPr="006912EF">
              <w:rPr>
                <w:rFonts w:ascii="Times New Roman" w:hAnsi="Times New Roman" w:cs="Times New Roman"/>
                <w:noProof/>
                <w:webHidden/>
                <w:sz w:val="24"/>
                <w:szCs w:val="24"/>
              </w:rPr>
              <w:instrText xml:space="preserve"> PAGEREF _Toc97403253 \h </w:instrText>
            </w:r>
            <w:r w:rsidR="00424C61" w:rsidRPr="006912EF">
              <w:rPr>
                <w:rFonts w:ascii="Times New Roman" w:hAnsi="Times New Roman" w:cs="Times New Roman"/>
                <w:noProof/>
                <w:webHidden/>
                <w:sz w:val="24"/>
                <w:szCs w:val="24"/>
              </w:rPr>
            </w:r>
            <w:r w:rsidR="00424C61" w:rsidRPr="006912EF">
              <w:rPr>
                <w:rFonts w:ascii="Times New Roman" w:hAnsi="Times New Roman" w:cs="Times New Roman"/>
                <w:noProof/>
                <w:webHidden/>
                <w:sz w:val="24"/>
                <w:szCs w:val="24"/>
              </w:rPr>
              <w:fldChar w:fldCharType="separate"/>
            </w:r>
            <w:r w:rsidR="006912EF" w:rsidRPr="006912EF">
              <w:rPr>
                <w:rFonts w:ascii="Times New Roman" w:hAnsi="Times New Roman" w:cs="Times New Roman"/>
                <w:noProof/>
                <w:webHidden/>
                <w:sz w:val="24"/>
                <w:szCs w:val="24"/>
              </w:rPr>
              <w:t>12</w:t>
            </w:r>
            <w:r w:rsidR="00424C61" w:rsidRPr="006912EF">
              <w:rPr>
                <w:rFonts w:ascii="Times New Roman" w:hAnsi="Times New Roman" w:cs="Times New Roman"/>
                <w:noProof/>
                <w:webHidden/>
                <w:sz w:val="24"/>
                <w:szCs w:val="24"/>
              </w:rPr>
              <w:fldChar w:fldCharType="end"/>
            </w:r>
          </w:hyperlink>
        </w:p>
        <w:p w14:paraId="317876D2" w14:textId="77777777" w:rsidR="006912EF" w:rsidRPr="006912EF" w:rsidRDefault="0097759F" w:rsidP="006912E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97403254" w:history="1">
            <w:r w:rsidR="006912EF" w:rsidRPr="006912EF">
              <w:rPr>
                <w:rStyle w:val="Hyperlink"/>
                <w:rFonts w:ascii="Times New Roman" w:hAnsi="Times New Roman" w:cs="Times New Roman"/>
                <w:noProof/>
                <w:sz w:val="24"/>
                <w:szCs w:val="24"/>
              </w:rPr>
              <w:t>References</w:t>
            </w:r>
            <w:r w:rsidR="006912EF" w:rsidRPr="006912EF">
              <w:rPr>
                <w:rFonts w:ascii="Times New Roman" w:hAnsi="Times New Roman" w:cs="Times New Roman"/>
                <w:noProof/>
                <w:webHidden/>
                <w:sz w:val="24"/>
                <w:szCs w:val="24"/>
              </w:rPr>
              <w:tab/>
            </w:r>
            <w:r w:rsidR="00424C61" w:rsidRPr="006912EF">
              <w:rPr>
                <w:rFonts w:ascii="Times New Roman" w:hAnsi="Times New Roman" w:cs="Times New Roman"/>
                <w:noProof/>
                <w:webHidden/>
                <w:sz w:val="24"/>
                <w:szCs w:val="24"/>
              </w:rPr>
              <w:fldChar w:fldCharType="begin"/>
            </w:r>
            <w:r w:rsidR="006912EF" w:rsidRPr="006912EF">
              <w:rPr>
                <w:rFonts w:ascii="Times New Roman" w:hAnsi="Times New Roman" w:cs="Times New Roman"/>
                <w:noProof/>
                <w:webHidden/>
                <w:sz w:val="24"/>
                <w:szCs w:val="24"/>
              </w:rPr>
              <w:instrText xml:space="preserve"> PAGEREF _Toc97403254 \h </w:instrText>
            </w:r>
            <w:r w:rsidR="00424C61" w:rsidRPr="006912EF">
              <w:rPr>
                <w:rFonts w:ascii="Times New Roman" w:hAnsi="Times New Roman" w:cs="Times New Roman"/>
                <w:noProof/>
                <w:webHidden/>
                <w:sz w:val="24"/>
                <w:szCs w:val="24"/>
              </w:rPr>
            </w:r>
            <w:r w:rsidR="00424C61" w:rsidRPr="006912EF">
              <w:rPr>
                <w:rFonts w:ascii="Times New Roman" w:hAnsi="Times New Roman" w:cs="Times New Roman"/>
                <w:noProof/>
                <w:webHidden/>
                <w:sz w:val="24"/>
                <w:szCs w:val="24"/>
              </w:rPr>
              <w:fldChar w:fldCharType="separate"/>
            </w:r>
            <w:r w:rsidR="006912EF" w:rsidRPr="006912EF">
              <w:rPr>
                <w:rFonts w:ascii="Times New Roman" w:hAnsi="Times New Roman" w:cs="Times New Roman"/>
                <w:noProof/>
                <w:webHidden/>
                <w:sz w:val="24"/>
                <w:szCs w:val="24"/>
              </w:rPr>
              <w:t>13</w:t>
            </w:r>
            <w:r w:rsidR="00424C61" w:rsidRPr="006912EF">
              <w:rPr>
                <w:rFonts w:ascii="Times New Roman" w:hAnsi="Times New Roman" w:cs="Times New Roman"/>
                <w:noProof/>
                <w:webHidden/>
                <w:sz w:val="24"/>
                <w:szCs w:val="24"/>
              </w:rPr>
              <w:fldChar w:fldCharType="end"/>
            </w:r>
          </w:hyperlink>
        </w:p>
        <w:p w14:paraId="75732D1E" w14:textId="77777777" w:rsidR="00F420EB" w:rsidRDefault="00424C61" w:rsidP="006912EF">
          <w:pPr>
            <w:spacing w:line="360" w:lineRule="auto"/>
            <w:jc w:val="both"/>
          </w:pPr>
          <w:r w:rsidRPr="006912EF">
            <w:rPr>
              <w:rFonts w:ascii="Times New Roman" w:hAnsi="Times New Roman" w:cs="Times New Roman"/>
              <w:b/>
              <w:bCs/>
              <w:noProof/>
              <w:color w:val="000000" w:themeColor="text1"/>
              <w:sz w:val="24"/>
              <w:szCs w:val="24"/>
            </w:rPr>
            <w:fldChar w:fldCharType="end"/>
          </w:r>
        </w:p>
      </w:sdtContent>
    </w:sdt>
    <w:p w14:paraId="5E96DCDB" w14:textId="77777777" w:rsidR="00E91FA3" w:rsidRDefault="004D5703">
      <w:pPr>
        <w:spacing w:line="360" w:lineRule="auto"/>
        <w:jc w:val="center"/>
        <w:rPr>
          <w:rFonts w:ascii="Times New Roman" w:eastAsia="Times New Roman" w:hAnsi="Times New Roman" w:cs="Times New Roman"/>
          <w:sz w:val="24"/>
          <w:szCs w:val="24"/>
        </w:rPr>
      </w:pPr>
      <w:r>
        <w:br w:type="page"/>
      </w:r>
    </w:p>
    <w:p w14:paraId="5CA3B704" w14:textId="77777777" w:rsidR="00E91FA3" w:rsidRDefault="004D5703" w:rsidP="005C370C">
      <w:pPr>
        <w:pStyle w:val="Heading1"/>
      </w:pPr>
      <w:bookmarkStart w:id="0" w:name="_Toc97403243"/>
      <w:r>
        <w:t>Introduction</w:t>
      </w:r>
      <w:bookmarkEnd w:id="0"/>
      <w:r>
        <w:t xml:space="preserve"> </w:t>
      </w:r>
    </w:p>
    <w:p w14:paraId="0FB0FF27" w14:textId="77777777" w:rsidR="00E91FA3" w:rsidRDefault="004D57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Accounting is a process of summarizing and recording financial and business transactions in order to further verify, analyse and report the results to an organization. Under different circumstances, the processes of accounting can change especially in terms of principles. The set of rules that assist organizations to calculate their financial status is commonly regarded as accounting principles. The present study has discussed the key principles of accounting in order to understand and prepare the Trial Balance, Income Statement and Balance Sheet for General Supplies Ltd. Further, the study has assessed the principles of accounting meticulously in order to apply these concepts in the calculations for the organization successfully. </w:t>
      </w:r>
    </w:p>
    <w:p w14:paraId="143947D3" w14:textId="77777777" w:rsidR="006912EF" w:rsidRDefault="006912EF" w:rsidP="006912EF">
      <w:pPr>
        <w:pStyle w:val="Heading1"/>
      </w:pPr>
      <w:bookmarkStart w:id="1" w:name="_Toc97120719"/>
      <w:bookmarkStart w:id="2" w:name="_Toc97403244"/>
      <w:r>
        <w:t>Question 1: Bookkeeping for General Supplies Ltd.</w:t>
      </w:r>
      <w:bookmarkEnd w:id="1"/>
      <w:bookmarkEnd w:id="2"/>
    </w:p>
    <w:p w14:paraId="74851628" w14:textId="77777777" w:rsidR="006912EF" w:rsidRDefault="006912EF" w:rsidP="006912EF">
      <w:pPr>
        <w:pStyle w:val="Heading2"/>
      </w:pPr>
      <w:bookmarkStart w:id="3" w:name="_Toc97403245"/>
      <w:r>
        <w:t xml:space="preserve">a. </w:t>
      </w:r>
      <w:r w:rsidRPr="006912EF">
        <w:t>Trial</w:t>
      </w:r>
      <w:r>
        <w:t xml:space="preserve"> balance</w:t>
      </w:r>
      <w:bookmarkEnd w:id="3"/>
      <w:r>
        <w:t> </w:t>
      </w:r>
    </w:p>
    <w:p w14:paraId="30AFF8B0" w14:textId="77777777" w:rsidR="006912EF" w:rsidRDefault="006912EF" w:rsidP="006912EF">
      <w:pPr>
        <w:pStyle w:val="NormalWeb"/>
        <w:spacing w:before="0" w:beforeAutospacing="0" w:after="0" w:afterAutospacing="0" w:line="360" w:lineRule="auto"/>
        <w:jc w:val="both"/>
      </w:pPr>
      <w:r>
        <w:rPr>
          <w:color w:val="000000"/>
        </w:rPr>
        <w:t>One of the major important bookkeeping worksheets is Trial balance that is needed to keep record of business operations within any company. The record books of ledgers are kept in a compiled form that consists of the amounts that are credited or debited during company corporations (</w:t>
      </w:r>
      <w:proofErr w:type="spellStart"/>
      <w:r>
        <w:rPr>
          <w:color w:val="000000"/>
        </w:rPr>
        <w:t>Hollon</w:t>
      </w:r>
      <w:proofErr w:type="spellEnd"/>
      <w:r>
        <w:rPr>
          <w:color w:val="000000"/>
        </w:rPr>
        <w:t xml:space="preserve"> and </w:t>
      </w:r>
      <w:proofErr w:type="spellStart"/>
      <w:r>
        <w:rPr>
          <w:color w:val="000000"/>
        </w:rPr>
        <w:t>Teachman</w:t>
      </w:r>
      <w:proofErr w:type="spellEnd"/>
      <w:r>
        <w:rPr>
          <w:color w:val="000000"/>
        </w:rPr>
        <w:t>, 2019, p. 340). This also helps to calculate the trial balance at the end of reporting time. Henceforth finally the record book is analyzed that keeps the ending balance of the financial report. </w:t>
      </w:r>
    </w:p>
    <w:p w14:paraId="69E45106" w14:textId="77777777" w:rsidR="006912EF" w:rsidRDefault="006912EF" w:rsidP="006912EF">
      <w:pPr>
        <w:pStyle w:val="NormalWeb"/>
        <w:spacing w:before="0" w:beforeAutospacing="0" w:after="0" w:afterAutospacing="0" w:line="360" w:lineRule="auto"/>
        <w:jc w:val="center"/>
      </w:pPr>
    </w:p>
    <w:p w14:paraId="77055241" w14:textId="77777777" w:rsidR="006912EF" w:rsidRDefault="00011551" w:rsidP="006912EF">
      <w:pPr>
        <w:pStyle w:val="NormalWeb"/>
        <w:spacing w:before="0" w:beforeAutospacing="0" w:after="0" w:afterAutospacing="0" w:line="360" w:lineRule="auto"/>
        <w:jc w:val="center"/>
      </w:pPr>
      <w:r>
        <w:rPr>
          <w:noProof/>
          <w:lang w:val="en-IN" w:eastAsia="en-IN"/>
        </w:rPr>
        <w:drawing>
          <wp:inline distT="0" distB="0" distL="0" distR="0" wp14:anchorId="3851CA31" wp14:editId="34C68F12">
            <wp:extent cx="5943600" cy="4210050"/>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5943600" cy="4210050"/>
                    </a:xfrm>
                    <a:prstGeom prst="rect">
                      <a:avLst/>
                    </a:prstGeom>
                    <a:noFill/>
                    <a:ln w="9525">
                      <a:noFill/>
                      <a:miter lim="800000"/>
                      <a:headEnd/>
                      <a:tailEnd/>
                    </a:ln>
                  </pic:spPr>
                </pic:pic>
              </a:graphicData>
            </a:graphic>
          </wp:inline>
        </w:drawing>
      </w:r>
    </w:p>
    <w:p w14:paraId="22318A37" w14:textId="77777777" w:rsidR="006912EF" w:rsidRDefault="006912EF" w:rsidP="006912EF">
      <w:pPr>
        <w:pStyle w:val="NormalWeb"/>
        <w:spacing w:before="0" w:beforeAutospacing="0" w:after="0" w:afterAutospacing="0" w:line="360" w:lineRule="auto"/>
        <w:jc w:val="center"/>
      </w:pPr>
      <w:r>
        <w:rPr>
          <w:b/>
          <w:bCs/>
          <w:color w:val="000000"/>
        </w:rPr>
        <w:t>Figure 1: Trial Balance of General supplies Ltd. </w:t>
      </w:r>
    </w:p>
    <w:p w14:paraId="61902A88" w14:textId="77777777" w:rsidR="006912EF" w:rsidRDefault="006912EF" w:rsidP="006912EF">
      <w:pPr>
        <w:pStyle w:val="NormalWeb"/>
        <w:spacing w:before="0" w:beforeAutospacing="0" w:after="0" w:afterAutospacing="0" w:line="360" w:lineRule="auto"/>
        <w:jc w:val="center"/>
      </w:pPr>
      <w:r>
        <w:rPr>
          <w:color w:val="000000"/>
        </w:rPr>
        <w:t>(Source: Self-Created)</w:t>
      </w:r>
    </w:p>
    <w:p w14:paraId="72BC9957" w14:textId="77777777" w:rsidR="006912EF" w:rsidRDefault="006912EF" w:rsidP="006912EF">
      <w:pPr>
        <w:pStyle w:val="NormalWeb"/>
        <w:spacing w:before="0" w:beforeAutospacing="0" w:after="0" w:afterAutospacing="0" w:line="360" w:lineRule="auto"/>
        <w:jc w:val="both"/>
      </w:pPr>
      <w:r>
        <w:rPr>
          <w:color w:val="000000"/>
        </w:rPr>
        <w:t>The above table portrays trial balance of the company General Suppliers limited for the duration of March 31st 2021. The visual information in this table depicts the trial balance report that is calculated keeping five percent depreciation of the building. It is also visible that 25% if straight line depreciation is kept while formulating the final ledger report. The initial adjustment of the balance it is found out that machinery and building cost was £90000 and £712500. Therefore 1% debt of trade receivables can also be adjusted to create an amount of £4000 in operations. Finally the insurance payment of £16000 debited from the financial record. Henceforth the final calculation of all the transactions equals to an amount that is maintained as per the debit and credit balance for the company General Supplies Ltd. </w:t>
      </w:r>
    </w:p>
    <w:p w14:paraId="48539B10" w14:textId="77777777" w:rsidR="006912EF" w:rsidRDefault="006912EF" w:rsidP="006912EF">
      <w:pPr>
        <w:pStyle w:val="NormalWeb"/>
        <w:spacing w:before="0" w:beforeAutospacing="0" w:after="0" w:afterAutospacing="0" w:line="360" w:lineRule="auto"/>
        <w:jc w:val="both"/>
      </w:pPr>
      <w:r>
        <w:rPr>
          <w:b/>
          <w:bCs/>
          <w:color w:val="000000"/>
        </w:rPr>
        <w:t>Disadvantages of using Trial balance </w:t>
      </w:r>
    </w:p>
    <w:p w14:paraId="4A708369" w14:textId="77777777" w:rsidR="006912EF" w:rsidRDefault="006912EF" w:rsidP="006912EF">
      <w:pPr>
        <w:pStyle w:val="NormalWeb"/>
        <w:spacing w:before="0" w:beforeAutospacing="0" w:after="0" w:afterAutospacing="0" w:line="360" w:lineRule="auto"/>
        <w:jc w:val="both"/>
      </w:pPr>
      <w:r>
        <w:rPr>
          <w:color w:val="000000"/>
        </w:rPr>
        <w:t>The major disadvantage that the trial balance is seen to have is that it does not have any validation of initiated business transactions (</w:t>
      </w:r>
      <w:proofErr w:type="spellStart"/>
      <w:r>
        <w:rPr>
          <w:color w:val="000000"/>
        </w:rPr>
        <w:t>Suyono</w:t>
      </w:r>
      <w:proofErr w:type="spellEnd"/>
      <w:r>
        <w:rPr>
          <w:color w:val="000000"/>
        </w:rPr>
        <w:t xml:space="preserve"> </w:t>
      </w:r>
      <w:r>
        <w:rPr>
          <w:i/>
          <w:iCs/>
          <w:color w:val="000000"/>
        </w:rPr>
        <w:t>et al.</w:t>
      </w:r>
      <w:r>
        <w:rPr>
          <w:color w:val="000000"/>
        </w:rPr>
        <w:t xml:space="preserve"> 2019, p. 123). Any misinformed transaction amount is easily extracted from this account. Another limitation that is common is that it involves double entry causing varied balance accounts in different names causing confusion for the auditors. </w:t>
      </w:r>
    </w:p>
    <w:p w14:paraId="596E41BD" w14:textId="77777777" w:rsidR="006912EF" w:rsidRDefault="006912EF" w:rsidP="006912EF">
      <w:pPr>
        <w:pStyle w:val="Heading2"/>
      </w:pPr>
      <w:bookmarkStart w:id="4" w:name="_Toc97403246"/>
      <w:r>
        <w:t xml:space="preserve">b. </w:t>
      </w:r>
      <w:r w:rsidRPr="006912EF">
        <w:t>Income</w:t>
      </w:r>
      <w:r>
        <w:t xml:space="preserve"> statement</w:t>
      </w:r>
      <w:bookmarkEnd w:id="4"/>
    </w:p>
    <w:p w14:paraId="75DCCD64" w14:textId="77777777" w:rsidR="006912EF" w:rsidRDefault="006912EF" w:rsidP="006912EF">
      <w:pPr>
        <w:pStyle w:val="NormalWeb"/>
        <w:spacing w:before="0" w:beforeAutospacing="0" w:after="0" w:afterAutospacing="0" w:line="360" w:lineRule="auto"/>
        <w:jc w:val="both"/>
      </w:pPr>
      <w:r>
        <w:rPr>
          <w:b/>
          <w:bCs/>
          <w:color w:val="000000"/>
        </w:rPr>
        <w:t>Preparation of income statement</w:t>
      </w:r>
    </w:p>
    <w:p w14:paraId="32C07E73" w14:textId="77777777" w:rsidR="006912EF" w:rsidRDefault="006912EF" w:rsidP="006912EF">
      <w:pPr>
        <w:pStyle w:val="NormalWeb"/>
        <w:spacing w:before="0" w:beforeAutospacing="0" w:after="0" w:afterAutospacing="0" w:line="360" w:lineRule="auto"/>
        <w:jc w:val="both"/>
      </w:pPr>
      <w:r>
        <w:rPr>
          <w:color w:val="000000"/>
        </w:rPr>
        <w:t>Income statement is an inevitable part of an accounting system that creates effective decisions for the company regarding revenue earning and profit generation in any competitive market. The below table shows how the income statements of General Suppliers are calculated and maintained to earn successful revenue. </w:t>
      </w:r>
    </w:p>
    <w:p w14:paraId="1DBFC4D7" w14:textId="77777777" w:rsidR="006912EF" w:rsidRDefault="00011551" w:rsidP="006912EF">
      <w:pPr>
        <w:pStyle w:val="NormalWeb"/>
        <w:spacing w:before="0" w:beforeAutospacing="0" w:after="0" w:afterAutospacing="0" w:line="360" w:lineRule="auto"/>
        <w:jc w:val="center"/>
      </w:pPr>
      <w:r>
        <w:rPr>
          <w:noProof/>
          <w:lang w:val="en-IN" w:eastAsia="en-IN"/>
        </w:rPr>
        <w:drawing>
          <wp:inline distT="0" distB="0" distL="0" distR="0" wp14:anchorId="406B7424" wp14:editId="7553514E">
            <wp:extent cx="3124200" cy="2990850"/>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3124200" cy="2990850"/>
                    </a:xfrm>
                    <a:prstGeom prst="rect">
                      <a:avLst/>
                    </a:prstGeom>
                    <a:noFill/>
                    <a:ln w="9525">
                      <a:noFill/>
                      <a:miter lim="800000"/>
                      <a:headEnd/>
                      <a:tailEnd/>
                    </a:ln>
                  </pic:spPr>
                </pic:pic>
              </a:graphicData>
            </a:graphic>
          </wp:inline>
        </w:drawing>
      </w:r>
    </w:p>
    <w:p w14:paraId="60EF3562" w14:textId="77777777" w:rsidR="006912EF" w:rsidRDefault="006912EF" w:rsidP="006912EF">
      <w:pPr>
        <w:pStyle w:val="NormalWeb"/>
        <w:spacing w:before="0" w:beforeAutospacing="0" w:after="0" w:afterAutospacing="0" w:line="360" w:lineRule="auto"/>
        <w:jc w:val="center"/>
      </w:pPr>
      <w:r>
        <w:rPr>
          <w:b/>
          <w:bCs/>
          <w:color w:val="000000"/>
        </w:rPr>
        <w:t>Figure 2: Income statement of General Suppliers Ltd. </w:t>
      </w:r>
    </w:p>
    <w:p w14:paraId="53DFE32B" w14:textId="77777777" w:rsidR="006912EF" w:rsidRDefault="006912EF" w:rsidP="006912EF">
      <w:pPr>
        <w:pStyle w:val="NormalWeb"/>
        <w:spacing w:before="0" w:beforeAutospacing="0" w:after="0" w:afterAutospacing="0" w:line="360" w:lineRule="auto"/>
        <w:jc w:val="center"/>
      </w:pPr>
      <w:r>
        <w:rPr>
          <w:color w:val="000000"/>
        </w:rPr>
        <w:t>(Source: Self-created)</w:t>
      </w:r>
    </w:p>
    <w:p w14:paraId="4F1AB80B" w14:textId="77777777" w:rsidR="006912EF" w:rsidRDefault="006912EF" w:rsidP="006912EF">
      <w:pPr>
        <w:pStyle w:val="NormalWeb"/>
        <w:spacing w:before="0" w:beforeAutospacing="0" w:after="0" w:afterAutospacing="0" w:line="360" w:lineRule="auto"/>
        <w:jc w:val="both"/>
      </w:pPr>
      <w:r>
        <w:rPr>
          <w:color w:val="000000"/>
        </w:rPr>
        <w:t>The above table shows that sales number and linked cost of expenditure helps in profitable earning in business. It can be seen that total sales of the company is £900000. For calculating the gross profit, values are often deducted such as sold goods, opened stock amount, purchases of the company, and other marketing operations. Therefore an amount of £375000 is calculated that is considered as primary gross profit value. The ideal net profit is calculated by deviating operational expenses and net profit of the company is £</w:t>
      </w:r>
      <w:r w:rsidR="00011551">
        <w:rPr>
          <w:color w:val="000000"/>
        </w:rPr>
        <w:t>58380</w:t>
      </w:r>
      <w:r>
        <w:rPr>
          <w:color w:val="000000"/>
        </w:rPr>
        <w:t>. </w:t>
      </w:r>
    </w:p>
    <w:p w14:paraId="4F136C84" w14:textId="77777777" w:rsidR="006912EF" w:rsidRDefault="006912EF" w:rsidP="006912EF">
      <w:pPr>
        <w:pStyle w:val="NormalWeb"/>
        <w:spacing w:before="0" w:beforeAutospacing="0" w:after="0" w:afterAutospacing="0" w:line="360" w:lineRule="auto"/>
        <w:jc w:val="both"/>
      </w:pPr>
      <w:r>
        <w:rPr>
          <w:color w:val="000000"/>
        </w:rPr>
        <w:t>Advantages and disadvantages of income statement</w:t>
      </w:r>
    </w:p>
    <w:p w14:paraId="3736DAB9" w14:textId="77777777" w:rsidR="006912EF" w:rsidRDefault="006912EF" w:rsidP="006912EF">
      <w:pPr>
        <w:pStyle w:val="NormalWeb"/>
        <w:spacing w:before="0" w:beforeAutospacing="0" w:after="0" w:afterAutospacing="0" w:line="360" w:lineRule="auto"/>
        <w:jc w:val="both"/>
      </w:pPr>
      <w:r>
        <w:rPr>
          <w:b/>
          <w:bCs/>
          <w:color w:val="000000"/>
        </w:rPr>
        <w:t>Advantages </w:t>
      </w:r>
    </w:p>
    <w:p w14:paraId="4E71ABB8" w14:textId="77777777" w:rsidR="006912EF" w:rsidRDefault="006912EF" w:rsidP="006912EF">
      <w:pPr>
        <w:pStyle w:val="NormalWeb"/>
        <w:spacing w:before="0" w:beforeAutospacing="0" w:after="0" w:afterAutospacing="0" w:line="360" w:lineRule="auto"/>
        <w:jc w:val="both"/>
      </w:pPr>
      <w:r>
        <w:rPr>
          <w:color w:val="000000"/>
        </w:rPr>
        <w:t>Income statement helps to assess a company’s financial position in the market. Apart from that it calculates the profitable earning in every quarter of a year (</w:t>
      </w:r>
      <w:proofErr w:type="spellStart"/>
      <w:r>
        <w:rPr>
          <w:color w:val="000000"/>
        </w:rPr>
        <w:t>Naniz</w:t>
      </w:r>
      <w:proofErr w:type="spellEnd"/>
      <w:r>
        <w:rPr>
          <w:color w:val="000000"/>
        </w:rPr>
        <w:t xml:space="preserve"> </w:t>
      </w:r>
      <w:r>
        <w:rPr>
          <w:i/>
          <w:iCs/>
          <w:color w:val="000000"/>
        </w:rPr>
        <w:t xml:space="preserve">et al. </w:t>
      </w:r>
      <w:r>
        <w:rPr>
          <w:color w:val="000000"/>
        </w:rPr>
        <w:t>2019, p. 730). The management therefore can keep track of financial operations of the company and use effective tools to forecast future performance.  </w:t>
      </w:r>
    </w:p>
    <w:p w14:paraId="79D59ABD" w14:textId="77777777" w:rsidR="006912EF" w:rsidRDefault="006912EF" w:rsidP="006912EF">
      <w:pPr>
        <w:pStyle w:val="NormalWeb"/>
        <w:spacing w:before="0" w:beforeAutospacing="0" w:after="0" w:afterAutospacing="0" w:line="360" w:lineRule="auto"/>
        <w:jc w:val="both"/>
      </w:pPr>
      <w:r>
        <w:rPr>
          <w:b/>
          <w:bCs/>
          <w:color w:val="000000"/>
        </w:rPr>
        <w:t>Disadvantages </w:t>
      </w:r>
    </w:p>
    <w:p w14:paraId="129E5041" w14:textId="77777777" w:rsidR="006912EF" w:rsidRDefault="006912EF" w:rsidP="006912EF">
      <w:pPr>
        <w:pStyle w:val="NormalWeb"/>
        <w:spacing w:before="0" w:beforeAutospacing="0" w:after="0" w:afterAutospacing="0" w:line="360" w:lineRule="auto"/>
        <w:jc w:val="both"/>
      </w:pPr>
      <w:r>
        <w:rPr>
          <w:color w:val="000000"/>
        </w:rPr>
        <w:t xml:space="preserve">One of the major limitations of income statements is that it depends upon the applied accounting method. As a result accounting measures can manipulate expenditure credit, debit and other values of the company (Schweizer </w:t>
      </w:r>
      <w:r>
        <w:rPr>
          <w:i/>
          <w:iCs/>
          <w:color w:val="000000"/>
        </w:rPr>
        <w:t>et al.</w:t>
      </w:r>
      <w:r>
        <w:rPr>
          <w:color w:val="000000"/>
        </w:rPr>
        <w:t xml:space="preserve"> 2019, p.64). Therefore a great issue of valid information of the accounts of the business is seen to be at risk.</w:t>
      </w:r>
    </w:p>
    <w:p w14:paraId="5E79905F" w14:textId="77777777" w:rsidR="006912EF" w:rsidRDefault="006912EF" w:rsidP="006912EF">
      <w:pPr>
        <w:pStyle w:val="Heading2"/>
      </w:pPr>
      <w:bookmarkStart w:id="5" w:name="_Toc97403247"/>
      <w:r>
        <w:t>c. Balance sheet</w:t>
      </w:r>
      <w:bookmarkEnd w:id="5"/>
      <w:r>
        <w:t xml:space="preserve"> </w:t>
      </w:r>
    </w:p>
    <w:p w14:paraId="78A486A4" w14:textId="77777777" w:rsidR="006912EF" w:rsidRDefault="006912EF" w:rsidP="006912E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Preparing the balance sheet </w:t>
      </w:r>
    </w:p>
    <w:p w14:paraId="5ACE44A0" w14:textId="77777777" w:rsidR="006912EF" w:rsidRDefault="006912EF" w:rsidP="00691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present balance sheet of General Supplies Ltd. is providing a better understanding of the true value of the assets owned by the company in the long run. In this sense, the company has understood that they have collected both the liabilities and the assets of the business. After a detailed assessment of the balance sheet here, it can be seen that the existing assets of the company are showing danger signals that are outlining the deficiencies of the business in the long run (</w:t>
      </w:r>
      <w:proofErr w:type="spellStart"/>
      <w:r w:rsidRPr="008D4BB6">
        <w:rPr>
          <w:rFonts w:ascii="Times New Roman" w:eastAsia="Times New Roman" w:hAnsi="Times New Roman" w:cs="Times New Roman"/>
          <w:sz w:val="24"/>
          <w:szCs w:val="24"/>
        </w:rPr>
        <w:t>Huo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p. 660). On the other hand, the preparation of the balance sheet here is entirely based on the experience of General Supplies Ltd in terms of experiencing liabilities on a bigger scale. According to the balance sheet, it can be seen that the company has now generated a valuation of £1,431,020 for both its liabilities and assets. </w:t>
      </w:r>
    </w:p>
    <w:p w14:paraId="362BA27D" w14:textId="77777777" w:rsidR="006912EF" w:rsidRDefault="00011551" w:rsidP="006912E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eastAsia="en-IN"/>
        </w:rPr>
        <w:drawing>
          <wp:inline distT="0" distB="0" distL="0" distR="0" wp14:anchorId="18632170" wp14:editId="2E068228">
            <wp:extent cx="5943600" cy="2315567"/>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a:stretch>
                      <a:fillRect/>
                    </a:stretch>
                  </pic:blipFill>
                  <pic:spPr bwMode="auto">
                    <a:xfrm>
                      <a:off x="0" y="0"/>
                      <a:ext cx="5943600" cy="2315567"/>
                    </a:xfrm>
                    <a:prstGeom prst="rect">
                      <a:avLst/>
                    </a:prstGeom>
                    <a:noFill/>
                    <a:ln w="9525">
                      <a:noFill/>
                      <a:miter lim="800000"/>
                      <a:headEnd/>
                      <a:tailEnd/>
                    </a:ln>
                  </pic:spPr>
                </pic:pic>
              </a:graphicData>
            </a:graphic>
          </wp:inline>
        </w:drawing>
      </w:r>
      <w:r w:rsidR="006912EF">
        <w:rPr>
          <w:rFonts w:ascii="Times New Roman" w:eastAsia="Times New Roman" w:hAnsi="Times New Roman" w:cs="Times New Roman"/>
          <w:b/>
          <w:sz w:val="24"/>
          <w:szCs w:val="24"/>
        </w:rPr>
        <w:t xml:space="preserve">Figure 3: Balance sheet for General Supplies Ltd </w:t>
      </w:r>
    </w:p>
    <w:p w14:paraId="4305729F" w14:textId="77777777" w:rsidR="006912EF" w:rsidRDefault="006912EF" w:rsidP="006912E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430B161A" w14:textId="77777777" w:rsidR="006912EF" w:rsidRDefault="006912EF" w:rsidP="00691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it implies the fact that the equities of both the shareholders and the stakeholders are the same with the same valuation of the total numbers presented within the balance sheet. Moreover, it can also be said that the financial accounting of General Supplies Ltd is currently at a greater risk which is challenging the financial statement of the company in the long run. </w:t>
      </w:r>
    </w:p>
    <w:p w14:paraId="1B5BC335" w14:textId="77777777" w:rsidR="006912EF" w:rsidRDefault="006912EF" w:rsidP="006912E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Advantages of the balance sheet </w:t>
      </w:r>
    </w:p>
    <w:p w14:paraId="2A5C80FA" w14:textId="77777777" w:rsidR="006912EF" w:rsidRDefault="006912EF" w:rsidP="00691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balance sheet of General Supplies Ltd has showcased the scale of business within the current market. Similarly, a balanced asset is effective in terms of analysing the variables and the ratio of profit within the liquidity of the company. Further, the scale of balance sheet is beneficial for companies in terms of explaining the values of the liabilities and key assets of the company. Similarly, for General Supplies Ltd, the balance sheet appears as an effective liability that secures the business for the company. On the other hand, this record of the balance sheet is necessary for organizations in terms of implementing any effective solutions within the company. This documentation allows organizations to successfully secure different forms of businesses as well as business loans within the operating income and the income structure of a company (</w:t>
      </w:r>
      <w:proofErr w:type="spellStart"/>
      <w:r w:rsidRPr="008D4BB6">
        <w:rPr>
          <w:rFonts w:ascii="Times New Roman" w:eastAsia="Times New Roman" w:hAnsi="Times New Roman" w:cs="Times New Roman"/>
          <w:sz w:val="24"/>
          <w:szCs w:val="24"/>
        </w:rPr>
        <w:t>Felber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p.370). Similarly, for General Supplies Ltd, the balance sheet can be effective to understand the disruptions of liabilities and assets of the company in the long run. Apart from that, this balance sheet can be an effective document for the organization in terms of implementing further changes successfully. </w:t>
      </w:r>
    </w:p>
    <w:p w14:paraId="39CCBD8E" w14:textId="77777777" w:rsidR="006912EF" w:rsidRDefault="006912EF" w:rsidP="006912E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Shortcomings of the balance sheet </w:t>
      </w:r>
    </w:p>
    <w:p w14:paraId="7E90B60A" w14:textId="77777777" w:rsidR="006912EF" w:rsidRPr="006912EF" w:rsidRDefault="00691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balance sheet of General Supplies Ltd also has a few shortcomings that have limited the organization in terms of assessing all the necessary financial aspects of the company. Here, some of the accounting principles are omitted within the final report which questions the authenticity of the report in the first place. As a result, the company has lacked information in terms of completing the balance sheet which lost its impact on the tangible and intangible aspects of the business. Despite these restrictions, the balance sheet of General Supplies Ltd can be regarded as detailed and meticulous financial documentation for the company. </w:t>
      </w:r>
    </w:p>
    <w:p w14:paraId="10A4AC73" w14:textId="77777777" w:rsidR="00E91FA3" w:rsidRDefault="004D5703" w:rsidP="005C370C">
      <w:pPr>
        <w:pStyle w:val="Heading1"/>
      </w:pPr>
      <w:bookmarkStart w:id="6" w:name="_Toc97403248"/>
      <w:r>
        <w:t>Question 2: Principles of accounting</w:t>
      </w:r>
      <w:bookmarkEnd w:id="6"/>
      <w:r>
        <w:t xml:space="preserve"> </w:t>
      </w:r>
    </w:p>
    <w:p w14:paraId="18787359" w14:textId="77777777" w:rsidR="00E91FA3" w:rsidRDefault="004D57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principles of accounting can be defined as a set of guidelines and rules that companies need in order to follow the process of data reporting for financial purposes. The </w:t>
      </w:r>
      <w:r>
        <w:rPr>
          <w:rFonts w:ascii="Times New Roman" w:eastAsia="Times New Roman" w:hAnsi="Times New Roman" w:cs="Times New Roman"/>
          <w:b/>
          <w:i/>
          <w:sz w:val="24"/>
          <w:szCs w:val="24"/>
        </w:rPr>
        <w:t>“Financial Accounting Standards Board (FASB)”</w:t>
      </w:r>
      <w:r>
        <w:rPr>
          <w:rFonts w:ascii="Times New Roman" w:eastAsia="Times New Roman" w:hAnsi="Times New Roman" w:cs="Times New Roman"/>
          <w:sz w:val="24"/>
          <w:szCs w:val="24"/>
        </w:rPr>
        <w:t xml:space="preserve"> has issued a few standardized accounting principles that can be accepted as the key principles of accounting. In terms of preparing income statements and balance sheets for an organization, calculating the </w:t>
      </w:r>
      <w:r>
        <w:rPr>
          <w:rFonts w:ascii="Times New Roman" w:eastAsia="Times New Roman" w:hAnsi="Times New Roman" w:cs="Times New Roman"/>
          <w:b/>
          <w:i/>
          <w:sz w:val="24"/>
          <w:szCs w:val="24"/>
        </w:rPr>
        <w:t xml:space="preserve">Consistency Unit, Materiality Unit, Monetary Unit </w:t>
      </w:r>
      <w:r>
        <w:rPr>
          <w:rFonts w:ascii="Times New Roman" w:eastAsia="Times New Roman" w:hAnsi="Times New Roman" w:cs="Times New Roman"/>
          <w:sz w:val="24"/>
          <w:szCs w:val="24"/>
        </w:rPr>
        <w:t xml:space="preserve">and </w:t>
      </w:r>
      <w:r>
        <w:rPr>
          <w:rFonts w:ascii="Times New Roman" w:eastAsia="Times New Roman" w:hAnsi="Times New Roman" w:cs="Times New Roman"/>
          <w:b/>
          <w:i/>
          <w:sz w:val="24"/>
          <w:szCs w:val="24"/>
        </w:rPr>
        <w:t>Going Concern</w:t>
      </w:r>
      <w:r>
        <w:rPr>
          <w:rFonts w:ascii="Times New Roman" w:eastAsia="Times New Roman" w:hAnsi="Times New Roman" w:cs="Times New Roman"/>
          <w:sz w:val="24"/>
          <w:szCs w:val="24"/>
        </w:rPr>
        <w:t xml:space="preserve"> appears like some of the key principles that need to be discussed properly (</w:t>
      </w:r>
      <w:proofErr w:type="spellStart"/>
      <w:r>
        <w:rPr>
          <w:rFonts w:ascii="Times New Roman" w:eastAsia="Times New Roman" w:hAnsi="Times New Roman" w:cs="Times New Roman"/>
          <w:sz w:val="24"/>
          <w:szCs w:val="24"/>
        </w:rPr>
        <w:t>Yasyshena</w:t>
      </w:r>
      <w:proofErr w:type="spellEnd"/>
      <w:r>
        <w:rPr>
          <w:rFonts w:ascii="Times New Roman" w:eastAsia="Times New Roman" w:hAnsi="Times New Roman" w:cs="Times New Roman"/>
          <w:sz w:val="24"/>
          <w:szCs w:val="24"/>
        </w:rPr>
        <w:t xml:space="preserve">, 2019, p.156). Here the basics of these principles are discussed in order to assist in terms of calculating the trial balance, balance sheet and income statement of General Supplies Ltd. </w:t>
      </w:r>
    </w:p>
    <w:p w14:paraId="5FEDE051" w14:textId="77777777" w:rsidR="00E91FA3" w:rsidRDefault="004D5703" w:rsidP="005C370C">
      <w:pPr>
        <w:pStyle w:val="Heading2"/>
      </w:pPr>
      <w:bookmarkStart w:id="7" w:name="_Toc97403249"/>
      <w:r>
        <w:t>Consistency Unit</w:t>
      </w:r>
      <w:bookmarkEnd w:id="7"/>
      <w:r>
        <w:t xml:space="preserve"> </w:t>
      </w:r>
    </w:p>
    <w:p w14:paraId="43C36C1A" w14:textId="77777777" w:rsidR="00E91FA3" w:rsidRDefault="004D57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Consistency unit can be defined as a metric in an equation that attempts to equal the opposite side of the equation in the first place. According to this principle of accounting, as soon as an organization adopts a specific method or principle, they are bound to follow consistency for the further accounting periods. It can help the organizations to compare the accounting results from period to period while analysing the financial status of the company. </w:t>
      </w:r>
      <w:r w:rsidR="00F10138">
        <w:rPr>
          <w:rFonts w:ascii="Times New Roman" w:eastAsia="Times New Roman" w:hAnsi="Times New Roman" w:cs="Times New Roman"/>
          <w:sz w:val="24"/>
          <w:szCs w:val="24"/>
        </w:rPr>
        <w:t>There</w:t>
      </w:r>
      <w:r>
        <w:rPr>
          <w:rFonts w:ascii="Times New Roman" w:eastAsia="Times New Roman" w:hAnsi="Times New Roman" w:cs="Times New Roman"/>
          <w:sz w:val="24"/>
          <w:szCs w:val="24"/>
        </w:rPr>
        <w:t xml:space="preserve"> are no specific rules for the companies in terms of changing the accounting principles according to the new versions or new issues within the company. This can further help business organizations to prove the usefulness of the financial results that are commonly reported by the accounting team within a certain period (Beckmann and </w:t>
      </w:r>
      <w:proofErr w:type="spellStart"/>
      <w:r>
        <w:rPr>
          <w:rFonts w:ascii="Times New Roman" w:eastAsia="Times New Roman" w:hAnsi="Times New Roman" w:cs="Times New Roman"/>
          <w:sz w:val="24"/>
          <w:szCs w:val="24"/>
        </w:rPr>
        <w:t>Czudaj</w:t>
      </w:r>
      <w:proofErr w:type="spellEnd"/>
      <w:r>
        <w:rPr>
          <w:rFonts w:ascii="Times New Roman" w:eastAsia="Times New Roman" w:hAnsi="Times New Roman" w:cs="Times New Roman"/>
          <w:sz w:val="24"/>
          <w:szCs w:val="24"/>
        </w:rPr>
        <w:t xml:space="preserve">, 2020, p.1002). For example, the GAAP within this accounting allows companies to approach the analysis of financial results in different ways that can value the inventory effectively for the organization.  </w:t>
      </w:r>
    </w:p>
    <w:p w14:paraId="3B16F1C5" w14:textId="77777777" w:rsidR="00E91FA3" w:rsidRDefault="004D57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basic objective of the Consistency plan is to reapply the techniques that resulted in favour of an organization’s finance when necessary. According to this principle, the same techniques and methods can be applied to similar situations within an organization. Further, this principle implies the factor that every business must refrain from changing accounting policies if necessary with any reasonable grounds. This principle also controls the factor that if the accounting policy of an organization is changed due to any valid grounds, a company needs to disclose its </w:t>
      </w:r>
      <w:r>
        <w:rPr>
          <w:rFonts w:ascii="Times New Roman" w:eastAsia="Times New Roman" w:hAnsi="Times New Roman" w:cs="Times New Roman"/>
          <w:b/>
          <w:i/>
          <w:sz w:val="24"/>
          <w:szCs w:val="24"/>
        </w:rPr>
        <w:t>“nature of changing”</w:t>
      </w:r>
      <w:r>
        <w:rPr>
          <w:rFonts w:ascii="Times New Roman" w:eastAsia="Times New Roman" w:hAnsi="Times New Roman" w:cs="Times New Roman"/>
          <w:sz w:val="24"/>
          <w:szCs w:val="24"/>
        </w:rPr>
        <w:t xml:space="preserve"> along with the justification behind changing it (Yusof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p.324). Additionally, the concept of consistency is crucial in accounting because of the need for organizational comparability which enables stakeholders and investors to easily compare the financial systems of a company. For example, if an organization has attained financial benefit by “declining the balance depreciation” in the first place, then they must use this technique in future businesses to maintain the consistency of business effectively. </w:t>
      </w:r>
    </w:p>
    <w:p w14:paraId="7A45E19D" w14:textId="77777777" w:rsidR="00E91FA3" w:rsidRDefault="004D5703" w:rsidP="005C370C">
      <w:pPr>
        <w:pStyle w:val="Heading2"/>
      </w:pPr>
      <w:bookmarkStart w:id="8" w:name="_Toc97403250"/>
      <w:r>
        <w:t>Materiality Unit</w:t>
      </w:r>
      <w:bookmarkEnd w:id="8"/>
      <w:r>
        <w:t xml:space="preserve"> </w:t>
      </w:r>
    </w:p>
    <w:p w14:paraId="65ED3613" w14:textId="77777777" w:rsidR="00E91FA3" w:rsidRDefault="004D57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materiality principle of accounting outlines the factor that the standards of accounting can be ignored if the net impact of the accounting is small and </w:t>
      </w:r>
      <w:r w:rsidR="00F10138">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mislead any individual further. In the field of accounting, materiality refers to the impact of a misstatement or omission in the financial statements of the company. It further states that every reasonable item within the company financials is subjected to the decision-making of the investors according to the standards of GAAP (Kim, 2019, p.45). In simple words, if any financial information of an organization is not misstated or omitted then it can be considered as material within the financial status of the organization. On the contrary, if the financial users do not alter their actions within the company then the omission or misstatement can be referred to as an immaterial unit. </w:t>
      </w:r>
    </w:p>
    <w:p w14:paraId="5840626C" w14:textId="77777777" w:rsidR="00E91FA3" w:rsidRDefault="004D57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that, the concept of materiality also involves </w:t>
      </w:r>
      <w:r>
        <w:rPr>
          <w:rFonts w:ascii="Times New Roman" w:eastAsia="Times New Roman" w:hAnsi="Times New Roman" w:cs="Times New Roman"/>
          <w:b/>
          <w:i/>
          <w:sz w:val="24"/>
          <w:szCs w:val="24"/>
        </w:rPr>
        <w:t xml:space="preserve">“application of accounting standards, “minor transactions” </w:t>
      </w:r>
      <w:r>
        <w:rPr>
          <w:rFonts w:ascii="Times New Roman" w:eastAsia="Times New Roman" w:hAnsi="Times New Roman" w:cs="Times New Roman"/>
          <w:sz w:val="24"/>
          <w:szCs w:val="24"/>
        </w:rPr>
        <w:t xml:space="preserve">and </w:t>
      </w:r>
      <w:r>
        <w:rPr>
          <w:rFonts w:ascii="Times New Roman" w:eastAsia="Times New Roman" w:hAnsi="Times New Roman" w:cs="Times New Roman"/>
          <w:b/>
          <w:i/>
          <w:sz w:val="24"/>
          <w:szCs w:val="24"/>
        </w:rPr>
        <w:t>“capitalization limit”</w:t>
      </w:r>
      <w:r>
        <w:rPr>
          <w:rFonts w:ascii="Times New Roman" w:eastAsia="Times New Roman" w:hAnsi="Times New Roman" w:cs="Times New Roman"/>
          <w:sz w:val="24"/>
          <w:szCs w:val="24"/>
        </w:rPr>
        <w:t>. With the help of these concepts, controlling the financial environment of the organization appears as an effective task for the organizations to pull off (</w:t>
      </w:r>
      <w:proofErr w:type="spellStart"/>
      <w:r>
        <w:rPr>
          <w:rFonts w:ascii="Times New Roman" w:eastAsia="Times New Roman" w:hAnsi="Times New Roman" w:cs="Times New Roman"/>
          <w:sz w:val="24"/>
          <w:szCs w:val="24"/>
        </w:rPr>
        <w:t>Camfferman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Detzen</w:t>
      </w:r>
      <w:proofErr w:type="spellEnd"/>
      <w:r>
        <w:rPr>
          <w:rFonts w:ascii="Times New Roman" w:eastAsia="Times New Roman" w:hAnsi="Times New Roman" w:cs="Times New Roman"/>
          <w:sz w:val="24"/>
          <w:szCs w:val="24"/>
        </w:rPr>
        <w:t xml:space="preserve">, 2018, p.448). For example, materiality appears in many crucial parts of financial accounting processes within an organization like retrospectives of accounting errors within an organization. In these circumstances, if any organization witnesses any accounting error then the organization is going to require a detailed application of accounting retrospectives (Green and Cheng, 2019, p.14). In this context, if the amount is small for the organization then the small alterations are not going to have any impact on the reader of the statement or the organization. </w:t>
      </w:r>
    </w:p>
    <w:p w14:paraId="390CBC2D" w14:textId="77777777" w:rsidR="00E91FA3" w:rsidRDefault="004D5703" w:rsidP="005C370C">
      <w:pPr>
        <w:pStyle w:val="Heading2"/>
      </w:pPr>
      <w:bookmarkStart w:id="9" w:name="_Toc97403251"/>
      <w:r>
        <w:t>Monetary Unit</w:t>
      </w:r>
      <w:bookmarkEnd w:id="9"/>
      <w:r>
        <w:t xml:space="preserve"> </w:t>
      </w:r>
    </w:p>
    <w:p w14:paraId="389BD640" w14:textId="77777777" w:rsidR="00E91FA3" w:rsidRDefault="004D57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Monetary Unit is one of the effective principles of accounting that enables organizations to record business transactions that can be expressed in terms of currency. In this sense, any company engaged in monetary transactions </w:t>
      </w:r>
      <w:r w:rsidR="005B303A">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record any kinds of non-quantifiable items like customer service quality, skills levels of the employees and the ingenuity of the workforce. According to this principle, the monetary unit principle outlines the factor that one can only record business transactions that can be expressed with the help of currency. Thus, a business record </w:t>
      </w:r>
      <w:r w:rsidR="005B303A">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record any kind of monetary value of a speech that is valuable and is given to the employees regarding innovative activities (Guliyev and Hajiyev, 2020, p.647). This principle also assumes that the value of the currency unit is safely recorded within the transactions which can help organizations to become stable over time. Further, the monetary unit relies on the persistent currency which deals with correct assumptions and does not value any kinds of incorrect assumptions in terms of buying assets. </w:t>
      </w:r>
    </w:p>
    <w:p w14:paraId="4D772F2A" w14:textId="77777777" w:rsidR="00E91FA3" w:rsidRDefault="004D57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the assumption in buying assets can fail under some circumstances where the entity is unable to find the transactions for further recordings. In this scenario, there are risks for a hyperinflationary economy that can affect the business currency in the first place. If there are risks involved regarding a hyperinflationary economy then the monetary unit forces organizations to restate the financial statements of the company, especially in terms of recording the transactions on regular basis. One of the notable examples of the monetary unit is if General Supplies Ltd. attempts to purchase a building with a valuation of £20 000 in a certain year, then the organization need to record the amount of building in their system in order to maintain the authenticity of the business within both the parties (</w:t>
      </w:r>
      <w:proofErr w:type="spellStart"/>
      <w:r>
        <w:rPr>
          <w:rFonts w:ascii="Times New Roman" w:eastAsia="Times New Roman" w:hAnsi="Times New Roman" w:cs="Times New Roman"/>
          <w:sz w:val="24"/>
          <w:szCs w:val="24"/>
        </w:rPr>
        <w:t>Deen</w:t>
      </w:r>
      <w:proofErr w:type="spellEnd"/>
      <w:r>
        <w:rPr>
          <w:rFonts w:ascii="Times New Roman" w:eastAsia="Times New Roman" w:hAnsi="Times New Roman" w:cs="Times New Roman"/>
          <w:sz w:val="24"/>
          <w:szCs w:val="24"/>
        </w:rPr>
        <w:t xml:space="preserve">-Conteh, 2020, p.421). In this aspect, after a certain period of time, the building can be sold within a price range </w:t>
      </w:r>
      <w:proofErr w:type="gramStart"/>
      <w:r>
        <w:rPr>
          <w:rFonts w:ascii="Times New Roman" w:eastAsia="Times New Roman" w:hAnsi="Times New Roman" w:cs="Times New Roman"/>
          <w:sz w:val="24"/>
          <w:szCs w:val="24"/>
        </w:rPr>
        <w:t>of  £</w:t>
      </w:r>
      <w:proofErr w:type="gramEnd"/>
      <w:r>
        <w:rPr>
          <w:rFonts w:ascii="Times New Roman" w:eastAsia="Times New Roman" w:hAnsi="Times New Roman" w:cs="Times New Roman"/>
          <w:sz w:val="24"/>
          <w:szCs w:val="24"/>
        </w:rPr>
        <w:t xml:space="preserve">50 000 which will be a loss for the company who is buying it in the first place. So, in this aspect, the monetary unit controls the record of accounting in order to minimize the chances of accounting errors within an organization. </w:t>
      </w:r>
    </w:p>
    <w:p w14:paraId="705936E5" w14:textId="77777777" w:rsidR="00E91FA3" w:rsidRDefault="004D5703" w:rsidP="005C370C">
      <w:pPr>
        <w:pStyle w:val="Heading2"/>
      </w:pPr>
      <w:bookmarkStart w:id="10" w:name="_Toc97403252"/>
      <w:r>
        <w:t>Going Concern</w:t>
      </w:r>
      <w:bookmarkEnd w:id="10"/>
      <w:r>
        <w:t xml:space="preserve"> </w:t>
      </w:r>
    </w:p>
    <w:p w14:paraId="299BEAD3" w14:textId="77777777" w:rsidR="007C6A9E" w:rsidRDefault="004D57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Going concern can be referred to as an accounting principle that maintains the stability of an account in the long run. Most of the organizations in current times use this principle in order to outline and mitigate the complications of financial debts effectively. Further, the principle helps business organizations to determine their future by helping them in the further progression in terms of financial ratio within the organizational economy (</w:t>
      </w:r>
      <w:proofErr w:type="spellStart"/>
      <w:r>
        <w:rPr>
          <w:rFonts w:ascii="Times New Roman" w:eastAsia="Times New Roman" w:hAnsi="Times New Roman" w:cs="Times New Roman"/>
          <w:sz w:val="24"/>
          <w:szCs w:val="24"/>
        </w:rPr>
        <w:t>Beerbaum</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p.75). Further, the concept of going concerns can also be used in order to make the businesses foreseeable in terms of accounting errors in future. </w:t>
      </w:r>
    </w:p>
    <w:p w14:paraId="5D8C6F67" w14:textId="77777777" w:rsidR="00E91FA3" w:rsidRDefault="004D57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context, some of the expenses and the volume of assets can differ from the financial reports but if it becomes a larger volume then it can be assumed as a going concern for the organizations. </w:t>
      </w:r>
      <w:r w:rsidR="007C6A9E">
        <w:rPr>
          <w:rFonts w:ascii="Times New Roman" w:eastAsia="Times New Roman" w:hAnsi="Times New Roman" w:cs="Times New Roman"/>
          <w:sz w:val="24"/>
          <w:szCs w:val="24"/>
        </w:rPr>
        <w:t>On the other hand</w:t>
      </w:r>
      <w:r>
        <w:rPr>
          <w:rFonts w:ascii="Times New Roman" w:eastAsia="Times New Roman" w:hAnsi="Times New Roman" w:cs="Times New Roman"/>
          <w:sz w:val="24"/>
          <w:szCs w:val="24"/>
        </w:rPr>
        <w:t>, General Supplies Ltd. can represent the one-year financial details of the company for analysing the minor to major issues within the reports on a broader scale (</w:t>
      </w:r>
      <w:proofErr w:type="spellStart"/>
      <w:r>
        <w:rPr>
          <w:rFonts w:ascii="Times New Roman" w:eastAsia="Times New Roman" w:hAnsi="Times New Roman" w:cs="Times New Roman"/>
          <w:sz w:val="24"/>
          <w:szCs w:val="24"/>
        </w:rPr>
        <w:t>Kumor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Mackowiak</w:t>
      </w:r>
      <w:proofErr w:type="spellEnd"/>
      <w:r>
        <w:rPr>
          <w:rFonts w:ascii="Times New Roman" w:eastAsia="Times New Roman" w:hAnsi="Times New Roman" w:cs="Times New Roman"/>
          <w:sz w:val="24"/>
          <w:szCs w:val="24"/>
        </w:rPr>
        <w:t xml:space="preserve">, 2018, p.218). Here, the company has the option to review its expenditures and financial stability in order to grow its businesses within the current income statement of the company. Further, the monetary units can be helpful for the company in terms of mitigating issues like bankruptcy and the effective value of assets. On the other hand, it can also be said that this principle can further lead the company to attain favourable financial stability within the competitive market.  </w:t>
      </w:r>
    </w:p>
    <w:p w14:paraId="6F9A9895" w14:textId="77777777" w:rsidR="00E91FA3" w:rsidRDefault="004D5703" w:rsidP="005C370C">
      <w:pPr>
        <w:pStyle w:val="Heading1"/>
      </w:pPr>
      <w:bookmarkStart w:id="11" w:name="_Toc97403253"/>
      <w:r>
        <w:t>Conclusion</w:t>
      </w:r>
      <w:bookmarkEnd w:id="11"/>
      <w:r>
        <w:t xml:space="preserve"> </w:t>
      </w:r>
    </w:p>
    <w:p w14:paraId="18DC87FD" w14:textId="77777777" w:rsidR="00A34970" w:rsidRDefault="004D5703" w:rsidP="00497D8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role of accounting and its principles are crucial in terms of shaping the businesses of General Supplies Ltd. especially their financial transactions and revenues in the competitive market. After analysing the transactional information provided by the Bookkeeper, it can be said that their trial balance is completed and the balance sheet is stable for the company. Further, no financial errors can be detected within the present report of the company and they are now dedicated to generating further revenue within the market. In conclusion, it can be said that both the credit and the debit account of the company is in a financially stable state which can enable it to counter all financial errors in the coming future. </w:t>
      </w:r>
      <w:r>
        <w:rPr>
          <w:rFonts w:ascii="Times New Roman" w:eastAsia="Times New Roman" w:hAnsi="Times New Roman" w:cs="Times New Roman"/>
          <w:sz w:val="24"/>
          <w:szCs w:val="24"/>
        </w:rPr>
        <w:br w:type="page"/>
      </w:r>
    </w:p>
    <w:p w14:paraId="5F59B220" w14:textId="77777777" w:rsidR="00A34970" w:rsidRPr="00D07DBD" w:rsidRDefault="004D5703" w:rsidP="005C370C">
      <w:pPr>
        <w:pStyle w:val="Heading1"/>
      </w:pPr>
      <w:bookmarkStart w:id="12" w:name="_Toc97403254"/>
      <w:r w:rsidRPr="00D07DBD">
        <w:t>References</w:t>
      </w:r>
      <w:bookmarkEnd w:id="12"/>
      <w:r w:rsidRPr="00D07DBD">
        <w:t xml:space="preserve"> </w:t>
      </w:r>
    </w:p>
    <w:p w14:paraId="0F135ED4" w14:textId="77777777" w:rsidR="006912EF" w:rsidRPr="00A37DC7" w:rsidRDefault="006912EF" w:rsidP="006912EF">
      <w:pPr>
        <w:spacing w:before="240" w:line="360" w:lineRule="auto"/>
        <w:jc w:val="both"/>
        <w:rPr>
          <w:rFonts w:ascii="Times New Roman" w:hAnsi="Times New Roman" w:cs="Times New Roman"/>
          <w:color w:val="000000" w:themeColor="text1"/>
          <w:sz w:val="24"/>
          <w:szCs w:val="24"/>
        </w:rPr>
      </w:pPr>
      <w:r w:rsidRPr="00D07DBD">
        <w:rPr>
          <w:rFonts w:ascii="Times New Roman" w:hAnsi="Times New Roman" w:cs="Times New Roman"/>
          <w:color w:val="000000" w:themeColor="text1"/>
          <w:sz w:val="24"/>
          <w:szCs w:val="24"/>
        </w:rPr>
        <w:t xml:space="preserve">Beckmann, J. and </w:t>
      </w:r>
      <w:proofErr w:type="spellStart"/>
      <w:r w:rsidRPr="00D07DBD">
        <w:rPr>
          <w:rFonts w:ascii="Times New Roman" w:hAnsi="Times New Roman" w:cs="Times New Roman"/>
          <w:color w:val="000000" w:themeColor="text1"/>
          <w:sz w:val="24"/>
          <w:szCs w:val="24"/>
        </w:rPr>
        <w:t>Czudaj</w:t>
      </w:r>
      <w:proofErr w:type="spellEnd"/>
      <w:r w:rsidRPr="00D07DBD">
        <w:rPr>
          <w:rFonts w:ascii="Times New Roman" w:hAnsi="Times New Roman" w:cs="Times New Roman"/>
          <w:color w:val="000000" w:themeColor="text1"/>
          <w:sz w:val="24"/>
          <w:szCs w:val="24"/>
        </w:rPr>
        <w:t>, R.L., 2020. Professional forecasters' expectations, consistency, and international spillovers. </w:t>
      </w:r>
      <w:r w:rsidRPr="00D07DBD">
        <w:rPr>
          <w:rFonts w:ascii="Times New Roman" w:hAnsi="Times New Roman" w:cs="Times New Roman"/>
          <w:i/>
          <w:iCs/>
          <w:color w:val="000000" w:themeColor="text1"/>
          <w:sz w:val="24"/>
          <w:szCs w:val="24"/>
        </w:rPr>
        <w:t>Journal of Forecasting</w:t>
      </w:r>
      <w:r w:rsidRPr="00D07DBD">
        <w:rPr>
          <w:rFonts w:ascii="Times New Roman" w:hAnsi="Times New Roman" w:cs="Times New Roman"/>
          <w:color w:val="000000" w:themeColor="text1"/>
          <w:sz w:val="24"/>
          <w:szCs w:val="24"/>
        </w:rPr>
        <w:t>, </w:t>
      </w:r>
      <w:r w:rsidRPr="00D07DBD">
        <w:rPr>
          <w:rFonts w:ascii="Times New Roman" w:hAnsi="Times New Roman" w:cs="Times New Roman"/>
          <w:i/>
          <w:iCs/>
          <w:color w:val="000000" w:themeColor="text1"/>
          <w:sz w:val="24"/>
          <w:szCs w:val="24"/>
        </w:rPr>
        <w:t>39</w:t>
      </w:r>
      <w:r w:rsidRPr="00D07DBD">
        <w:rPr>
          <w:rFonts w:ascii="Times New Roman" w:hAnsi="Times New Roman" w:cs="Times New Roman"/>
          <w:color w:val="000000" w:themeColor="text1"/>
          <w:sz w:val="24"/>
          <w:szCs w:val="24"/>
        </w:rPr>
        <w:t>(7), pp.1001-1024.</w:t>
      </w:r>
    </w:p>
    <w:p w14:paraId="75299F63" w14:textId="77777777" w:rsidR="006912EF" w:rsidRPr="00D07DBD" w:rsidRDefault="006912EF" w:rsidP="006912EF">
      <w:pPr>
        <w:spacing w:before="240" w:line="360" w:lineRule="auto"/>
        <w:jc w:val="both"/>
        <w:rPr>
          <w:rFonts w:ascii="Times New Roman" w:hAnsi="Times New Roman" w:cs="Times New Roman"/>
          <w:color w:val="000000" w:themeColor="text1"/>
          <w:sz w:val="24"/>
          <w:szCs w:val="24"/>
        </w:rPr>
      </w:pPr>
      <w:proofErr w:type="spellStart"/>
      <w:r w:rsidRPr="00D07DBD">
        <w:rPr>
          <w:rFonts w:ascii="Times New Roman" w:hAnsi="Times New Roman" w:cs="Times New Roman"/>
          <w:color w:val="000000" w:themeColor="text1"/>
          <w:sz w:val="24"/>
          <w:szCs w:val="24"/>
        </w:rPr>
        <w:t>Beerbaum</w:t>
      </w:r>
      <w:proofErr w:type="spellEnd"/>
      <w:r w:rsidRPr="00D07DBD">
        <w:rPr>
          <w:rFonts w:ascii="Times New Roman" w:hAnsi="Times New Roman" w:cs="Times New Roman"/>
          <w:color w:val="000000" w:themeColor="text1"/>
          <w:sz w:val="24"/>
          <w:szCs w:val="24"/>
        </w:rPr>
        <w:t xml:space="preserve">, D., </w:t>
      </w:r>
      <w:proofErr w:type="spellStart"/>
      <w:r w:rsidRPr="00D07DBD">
        <w:rPr>
          <w:rFonts w:ascii="Times New Roman" w:hAnsi="Times New Roman" w:cs="Times New Roman"/>
          <w:color w:val="000000" w:themeColor="text1"/>
          <w:sz w:val="24"/>
          <w:szCs w:val="24"/>
        </w:rPr>
        <w:t>Piechocki</w:t>
      </w:r>
      <w:proofErr w:type="spellEnd"/>
      <w:r w:rsidRPr="00D07DBD">
        <w:rPr>
          <w:rFonts w:ascii="Times New Roman" w:hAnsi="Times New Roman" w:cs="Times New Roman"/>
          <w:color w:val="000000" w:themeColor="text1"/>
          <w:sz w:val="24"/>
          <w:szCs w:val="24"/>
        </w:rPr>
        <w:t xml:space="preserve">, M. and Weber, C., 2021. Is there a conflict between principles-based standard setting and structured electronic reporting with </w:t>
      </w:r>
      <w:proofErr w:type="gramStart"/>
      <w:r w:rsidRPr="00D07DBD">
        <w:rPr>
          <w:rFonts w:ascii="Times New Roman" w:hAnsi="Times New Roman" w:cs="Times New Roman"/>
          <w:color w:val="000000" w:themeColor="text1"/>
          <w:sz w:val="24"/>
          <w:szCs w:val="24"/>
        </w:rPr>
        <w:t>XBRL?.</w:t>
      </w:r>
      <w:proofErr w:type="gramEnd"/>
      <w:r w:rsidRPr="00D07DBD">
        <w:rPr>
          <w:rFonts w:ascii="Times New Roman" w:hAnsi="Times New Roman" w:cs="Times New Roman"/>
          <w:color w:val="000000" w:themeColor="text1"/>
          <w:sz w:val="24"/>
          <w:szCs w:val="24"/>
        </w:rPr>
        <w:t> </w:t>
      </w:r>
      <w:r w:rsidRPr="00D07DBD">
        <w:rPr>
          <w:rFonts w:ascii="Times New Roman" w:hAnsi="Times New Roman" w:cs="Times New Roman"/>
          <w:i/>
          <w:iCs/>
          <w:color w:val="000000" w:themeColor="text1"/>
          <w:sz w:val="24"/>
          <w:szCs w:val="24"/>
        </w:rPr>
        <w:t>Maciej and Weber, Christoph, Is there a Conflict between Principles-based Standard Setting and Structured Electronic Reporting with XBRL</w:t>
      </w:r>
      <w:r w:rsidRPr="00D07DBD">
        <w:rPr>
          <w:rFonts w:ascii="Times New Roman" w:hAnsi="Times New Roman" w:cs="Times New Roman"/>
          <w:color w:val="000000" w:themeColor="text1"/>
          <w:sz w:val="24"/>
          <w:szCs w:val="24"/>
        </w:rPr>
        <w:t>.</w:t>
      </w:r>
    </w:p>
    <w:p w14:paraId="58D497E4" w14:textId="77777777" w:rsidR="006912EF" w:rsidRPr="00D07DBD" w:rsidRDefault="006912EF" w:rsidP="006912EF">
      <w:pPr>
        <w:spacing w:before="240" w:line="360" w:lineRule="auto"/>
        <w:jc w:val="both"/>
        <w:rPr>
          <w:rFonts w:ascii="Times New Roman" w:hAnsi="Times New Roman" w:cs="Times New Roman"/>
          <w:color w:val="000000" w:themeColor="text1"/>
          <w:sz w:val="24"/>
          <w:szCs w:val="24"/>
        </w:rPr>
      </w:pPr>
      <w:proofErr w:type="spellStart"/>
      <w:r w:rsidRPr="00D07DBD">
        <w:rPr>
          <w:rFonts w:ascii="Times New Roman" w:hAnsi="Times New Roman" w:cs="Times New Roman"/>
          <w:color w:val="000000" w:themeColor="text1"/>
          <w:sz w:val="24"/>
          <w:szCs w:val="24"/>
        </w:rPr>
        <w:t>Camfferman</w:t>
      </w:r>
      <w:proofErr w:type="spellEnd"/>
      <w:r w:rsidRPr="00D07DBD">
        <w:rPr>
          <w:rFonts w:ascii="Times New Roman" w:hAnsi="Times New Roman" w:cs="Times New Roman"/>
          <w:color w:val="000000" w:themeColor="text1"/>
          <w:sz w:val="24"/>
          <w:szCs w:val="24"/>
        </w:rPr>
        <w:t xml:space="preserve">, K. and </w:t>
      </w:r>
      <w:proofErr w:type="spellStart"/>
      <w:r w:rsidRPr="00D07DBD">
        <w:rPr>
          <w:rFonts w:ascii="Times New Roman" w:hAnsi="Times New Roman" w:cs="Times New Roman"/>
          <w:color w:val="000000" w:themeColor="text1"/>
          <w:sz w:val="24"/>
          <w:szCs w:val="24"/>
        </w:rPr>
        <w:t>Detzen</w:t>
      </w:r>
      <w:proofErr w:type="spellEnd"/>
      <w:r w:rsidRPr="00D07DBD">
        <w:rPr>
          <w:rFonts w:ascii="Times New Roman" w:hAnsi="Times New Roman" w:cs="Times New Roman"/>
          <w:color w:val="000000" w:themeColor="text1"/>
          <w:sz w:val="24"/>
          <w:szCs w:val="24"/>
        </w:rPr>
        <w:t>, D., 2018. “Forging accounting principles” in France, Germany, Japan, and China: A comparative review. </w:t>
      </w:r>
      <w:r w:rsidRPr="00D07DBD">
        <w:rPr>
          <w:rFonts w:ascii="Times New Roman" w:hAnsi="Times New Roman" w:cs="Times New Roman"/>
          <w:i/>
          <w:iCs/>
          <w:color w:val="000000" w:themeColor="text1"/>
          <w:sz w:val="24"/>
          <w:szCs w:val="24"/>
        </w:rPr>
        <w:t>Accounting History</w:t>
      </w:r>
      <w:r w:rsidRPr="00D07DBD">
        <w:rPr>
          <w:rFonts w:ascii="Times New Roman" w:hAnsi="Times New Roman" w:cs="Times New Roman"/>
          <w:color w:val="000000" w:themeColor="text1"/>
          <w:sz w:val="24"/>
          <w:szCs w:val="24"/>
        </w:rPr>
        <w:t>, </w:t>
      </w:r>
      <w:r w:rsidRPr="00D07DBD">
        <w:rPr>
          <w:rFonts w:ascii="Times New Roman" w:hAnsi="Times New Roman" w:cs="Times New Roman"/>
          <w:i/>
          <w:iCs/>
          <w:color w:val="000000" w:themeColor="text1"/>
          <w:sz w:val="24"/>
          <w:szCs w:val="24"/>
        </w:rPr>
        <w:t>23</w:t>
      </w:r>
      <w:r w:rsidRPr="00D07DBD">
        <w:rPr>
          <w:rFonts w:ascii="Times New Roman" w:hAnsi="Times New Roman" w:cs="Times New Roman"/>
          <w:color w:val="000000" w:themeColor="text1"/>
          <w:sz w:val="24"/>
          <w:szCs w:val="24"/>
        </w:rPr>
        <w:t>(4), pp.448-486.</w:t>
      </w:r>
    </w:p>
    <w:p w14:paraId="6ED3FAA4" w14:textId="77777777" w:rsidR="006912EF" w:rsidRPr="00D07DBD" w:rsidRDefault="006912EF" w:rsidP="006912EF">
      <w:pPr>
        <w:spacing w:before="240" w:line="360" w:lineRule="auto"/>
        <w:jc w:val="both"/>
        <w:rPr>
          <w:rFonts w:ascii="Times New Roman" w:hAnsi="Times New Roman" w:cs="Times New Roman"/>
          <w:color w:val="000000" w:themeColor="text1"/>
          <w:sz w:val="24"/>
          <w:szCs w:val="24"/>
        </w:rPr>
      </w:pPr>
      <w:proofErr w:type="spellStart"/>
      <w:r w:rsidRPr="00D07DBD">
        <w:rPr>
          <w:rFonts w:ascii="Times New Roman" w:hAnsi="Times New Roman" w:cs="Times New Roman"/>
          <w:color w:val="000000" w:themeColor="text1"/>
          <w:sz w:val="24"/>
          <w:szCs w:val="24"/>
        </w:rPr>
        <w:t>Deen</w:t>
      </w:r>
      <w:proofErr w:type="spellEnd"/>
      <w:r w:rsidRPr="00D07DBD">
        <w:rPr>
          <w:rFonts w:ascii="Times New Roman" w:hAnsi="Times New Roman" w:cs="Times New Roman"/>
          <w:color w:val="000000" w:themeColor="text1"/>
          <w:sz w:val="24"/>
          <w:szCs w:val="24"/>
        </w:rPr>
        <w:t>-Conteh, F.Y., 2020. Assessing the Impact of Transition from Rules-based to Principles-based Accounting in the Recognition of Revenue: A Study of Public Companies listed in the Russell 3000 Index that Elected the Full Retrospective Method of Accounting.</w:t>
      </w:r>
    </w:p>
    <w:p w14:paraId="5543463C" w14:textId="77777777" w:rsidR="006912EF" w:rsidRPr="008D4BB6" w:rsidRDefault="006912EF" w:rsidP="006912EF">
      <w:pPr>
        <w:pStyle w:val="NormalWeb"/>
        <w:spacing w:before="240" w:beforeAutospacing="0" w:after="0" w:afterAutospacing="0" w:line="360" w:lineRule="auto"/>
        <w:jc w:val="both"/>
        <w:rPr>
          <w:sz w:val="32"/>
        </w:rPr>
      </w:pPr>
      <w:proofErr w:type="spellStart"/>
      <w:r w:rsidRPr="008D4BB6">
        <w:rPr>
          <w:color w:val="222222"/>
          <w:szCs w:val="20"/>
          <w:shd w:val="clear" w:color="auto" w:fill="FFFFFF"/>
        </w:rPr>
        <w:t>Felber</w:t>
      </w:r>
      <w:proofErr w:type="spellEnd"/>
      <w:r w:rsidRPr="008D4BB6">
        <w:rPr>
          <w:color w:val="222222"/>
          <w:szCs w:val="20"/>
          <w:shd w:val="clear" w:color="auto" w:fill="FFFFFF"/>
        </w:rPr>
        <w:t xml:space="preserve">, C., Campos, V. and </w:t>
      </w:r>
      <w:proofErr w:type="spellStart"/>
      <w:r w:rsidRPr="008D4BB6">
        <w:rPr>
          <w:color w:val="222222"/>
          <w:szCs w:val="20"/>
          <w:shd w:val="clear" w:color="auto" w:fill="FFFFFF"/>
        </w:rPr>
        <w:t>Sanchis</w:t>
      </w:r>
      <w:proofErr w:type="spellEnd"/>
      <w:r w:rsidRPr="008D4BB6">
        <w:rPr>
          <w:color w:val="222222"/>
          <w:szCs w:val="20"/>
          <w:shd w:val="clear" w:color="auto" w:fill="FFFFFF"/>
        </w:rPr>
        <w:t>, J.R., 2019. The common good balance sheet, an adequate tool to capture non-</w:t>
      </w:r>
      <w:proofErr w:type="gramStart"/>
      <w:r w:rsidRPr="008D4BB6">
        <w:rPr>
          <w:color w:val="222222"/>
          <w:szCs w:val="20"/>
          <w:shd w:val="clear" w:color="auto" w:fill="FFFFFF"/>
        </w:rPr>
        <w:t>financials?.</w:t>
      </w:r>
      <w:proofErr w:type="gramEnd"/>
      <w:r w:rsidRPr="008D4BB6">
        <w:rPr>
          <w:color w:val="222222"/>
          <w:szCs w:val="20"/>
          <w:shd w:val="clear" w:color="auto" w:fill="FFFFFF"/>
        </w:rPr>
        <w:t xml:space="preserve"> </w:t>
      </w:r>
      <w:r w:rsidRPr="008D4BB6">
        <w:rPr>
          <w:i/>
          <w:iCs/>
          <w:color w:val="222222"/>
          <w:szCs w:val="20"/>
          <w:shd w:val="clear" w:color="auto" w:fill="FFFFFF"/>
        </w:rPr>
        <w:t>Sustainability</w:t>
      </w:r>
      <w:r w:rsidRPr="008D4BB6">
        <w:rPr>
          <w:color w:val="222222"/>
          <w:szCs w:val="20"/>
          <w:shd w:val="clear" w:color="auto" w:fill="FFFFFF"/>
        </w:rPr>
        <w:t xml:space="preserve">, </w:t>
      </w:r>
      <w:r w:rsidRPr="008D4BB6">
        <w:rPr>
          <w:i/>
          <w:iCs/>
          <w:color w:val="222222"/>
          <w:szCs w:val="20"/>
          <w:shd w:val="clear" w:color="auto" w:fill="FFFFFF"/>
        </w:rPr>
        <w:t>11</w:t>
      </w:r>
      <w:r w:rsidRPr="008D4BB6">
        <w:rPr>
          <w:color w:val="222222"/>
          <w:szCs w:val="20"/>
          <w:shd w:val="clear" w:color="auto" w:fill="FFFFFF"/>
        </w:rPr>
        <w:t>(14), p.3791.</w:t>
      </w:r>
    </w:p>
    <w:p w14:paraId="10EA51ED" w14:textId="77777777" w:rsidR="006912EF" w:rsidRPr="00D07DBD" w:rsidRDefault="006912EF" w:rsidP="006912EF">
      <w:pPr>
        <w:spacing w:before="240" w:line="360" w:lineRule="auto"/>
        <w:jc w:val="both"/>
        <w:rPr>
          <w:rFonts w:ascii="Times New Roman" w:hAnsi="Times New Roman" w:cs="Times New Roman"/>
          <w:color w:val="000000" w:themeColor="text1"/>
          <w:sz w:val="24"/>
          <w:szCs w:val="24"/>
        </w:rPr>
      </w:pPr>
      <w:r w:rsidRPr="00D07DBD">
        <w:rPr>
          <w:rFonts w:ascii="Times New Roman" w:hAnsi="Times New Roman" w:cs="Times New Roman"/>
          <w:color w:val="000000" w:themeColor="text1"/>
          <w:sz w:val="24"/>
          <w:szCs w:val="24"/>
        </w:rPr>
        <w:t>Green, W.J. and Cheng, M.M., 2019. Materiality judgments in an integrated reporting setting: The effect of strategic relevance and strategy map. </w:t>
      </w:r>
      <w:r w:rsidRPr="00D07DBD">
        <w:rPr>
          <w:rFonts w:ascii="Times New Roman" w:hAnsi="Times New Roman" w:cs="Times New Roman"/>
          <w:i/>
          <w:iCs/>
          <w:color w:val="000000" w:themeColor="text1"/>
          <w:sz w:val="24"/>
          <w:szCs w:val="24"/>
        </w:rPr>
        <w:t>Accounting, Organizations and Society</w:t>
      </w:r>
      <w:r w:rsidRPr="00D07DBD">
        <w:rPr>
          <w:rFonts w:ascii="Times New Roman" w:hAnsi="Times New Roman" w:cs="Times New Roman"/>
          <w:color w:val="000000" w:themeColor="text1"/>
          <w:sz w:val="24"/>
          <w:szCs w:val="24"/>
        </w:rPr>
        <w:t>, </w:t>
      </w:r>
      <w:r w:rsidRPr="00D07DBD">
        <w:rPr>
          <w:rFonts w:ascii="Times New Roman" w:hAnsi="Times New Roman" w:cs="Times New Roman"/>
          <w:i/>
          <w:iCs/>
          <w:color w:val="000000" w:themeColor="text1"/>
          <w:sz w:val="24"/>
          <w:szCs w:val="24"/>
        </w:rPr>
        <w:t>73</w:t>
      </w:r>
      <w:r w:rsidRPr="00D07DBD">
        <w:rPr>
          <w:rFonts w:ascii="Times New Roman" w:hAnsi="Times New Roman" w:cs="Times New Roman"/>
          <w:color w:val="000000" w:themeColor="text1"/>
          <w:sz w:val="24"/>
          <w:szCs w:val="24"/>
        </w:rPr>
        <w:t>, pp.1-14.</w:t>
      </w:r>
    </w:p>
    <w:p w14:paraId="0855BAAE" w14:textId="77777777" w:rsidR="006912EF" w:rsidRPr="00D07DBD" w:rsidRDefault="006912EF" w:rsidP="006912EF">
      <w:pPr>
        <w:spacing w:before="240" w:line="360" w:lineRule="auto"/>
        <w:jc w:val="both"/>
        <w:rPr>
          <w:rFonts w:ascii="Times New Roman" w:hAnsi="Times New Roman" w:cs="Times New Roman"/>
          <w:color w:val="000000" w:themeColor="text1"/>
          <w:sz w:val="24"/>
          <w:szCs w:val="24"/>
        </w:rPr>
      </w:pPr>
      <w:r w:rsidRPr="00D07DBD">
        <w:rPr>
          <w:rFonts w:ascii="Times New Roman" w:hAnsi="Times New Roman" w:cs="Times New Roman"/>
          <w:color w:val="000000" w:themeColor="text1"/>
          <w:sz w:val="24"/>
          <w:szCs w:val="24"/>
        </w:rPr>
        <w:t xml:space="preserve">Guliyev, V. and Hajiyev, N., 2020. Postulates And Principles </w:t>
      </w:r>
      <w:proofErr w:type="gramStart"/>
      <w:r w:rsidRPr="00D07DBD">
        <w:rPr>
          <w:rFonts w:ascii="Times New Roman" w:hAnsi="Times New Roman" w:cs="Times New Roman"/>
          <w:color w:val="000000" w:themeColor="text1"/>
          <w:sz w:val="24"/>
          <w:szCs w:val="24"/>
        </w:rPr>
        <w:t>In</w:t>
      </w:r>
      <w:proofErr w:type="gramEnd"/>
      <w:r w:rsidRPr="00D07DBD">
        <w:rPr>
          <w:rFonts w:ascii="Times New Roman" w:hAnsi="Times New Roman" w:cs="Times New Roman"/>
          <w:color w:val="000000" w:themeColor="text1"/>
          <w:sz w:val="24"/>
          <w:szCs w:val="24"/>
        </w:rPr>
        <w:t xml:space="preserve"> Accounting. </w:t>
      </w:r>
      <w:r w:rsidRPr="00D07DBD">
        <w:rPr>
          <w:rFonts w:ascii="Times New Roman" w:hAnsi="Times New Roman" w:cs="Times New Roman"/>
          <w:i/>
          <w:iCs/>
          <w:color w:val="000000" w:themeColor="text1"/>
          <w:sz w:val="24"/>
          <w:szCs w:val="24"/>
        </w:rPr>
        <w:t>Economic and Social Development: Book of Proceedings</w:t>
      </w:r>
      <w:r w:rsidRPr="00D07DBD">
        <w:rPr>
          <w:rFonts w:ascii="Times New Roman" w:hAnsi="Times New Roman" w:cs="Times New Roman"/>
          <w:color w:val="000000" w:themeColor="text1"/>
          <w:sz w:val="24"/>
          <w:szCs w:val="24"/>
        </w:rPr>
        <w:t>, </w:t>
      </w:r>
      <w:r w:rsidRPr="00D07DBD">
        <w:rPr>
          <w:rFonts w:ascii="Times New Roman" w:hAnsi="Times New Roman" w:cs="Times New Roman"/>
          <w:i/>
          <w:iCs/>
          <w:color w:val="000000" w:themeColor="text1"/>
          <w:sz w:val="24"/>
          <w:szCs w:val="24"/>
        </w:rPr>
        <w:t>2</w:t>
      </w:r>
      <w:r w:rsidRPr="00D07DBD">
        <w:rPr>
          <w:rFonts w:ascii="Times New Roman" w:hAnsi="Times New Roman" w:cs="Times New Roman"/>
          <w:color w:val="000000" w:themeColor="text1"/>
          <w:sz w:val="24"/>
          <w:szCs w:val="24"/>
        </w:rPr>
        <w:t>, pp.674-683.</w:t>
      </w:r>
    </w:p>
    <w:p w14:paraId="5BE766EC" w14:textId="77777777" w:rsidR="006912EF" w:rsidRPr="008D4BB6" w:rsidRDefault="006912EF" w:rsidP="006912EF">
      <w:pPr>
        <w:pStyle w:val="NormalWeb"/>
        <w:spacing w:before="240" w:beforeAutospacing="0" w:after="240" w:afterAutospacing="0" w:line="360" w:lineRule="auto"/>
        <w:jc w:val="both"/>
        <w:rPr>
          <w:sz w:val="32"/>
        </w:rPr>
      </w:pPr>
      <w:proofErr w:type="spellStart"/>
      <w:r w:rsidRPr="008D4BB6">
        <w:rPr>
          <w:color w:val="222222"/>
          <w:szCs w:val="20"/>
          <w:shd w:val="clear" w:color="auto" w:fill="FFFFFF"/>
        </w:rPr>
        <w:t>Hollon</w:t>
      </w:r>
      <w:proofErr w:type="spellEnd"/>
      <w:r w:rsidRPr="008D4BB6">
        <w:rPr>
          <w:color w:val="222222"/>
          <w:szCs w:val="20"/>
          <w:shd w:val="clear" w:color="auto" w:fill="FFFFFF"/>
        </w:rPr>
        <w:t xml:space="preserve">, S.D. and </w:t>
      </w:r>
      <w:proofErr w:type="spellStart"/>
      <w:r w:rsidRPr="008D4BB6">
        <w:rPr>
          <w:color w:val="222222"/>
          <w:szCs w:val="20"/>
          <w:shd w:val="clear" w:color="auto" w:fill="FFFFFF"/>
        </w:rPr>
        <w:t>Teachman</w:t>
      </w:r>
      <w:proofErr w:type="spellEnd"/>
      <w:r w:rsidRPr="008D4BB6">
        <w:rPr>
          <w:color w:val="222222"/>
          <w:szCs w:val="20"/>
          <w:shd w:val="clear" w:color="auto" w:fill="FFFFFF"/>
        </w:rPr>
        <w:t xml:space="preserve">, B.A., 2019. Advantages of developing clinical practice guidelines using international standards. </w:t>
      </w:r>
      <w:r w:rsidRPr="008D4BB6">
        <w:rPr>
          <w:i/>
          <w:iCs/>
          <w:color w:val="222222"/>
          <w:szCs w:val="20"/>
          <w:shd w:val="clear" w:color="auto" w:fill="FFFFFF"/>
        </w:rPr>
        <w:t>Psychotherapy</w:t>
      </w:r>
      <w:r w:rsidRPr="008D4BB6">
        <w:rPr>
          <w:color w:val="222222"/>
          <w:szCs w:val="20"/>
          <w:shd w:val="clear" w:color="auto" w:fill="FFFFFF"/>
        </w:rPr>
        <w:t xml:space="preserve">, </w:t>
      </w:r>
      <w:r w:rsidRPr="008D4BB6">
        <w:rPr>
          <w:i/>
          <w:iCs/>
          <w:color w:val="222222"/>
          <w:szCs w:val="20"/>
          <w:shd w:val="clear" w:color="auto" w:fill="FFFFFF"/>
        </w:rPr>
        <w:t>56</w:t>
      </w:r>
      <w:r w:rsidRPr="008D4BB6">
        <w:rPr>
          <w:color w:val="222222"/>
          <w:szCs w:val="20"/>
          <w:shd w:val="clear" w:color="auto" w:fill="FFFFFF"/>
        </w:rPr>
        <w:t>(3), p.340.</w:t>
      </w:r>
    </w:p>
    <w:p w14:paraId="57645109" w14:textId="77777777" w:rsidR="006912EF" w:rsidRPr="008D4BB6" w:rsidRDefault="006912EF" w:rsidP="006912EF">
      <w:pPr>
        <w:pStyle w:val="NormalWeb"/>
        <w:spacing w:before="240" w:beforeAutospacing="0" w:after="0" w:afterAutospacing="0" w:line="360" w:lineRule="auto"/>
        <w:jc w:val="both"/>
        <w:rPr>
          <w:sz w:val="32"/>
        </w:rPr>
      </w:pPr>
      <w:proofErr w:type="spellStart"/>
      <w:r w:rsidRPr="008D4BB6">
        <w:rPr>
          <w:color w:val="222222"/>
          <w:szCs w:val="20"/>
          <w:shd w:val="clear" w:color="auto" w:fill="FFFFFF"/>
        </w:rPr>
        <w:t>Huo</w:t>
      </w:r>
      <w:proofErr w:type="spellEnd"/>
      <w:r w:rsidRPr="008D4BB6">
        <w:rPr>
          <w:color w:val="222222"/>
          <w:szCs w:val="20"/>
          <w:shd w:val="clear" w:color="auto" w:fill="FFFFFF"/>
        </w:rPr>
        <w:t xml:space="preserve">, T., Ren, H., Zhang, X., Cai, W., Feng, W., Zhou, N. and Wang, X., 2018. China's energy consumption in the building sector: A Statistical Yearbook-Energy Balance Sheet based splitting method. </w:t>
      </w:r>
      <w:r w:rsidRPr="008D4BB6">
        <w:rPr>
          <w:i/>
          <w:iCs/>
          <w:color w:val="222222"/>
          <w:szCs w:val="20"/>
          <w:shd w:val="clear" w:color="auto" w:fill="FFFFFF"/>
        </w:rPr>
        <w:t>Journal of cleaner production</w:t>
      </w:r>
      <w:r w:rsidRPr="008D4BB6">
        <w:rPr>
          <w:color w:val="222222"/>
          <w:szCs w:val="20"/>
          <w:shd w:val="clear" w:color="auto" w:fill="FFFFFF"/>
        </w:rPr>
        <w:t xml:space="preserve">, </w:t>
      </w:r>
      <w:r w:rsidRPr="008D4BB6">
        <w:rPr>
          <w:i/>
          <w:iCs/>
          <w:color w:val="222222"/>
          <w:szCs w:val="20"/>
          <w:shd w:val="clear" w:color="auto" w:fill="FFFFFF"/>
        </w:rPr>
        <w:t>185</w:t>
      </w:r>
      <w:r w:rsidRPr="008D4BB6">
        <w:rPr>
          <w:color w:val="222222"/>
          <w:szCs w:val="20"/>
          <w:shd w:val="clear" w:color="auto" w:fill="FFFFFF"/>
        </w:rPr>
        <w:t>, pp.665-679.</w:t>
      </w:r>
    </w:p>
    <w:p w14:paraId="3E85B64A" w14:textId="77777777" w:rsidR="006912EF" w:rsidRPr="00D07DBD" w:rsidRDefault="006912EF" w:rsidP="006912EF">
      <w:pPr>
        <w:spacing w:before="240" w:line="360" w:lineRule="auto"/>
        <w:jc w:val="both"/>
        <w:rPr>
          <w:rFonts w:ascii="Times New Roman" w:hAnsi="Times New Roman" w:cs="Times New Roman"/>
          <w:color w:val="000000" w:themeColor="text1"/>
          <w:sz w:val="24"/>
          <w:szCs w:val="24"/>
        </w:rPr>
      </w:pPr>
      <w:r w:rsidRPr="00D07DBD">
        <w:rPr>
          <w:rFonts w:ascii="Times New Roman" w:hAnsi="Times New Roman" w:cs="Times New Roman"/>
          <w:color w:val="000000" w:themeColor="text1"/>
          <w:sz w:val="24"/>
          <w:szCs w:val="24"/>
        </w:rPr>
        <w:t>Kim, M.P., 2019. </w:t>
      </w:r>
      <w:r w:rsidRPr="00D07DBD">
        <w:rPr>
          <w:rFonts w:ascii="Times New Roman" w:hAnsi="Times New Roman" w:cs="Times New Roman"/>
          <w:i/>
          <w:iCs/>
          <w:color w:val="000000" w:themeColor="text1"/>
          <w:sz w:val="24"/>
          <w:szCs w:val="24"/>
        </w:rPr>
        <w:t>Principles-based accounting standards and regulatory enforcement</w:t>
      </w:r>
      <w:r w:rsidRPr="00D07DBD">
        <w:rPr>
          <w:rFonts w:ascii="Times New Roman" w:hAnsi="Times New Roman" w:cs="Times New Roman"/>
          <w:color w:val="000000" w:themeColor="text1"/>
          <w:sz w:val="24"/>
          <w:szCs w:val="24"/>
        </w:rPr>
        <w:t>. Working paper, Florida State University, Tallahassee.</w:t>
      </w:r>
    </w:p>
    <w:p w14:paraId="2AAEFD91" w14:textId="77777777" w:rsidR="006912EF" w:rsidRPr="00D07DBD" w:rsidRDefault="006912EF" w:rsidP="006912EF">
      <w:pPr>
        <w:spacing w:before="240" w:line="360" w:lineRule="auto"/>
        <w:jc w:val="both"/>
        <w:rPr>
          <w:rFonts w:ascii="Times New Roman" w:hAnsi="Times New Roman" w:cs="Times New Roman"/>
          <w:color w:val="000000" w:themeColor="text1"/>
          <w:sz w:val="24"/>
          <w:szCs w:val="24"/>
        </w:rPr>
      </w:pPr>
      <w:proofErr w:type="spellStart"/>
      <w:r w:rsidRPr="00D07DBD">
        <w:rPr>
          <w:rFonts w:ascii="Times New Roman" w:hAnsi="Times New Roman" w:cs="Times New Roman"/>
          <w:color w:val="000000" w:themeColor="text1"/>
          <w:sz w:val="24"/>
          <w:szCs w:val="24"/>
        </w:rPr>
        <w:t>Kumor</w:t>
      </w:r>
      <w:proofErr w:type="spellEnd"/>
      <w:r w:rsidRPr="00D07DBD">
        <w:rPr>
          <w:rFonts w:ascii="Times New Roman" w:hAnsi="Times New Roman" w:cs="Times New Roman"/>
          <w:color w:val="000000" w:themeColor="text1"/>
          <w:sz w:val="24"/>
          <w:szCs w:val="24"/>
        </w:rPr>
        <w:t xml:space="preserve">, I. and </w:t>
      </w:r>
      <w:proofErr w:type="spellStart"/>
      <w:r w:rsidRPr="00D07DBD">
        <w:rPr>
          <w:rFonts w:ascii="Times New Roman" w:hAnsi="Times New Roman" w:cs="Times New Roman"/>
          <w:color w:val="000000" w:themeColor="text1"/>
          <w:sz w:val="24"/>
          <w:szCs w:val="24"/>
        </w:rPr>
        <w:t>Mackowiak</w:t>
      </w:r>
      <w:proofErr w:type="spellEnd"/>
      <w:r w:rsidRPr="00D07DBD">
        <w:rPr>
          <w:rFonts w:ascii="Times New Roman" w:hAnsi="Times New Roman" w:cs="Times New Roman"/>
          <w:color w:val="000000" w:themeColor="text1"/>
          <w:sz w:val="24"/>
          <w:szCs w:val="24"/>
        </w:rPr>
        <w:t>, E., 2018, June. Materiality in accounting and auditing. In </w:t>
      </w:r>
      <w:r w:rsidRPr="00D07DBD">
        <w:rPr>
          <w:rFonts w:ascii="Times New Roman" w:hAnsi="Times New Roman" w:cs="Times New Roman"/>
          <w:i/>
          <w:iCs/>
          <w:color w:val="000000" w:themeColor="text1"/>
          <w:sz w:val="24"/>
          <w:szCs w:val="24"/>
        </w:rPr>
        <w:t>Economic and Social Development (Book of Proceedings), 32nd International Scientific Conference on Economic and Social</w:t>
      </w:r>
      <w:r w:rsidRPr="00D07DBD">
        <w:rPr>
          <w:rFonts w:ascii="Times New Roman" w:hAnsi="Times New Roman" w:cs="Times New Roman"/>
          <w:color w:val="000000" w:themeColor="text1"/>
          <w:sz w:val="24"/>
          <w:szCs w:val="24"/>
        </w:rPr>
        <w:t> (p. 218).</w:t>
      </w:r>
    </w:p>
    <w:p w14:paraId="16425E7F" w14:textId="77777777" w:rsidR="006912EF" w:rsidRPr="008D4BB6" w:rsidRDefault="006912EF" w:rsidP="006912EF">
      <w:pPr>
        <w:pStyle w:val="NormalWeb"/>
        <w:spacing w:before="240" w:beforeAutospacing="0" w:after="240" w:afterAutospacing="0" w:line="360" w:lineRule="auto"/>
        <w:jc w:val="both"/>
        <w:rPr>
          <w:sz w:val="32"/>
        </w:rPr>
      </w:pPr>
      <w:proofErr w:type="spellStart"/>
      <w:r w:rsidRPr="008D4BB6">
        <w:rPr>
          <w:color w:val="222222"/>
          <w:szCs w:val="20"/>
          <w:shd w:val="clear" w:color="auto" w:fill="FFFFFF"/>
        </w:rPr>
        <w:t>Naniz</w:t>
      </w:r>
      <w:proofErr w:type="spellEnd"/>
      <w:r w:rsidRPr="008D4BB6">
        <w:rPr>
          <w:color w:val="222222"/>
          <w:szCs w:val="20"/>
          <w:shd w:val="clear" w:color="auto" w:fill="FFFFFF"/>
        </w:rPr>
        <w:t xml:space="preserve">, K.R., </w:t>
      </w:r>
      <w:proofErr w:type="spellStart"/>
      <w:r w:rsidRPr="008D4BB6">
        <w:rPr>
          <w:color w:val="222222"/>
          <w:szCs w:val="20"/>
          <w:shd w:val="clear" w:color="auto" w:fill="FFFFFF"/>
        </w:rPr>
        <w:t>Martynova</w:t>
      </w:r>
      <w:proofErr w:type="spellEnd"/>
      <w:r w:rsidRPr="008D4BB6">
        <w:rPr>
          <w:color w:val="222222"/>
          <w:szCs w:val="20"/>
          <w:shd w:val="clear" w:color="auto" w:fill="FFFFFF"/>
        </w:rPr>
        <w:t xml:space="preserve">, T.A. and </w:t>
      </w:r>
      <w:proofErr w:type="spellStart"/>
      <w:r w:rsidRPr="008D4BB6">
        <w:rPr>
          <w:color w:val="222222"/>
          <w:szCs w:val="20"/>
          <w:shd w:val="clear" w:color="auto" w:fill="FFFFFF"/>
        </w:rPr>
        <w:t>Deynega</w:t>
      </w:r>
      <w:proofErr w:type="spellEnd"/>
      <w:r w:rsidRPr="008D4BB6">
        <w:rPr>
          <w:color w:val="222222"/>
          <w:szCs w:val="20"/>
          <w:shd w:val="clear" w:color="auto" w:fill="FFFFFF"/>
        </w:rPr>
        <w:t xml:space="preserve">, V.N., 2019, January. Matrix assessment method for financial risks. In </w:t>
      </w:r>
      <w:r w:rsidRPr="008D4BB6">
        <w:rPr>
          <w:i/>
          <w:iCs/>
          <w:color w:val="222222"/>
          <w:szCs w:val="20"/>
          <w:shd w:val="clear" w:color="auto" w:fill="FFFFFF"/>
        </w:rPr>
        <w:t>International Scientific Conference" Far East Con"(ISCFEC 2018)</w:t>
      </w:r>
      <w:r w:rsidRPr="008D4BB6">
        <w:rPr>
          <w:color w:val="222222"/>
          <w:szCs w:val="20"/>
          <w:shd w:val="clear" w:color="auto" w:fill="FFFFFF"/>
        </w:rPr>
        <w:t xml:space="preserve"> (pp. 724-729). Atlantis Press.</w:t>
      </w:r>
    </w:p>
    <w:p w14:paraId="0B2FF82B" w14:textId="77777777" w:rsidR="006912EF" w:rsidRPr="008D4BB6" w:rsidRDefault="006912EF" w:rsidP="006912EF">
      <w:pPr>
        <w:pStyle w:val="NormalWeb"/>
        <w:spacing w:before="240" w:beforeAutospacing="0" w:after="240" w:afterAutospacing="0" w:line="360" w:lineRule="auto"/>
        <w:jc w:val="both"/>
        <w:rPr>
          <w:sz w:val="32"/>
        </w:rPr>
      </w:pPr>
      <w:r w:rsidRPr="008D4BB6">
        <w:rPr>
          <w:color w:val="222222"/>
          <w:szCs w:val="20"/>
          <w:shd w:val="clear" w:color="auto" w:fill="FFFFFF"/>
        </w:rPr>
        <w:t xml:space="preserve">Schweizer, D., Walker, T. and Zhang, A., 2019. Cross-border acquisitions by Chinese enterprises: The benefits and disadvantages of political connections. </w:t>
      </w:r>
      <w:r w:rsidRPr="008D4BB6">
        <w:rPr>
          <w:i/>
          <w:iCs/>
          <w:color w:val="222222"/>
          <w:szCs w:val="20"/>
          <w:shd w:val="clear" w:color="auto" w:fill="FFFFFF"/>
        </w:rPr>
        <w:t>Journal of Corporate Finance</w:t>
      </w:r>
      <w:r w:rsidRPr="008D4BB6">
        <w:rPr>
          <w:color w:val="222222"/>
          <w:szCs w:val="20"/>
          <w:shd w:val="clear" w:color="auto" w:fill="FFFFFF"/>
        </w:rPr>
        <w:t xml:space="preserve">, </w:t>
      </w:r>
      <w:r w:rsidRPr="008D4BB6">
        <w:rPr>
          <w:i/>
          <w:iCs/>
          <w:color w:val="222222"/>
          <w:szCs w:val="20"/>
          <w:shd w:val="clear" w:color="auto" w:fill="FFFFFF"/>
        </w:rPr>
        <w:t>57</w:t>
      </w:r>
      <w:r w:rsidRPr="008D4BB6">
        <w:rPr>
          <w:color w:val="222222"/>
          <w:szCs w:val="20"/>
          <w:shd w:val="clear" w:color="auto" w:fill="FFFFFF"/>
        </w:rPr>
        <w:t>, pp.63-85.</w:t>
      </w:r>
    </w:p>
    <w:p w14:paraId="4A504EC8" w14:textId="77777777" w:rsidR="006912EF" w:rsidRPr="008D4BB6" w:rsidRDefault="006912EF" w:rsidP="006912EF">
      <w:pPr>
        <w:pStyle w:val="NormalWeb"/>
        <w:spacing w:before="240" w:beforeAutospacing="0" w:after="240" w:afterAutospacing="0" w:line="360" w:lineRule="auto"/>
        <w:jc w:val="both"/>
        <w:rPr>
          <w:sz w:val="32"/>
        </w:rPr>
      </w:pPr>
      <w:proofErr w:type="spellStart"/>
      <w:r w:rsidRPr="008D4BB6">
        <w:rPr>
          <w:color w:val="222222"/>
          <w:szCs w:val="20"/>
          <w:shd w:val="clear" w:color="auto" w:fill="FFFFFF"/>
        </w:rPr>
        <w:t>Suyono</w:t>
      </w:r>
      <w:proofErr w:type="spellEnd"/>
      <w:r w:rsidRPr="008D4BB6">
        <w:rPr>
          <w:color w:val="222222"/>
          <w:szCs w:val="20"/>
          <w:shd w:val="clear" w:color="auto" w:fill="FFFFFF"/>
        </w:rPr>
        <w:t xml:space="preserve">, E., </w:t>
      </w:r>
      <w:proofErr w:type="spellStart"/>
      <w:r w:rsidRPr="008D4BB6">
        <w:rPr>
          <w:color w:val="222222"/>
          <w:szCs w:val="20"/>
          <w:shd w:val="clear" w:color="auto" w:fill="FFFFFF"/>
        </w:rPr>
        <w:t>Rusmana</w:t>
      </w:r>
      <w:proofErr w:type="spellEnd"/>
      <w:r w:rsidRPr="008D4BB6">
        <w:rPr>
          <w:color w:val="222222"/>
          <w:szCs w:val="20"/>
          <w:shd w:val="clear" w:color="auto" w:fill="FFFFFF"/>
        </w:rPr>
        <w:t xml:space="preserve">, O. and </w:t>
      </w:r>
      <w:proofErr w:type="spellStart"/>
      <w:r w:rsidRPr="008D4BB6">
        <w:rPr>
          <w:color w:val="222222"/>
          <w:szCs w:val="20"/>
          <w:shd w:val="clear" w:color="auto" w:fill="FFFFFF"/>
        </w:rPr>
        <w:t>Riswan</w:t>
      </w:r>
      <w:proofErr w:type="spellEnd"/>
      <w:r w:rsidRPr="008D4BB6">
        <w:rPr>
          <w:color w:val="222222"/>
          <w:szCs w:val="20"/>
          <w:shd w:val="clear" w:color="auto" w:fill="FFFFFF"/>
        </w:rPr>
        <w:t xml:space="preserve">, R., 2019, April. Integrated Information System to Revitalize </w:t>
      </w:r>
      <w:proofErr w:type="gramStart"/>
      <w:r w:rsidRPr="008D4BB6">
        <w:rPr>
          <w:color w:val="222222"/>
          <w:szCs w:val="20"/>
          <w:shd w:val="clear" w:color="auto" w:fill="FFFFFF"/>
        </w:rPr>
        <w:t>The</w:t>
      </w:r>
      <w:proofErr w:type="gramEnd"/>
      <w:r w:rsidRPr="008D4BB6">
        <w:rPr>
          <w:color w:val="222222"/>
          <w:szCs w:val="20"/>
          <w:shd w:val="clear" w:color="auto" w:fill="FFFFFF"/>
        </w:rPr>
        <w:t xml:space="preserve"> Cooperatives in </w:t>
      </w:r>
      <w:proofErr w:type="spellStart"/>
      <w:r w:rsidRPr="008D4BB6">
        <w:rPr>
          <w:color w:val="222222"/>
          <w:szCs w:val="20"/>
          <w:shd w:val="clear" w:color="auto" w:fill="FFFFFF"/>
        </w:rPr>
        <w:t>Banyumas</w:t>
      </w:r>
      <w:proofErr w:type="spellEnd"/>
      <w:r w:rsidRPr="008D4BB6">
        <w:rPr>
          <w:color w:val="222222"/>
          <w:szCs w:val="20"/>
          <w:shd w:val="clear" w:color="auto" w:fill="FFFFFF"/>
        </w:rPr>
        <w:t xml:space="preserve">. In </w:t>
      </w:r>
      <w:r w:rsidRPr="008D4BB6">
        <w:rPr>
          <w:i/>
          <w:iCs/>
          <w:color w:val="222222"/>
          <w:szCs w:val="20"/>
          <w:shd w:val="clear" w:color="auto" w:fill="FFFFFF"/>
        </w:rPr>
        <w:t>IOP Conference Series: Earth and Environmental Science</w:t>
      </w:r>
      <w:r w:rsidRPr="008D4BB6">
        <w:rPr>
          <w:color w:val="222222"/>
          <w:szCs w:val="20"/>
          <w:shd w:val="clear" w:color="auto" w:fill="FFFFFF"/>
        </w:rPr>
        <w:t xml:space="preserve"> (Vol. 255, No. 1, p. 012046). IOP Publishing.</w:t>
      </w:r>
    </w:p>
    <w:p w14:paraId="05EB1B3D" w14:textId="77777777" w:rsidR="006912EF" w:rsidRPr="00D07DBD" w:rsidRDefault="006912EF" w:rsidP="006912EF">
      <w:pPr>
        <w:spacing w:before="240" w:line="360" w:lineRule="auto"/>
        <w:jc w:val="both"/>
        <w:rPr>
          <w:rFonts w:ascii="Times New Roman" w:hAnsi="Times New Roman" w:cs="Times New Roman"/>
          <w:color w:val="000000" w:themeColor="text1"/>
          <w:sz w:val="24"/>
          <w:szCs w:val="24"/>
        </w:rPr>
      </w:pPr>
      <w:proofErr w:type="spellStart"/>
      <w:r w:rsidRPr="00D07DBD">
        <w:rPr>
          <w:rFonts w:ascii="Times New Roman" w:hAnsi="Times New Roman" w:cs="Times New Roman"/>
          <w:color w:val="000000" w:themeColor="text1"/>
          <w:sz w:val="24"/>
          <w:szCs w:val="24"/>
        </w:rPr>
        <w:t>Yasyshena</w:t>
      </w:r>
      <w:proofErr w:type="spellEnd"/>
      <w:r w:rsidRPr="00D07DBD">
        <w:rPr>
          <w:rFonts w:ascii="Times New Roman" w:hAnsi="Times New Roman" w:cs="Times New Roman"/>
          <w:color w:val="000000" w:themeColor="text1"/>
          <w:sz w:val="24"/>
          <w:szCs w:val="24"/>
        </w:rPr>
        <w:t>, V.V., 2019. Principles of accounting policies of intangible assets. </w:t>
      </w:r>
      <w:r w:rsidRPr="00D07DBD">
        <w:rPr>
          <w:rFonts w:ascii="Times New Roman" w:hAnsi="Times New Roman" w:cs="Times New Roman"/>
          <w:i/>
          <w:iCs/>
          <w:color w:val="000000" w:themeColor="text1"/>
          <w:sz w:val="24"/>
          <w:szCs w:val="24"/>
        </w:rPr>
        <w:t>INNOVATIVE ECONOMY</w:t>
      </w:r>
      <w:r w:rsidRPr="00D07DBD">
        <w:rPr>
          <w:rFonts w:ascii="Times New Roman" w:hAnsi="Times New Roman" w:cs="Times New Roman"/>
          <w:color w:val="000000" w:themeColor="text1"/>
          <w:sz w:val="24"/>
          <w:szCs w:val="24"/>
        </w:rPr>
        <w:t>, (3-4), pp.156-162.</w:t>
      </w:r>
    </w:p>
    <w:p w14:paraId="278098B3" w14:textId="77777777" w:rsidR="006912EF" w:rsidRDefault="006912EF" w:rsidP="006912EF">
      <w:pPr>
        <w:spacing w:before="240" w:line="360" w:lineRule="auto"/>
        <w:jc w:val="both"/>
        <w:rPr>
          <w:rFonts w:ascii="Times New Roman" w:hAnsi="Times New Roman" w:cs="Times New Roman"/>
          <w:color w:val="000000" w:themeColor="text1"/>
          <w:sz w:val="24"/>
          <w:szCs w:val="24"/>
        </w:rPr>
      </w:pPr>
      <w:r w:rsidRPr="00D07DBD">
        <w:rPr>
          <w:rFonts w:ascii="Times New Roman" w:hAnsi="Times New Roman" w:cs="Times New Roman"/>
          <w:color w:val="000000" w:themeColor="text1"/>
          <w:sz w:val="24"/>
          <w:szCs w:val="24"/>
        </w:rPr>
        <w:t xml:space="preserve">Yusof, R., Yin, K.Y., </w:t>
      </w:r>
      <w:proofErr w:type="spellStart"/>
      <w:r w:rsidRPr="00D07DBD">
        <w:rPr>
          <w:rFonts w:ascii="Times New Roman" w:hAnsi="Times New Roman" w:cs="Times New Roman"/>
          <w:color w:val="000000" w:themeColor="text1"/>
          <w:sz w:val="24"/>
          <w:szCs w:val="24"/>
        </w:rPr>
        <w:t>Norwani</w:t>
      </w:r>
      <w:proofErr w:type="spellEnd"/>
      <w:r w:rsidRPr="00D07DBD">
        <w:rPr>
          <w:rFonts w:ascii="Times New Roman" w:hAnsi="Times New Roman" w:cs="Times New Roman"/>
          <w:color w:val="000000" w:themeColor="text1"/>
          <w:sz w:val="24"/>
          <w:szCs w:val="24"/>
        </w:rPr>
        <w:t>, N.M., Ismail, Z., Ahmad, A.S. and Salleh, S., 2020. Teaching through Experiential Learning Cycle to Enhance Student Engagement in Principles of Accounting. </w:t>
      </w:r>
      <w:r w:rsidRPr="00D07DBD">
        <w:rPr>
          <w:rFonts w:ascii="Times New Roman" w:hAnsi="Times New Roman" w:cs="Times New Roman"/>
          <w:i/>
          <w:iCs/>
          <w:color w:val="000000" w:themeColor="text1"/>
          <w:sz w:val="24"/>
          <w:szCs w:val="24"/>
        </w:rPr>
        <w:t>International Journal of Learning, Teaching and Educational Research</w:t>
      </w:r>
      <w:r w:rsidRPr="00D07DBD">
        <w:rPr>
          <w:rFonts w:ascii="Times New Roman" w:hAnsi="Times New Roman" w:cs="Times New Roman"/>
          <w:color w:val="000000" w:themeColor="text1"/>
          <w:sz w:val="24"/>
          <w:szCs w:val="24"/>
        </w:rPr>
        <w:t>, </w:t>
      </w:r>
      <w:r w:rsidRPr="00D07DBD">
        <w:rPr>
          <w:rFonts w:ascii="Times New Roman" w:hAnsi="Times New Roman" w:cs="Times New Roman"/>
          <w:i/>
          <w:iCs/>
          <w:color w:val="000000" w:themeColor="text1"/>
          <w:sz w:val="24"/>
          <w:szCs w:val="24"/>
        </w:rPr>
        <w:t>19</w:t>
      </w:r>
      <w:r w:rsidRPr="00D07DBD">
        <w:rPr>
          <w:rFonts w:ascii="Times New Roman" w:hAnsi="Times New Roman" w:cs="Times New Roman"/>
          <w:color w:val="000000" w:themeColor="text1"/>
          <w:sz w:val="24"/>
          <w:szCs w:val="24"/>
        </w:rPr>
        <w:t>(10), pp.323-337.</w:t>
      </w:r>
    </w:p>
    <w:p w14:paraId="0B6EE4F2" w14:textId="77777777" w:rsidR="006912EF" w:rsidRPr="00D07DBD" w:rsidRDefault="006912EF" w:rsidP="00A34970">
      <w:pPr>
        <w:spacing w:line="360" w:lineRule="auto"/>
        <w:jc w:val="both"/>
        <w:rPr>
          <w:rFonts w:ascii="Times New Roman" w:hAnsi="Times New Roman" w:cs="Times New Roman"/>
          <w:color w:val="000000" w:themeColor="text1"/>
          <w:sz w:val="24"/>
          <w:szCs w:val="24"/>
        </w:rPr>
      </w:pPr>
    </w:p>
    <w:sectPr w:rsidR="006912EF" w:rsidRPr="00D07DBD" w:rsidSect="00604447">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609D1" w14:textId="77777777" w:rsidR="0097759F" w:rsidRDefault="0097759F">
      <w:pPr>
        <w:spacing w:line="240" w:lineRule="auto"/>
      </w:pPr>
      <w:r>
        <w:separator/>
      </w:r>
    </w:p>
  </w:endnote>
  <w:endnote w:type="continuationSeparator" w:id="0">
    <w:p w14:paraId="06F8A5FB" w14:textId="77777777" w:rsidR="0097759F" w:rsidRDefault="009775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4944040"/>
      <w:docPartObj>
        <w:docPartGallery w:val="Page Numbers (Bottom of Page)"/>
        <w:docPartUnique/>
      </w:docPartObj>
    </w:sdtPr>
    <w:sdtEndPr>
      <w:rPr>
        <w:noProof/>
      </w:rPr>
    </w:sdtEndPr>
    <w:sdtContent>
      <w:p w14:paraId="3C8E473C" w14:textId="77777777" w:rsidR="00604447" w:rsidRDefault="00424C61">
        <w:pPr>
          <w:pStyle w:val="Footer"/>
          <w:jc w:val="right"/>
        </w:pPr>
        <w:r w:rsidRPr="00604447">
          <w:rPr>
            <w:rFonts w:ascii="Times New Roman" w:hAnsi="Times New Roman" w:cs="Times New Roman"/>
            <w:sz w:val="20"/>
          </w:rPr>
          <w:fldChar w:fldCharType="begin"/>
        </w:r>
        <w:r w:rsidR="004D5703" w:rsidRPr="00604447">
          <w:rPr>
            <w:rFonts w:ascii="Times New Roman" w:hAnsi="Times New Roman" w:cs="Times New Roman"/>
            <w:sz w:val="20"/>
          </w:rPr>
          <w:instrText xml:space="preserve"> PAGE   \* MERGEFORMAT </w:instrText>
        </w:r>
        <w:r w:rsidRPr="00604447">
          <w:rPr>
            <w:rFonts w:ascii="Times New Roman" w:hAnsi="Times New Roman" w:cs="Times New Roman"/>
            <w:sz w:val="20"/>
          </w:rPr>
          <w:fldChar w:fldCharType="separate"/>
        </w:r>
        <w:r w:rsidR="00F10138">
          <w:rPr>
            <w:rFonts w:ascii="Times New Roman" w:hAnsi="Times New Roman" w:cs="Times New Roman"/>
            <w:noProof/>
            <w:sz w:val="20"/>
          </w:rPr>
          <w:t>11</w:t>
        </w:r>
        <w:r w:rsidRPr="00604447">
          <w:rPr>
            <w:rFonts w:ascii="Times New Roman" w:hAnsi="Times New Roman" w:cs="Times New Roman"/>
            <w:noProof/>
            <w:sz w:val="20"/>
          </w:rPr>
          <w:fldChar w:fldCharType="end"/>
        </w:r>
      </w:p>
    </w:sdtContent>
  </w:sdt>
  <w:p w14:paraId="394F93F3" w14:textId="77777777" w:rsidR="00604447" w:rsidRDefault="006044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7F5E4" w14:textId="77777777" w:rsidR="0097759F" w:rsidRDefault="0097759F">
      <w:pPr>
        <w:spacing w:line="240" w:lineRule="auto"/>
      </w:pPr>
      <w:r>
        <w:separator/>
      </w:r>
    </w:p>
  </w:footnote>
  <w:footnote w:type="continuationSeparator" w:id="0">
    <w:p w14:paraId="2086DB1C" w14:textId="77777777" w:rsidR="0097759F" w:rsidRDefault="0097759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FA3"/>
    <w:rsid w:val="00011551"/>
    <w:rsid w:val="00116913"/>
    <w:rsid w:val="00117AEF"/>
    <w:rsid w:val="0020191B"/>
    <w:rsid w:val="003F1578"/>
    <w:rsid w:val="00424C61"/>
    <w:rsid w:val="00497D88"/>
    <w:rsid w:val="004D5703"/>
    <w:rsid w:val="005236C6"/>
    <w:rsid w:val="005B303A"/>
    <w:rsid w:val="005C370C"/>
    <w:rsid w:val="00604447"/>
    <w:rsid w:val="006912EF"/>
    <w:rsid w:val="007C6A9E"/>
    <w:rsid w:val="0097759F"/>
    <w:rsid w:val="00A34970"/>
    <w:rsid w:val="00A37DC7"/>
    <w:rsid w:val="00BF4BE8"/>
    <w:rsid w:val="00D07DBD"/>
    <w:rsid w:val="00D77E1F"/>
    <w:rsid w:val="00E91FA3"/>
    <w:rsid w:val="00F10138"/>
    <w:rsid w:val="00F420EB"/>
    <w:rsid w:val="00FF42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2C673"/>
  <w15:docId w15:val="{74DCCB0D-43D2-3447-A6DF-7D8BFF8A6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24C61"/>
  </w:style>
  <w:style w:type="paragraph" w:styleId="Heading1">
    <w:name w:val="heading 1"/>
    <w:basedOn w:val="Normal"/>
    <w:next w:val="Normal"/>
    <w:rsid w:val="005C370C"/>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rsid w:val="005C370C"/>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rsid w:val="00424C61"/>
    <w:pPr>
      <w:keepNext/>
      <w:keepLines/>
      <w:spacing w:before="320" w:after="80"/>
      <w:outlineLvl w:val="2"/>
    </w:pPr>
    <w:rPr>
      <w:color w:val="434343"/>
      <w:sz w:val="28"/>
      <w:szCs w:val="28"/>
    </w:rPr>
  </w:style>
  <w:style w:type="paragraph" w:styleId="Heading4">
    <w:name w:val="heading 4"/>
    <w:basedOn w:val="Normal"/>
    <w:next w:val="Normal"/>
    <w:rsid w:val="00424C61"/>
    <w:pPr>
      <w:keepNext/>
      <w:keepLines/>
      <w:spacing w:before="280" w:after="80"/>
      <w:outlineLvl w:val="3"/>
    </w:pPr>
    <w:rPr>
      <w:color w:val="666666"/>
      <w:sz w:val="24"/>
      <w:szCs w:val="24"/>
    </w:rPr>
  </w:style>
  <w:style w:type="paragraph" w:styleId="Heading5">
    <w:name w:val="heading 5"/>
    <w:basedOn w:val="Normal"/>
    <w:next w:val="Normal"/>
    <w:rsid w:val="00424C61"/>
    <w:pPr>
      <w:keepNext/>
      <w:keepLines/>
      <w:spacing w:before="240" w:after="80"/>
      <w:outlineLvl w:val="4"/>
    </w:pPr>
    <w:rPr>
      <w:color w:val="666666"/>
    </w:rPr>
  </w:style>
  <w:style w:type="paragraph" w:styleId="Heading6">
    <w:name w:val="heading 6"/>
    <w:basedOn w:val="Normal"/>
    <w:next w:val="Normal"/>
    <w:rsid w:val="00424C6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24C61"/>
    <w:pPr>
      <w:keepNext/>
      <w:keepLines/>
      <w:spacing w:after="60"/>
    </w:pPr>
    <w:rPr>
      <w:sz w:val="52"/>
      <w:szCs w:val="52"/>
    </w:rPr>
  </w:style>
  <w:style w:type="paragraph" w:styleId="Subtitle">
    <w:name w:val="Subtitle"/>
    <w:basedOn w:val="Normal"/>
    <w:next w:val="Normal"/>
    <w:rsid w:val="00424C6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424C61"/>
    <w:pPr>
      <w:spacing w:line="240" w:lineRule="auto"/>
    </w:pPr>
    <w:rPr>
      <w:sz w:val="20"/>
      <w:szCs w:val="20"/>
    </w:rPr>
  </w:style>
  <w:style w:type="character" w:customStyle="1" w:styleId="CommentTextChar">
    <w:name w:val="Comment Text Char"/>
    <w:basedOn w:val="DefaultParagraphFont"/>
    <w:link w:val="CommentText"/>
    <w:uiPriority w:val="99"/>
    <w:semiHidden/>
    <w:rsid w:val="00424C61"/>
    <w:rPr>
      <w:sz w:val="20"/>
      <w:szCs w:val="20"/>
    </w:rPr>
  </w:style>
  <w:style w:type="character" w:styleId="CommentReference">
    <w:name w:val="annotation reference"/>
    <w:basedOn w:val="DefaultParagraphFont"/>
    <w:uiPriority w:val="99"/>
    <w:semiHidden/>
    <w:unhideWhenUsed/>
    <w:rsid w:val="00424C61"/>
    <w:rPr>
      <w:sz w:val="16"/>
      <w:szCs w:val="16"/>
    </w:rPr>
  </w:style>
  <w:style w:type="paragraph" w:styleId="BalloonText">
    <w:name w:val="Balloon Text"/>
    <w:basedOn w:val="Normal"/>
    <w:link w:val="BalloonTextChar"/>
    <w:uiPriority w:val="99"/>
    <w:semiHidden/>
    <w:unhideWhenUsed/>
    <w:rsid w:val="00A349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4970"/>
    <w:rPr>
      <w:rFonts w:ascii="Tahoma" w:hAnsi="Tahoma" w:cs="Tahoma"/>
      <w:sz w:val="16"/>
      <w:szCs w:val="16"/>
    </w:rPr>
  </w:style>
  <w:style w:type="paragraph" w:styleId="TOCHeading">
    <w:name w:val="TOC Heading"/>
    <w:basedOn w:val="Heading1"/>
    <w:next w:val="Normal"/>
    <w:uiPriority w:val="39"/>
    <w:semiHidden/>
    <w:unhideWhenUsed/>
    <w:qFormat/>
    <w:rsid w:val="00F420EB"/>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F420EB"/>
    <w:pPr>
      <w:spacing w:after="100"/>
    </w:pPr>
  </w:style>
  <w:style w:type="paragraph" w:styleId="TOC2">
    <w:name w:val="toc 2"/>
    <w:basedOn w:val="Normal"/>
    <w:next w:val="Normal"/>
    <w:autoRedefine/>
    <w:uiPriority w:val="39"/>
    <w:unhideWhenUsed/>
    <w:rsid w:val="00F420EB"/>
    <w:pPr>
      <w:spacing w:after="100"/>
      <w:ind w:left="220"/>
    </w:pPr>
  </w:style>
  <w:style w:type="character" w:styleId="Hyperlink">
    <w:name w:val="Hyperlink"/>
    <w:basedOn w:val="DefaultParagraphFont"/>
    <w:uiPriority w:val="99"/>
    <w:unhideWhenUsed/>
    <w:rsid w:val="00F420EB"/>
    <w:rPr>
      <w:color w:val="0000FF" w:themeColor="hyperlink"/>
      <w:u w:val="single"/>
    </w:rPr>
  </w:style>
  <w:style w:type="paragraph" w:styleId="Header">
    <w:name w:val="header"/>
    <w:basedOn w:val="Normal"/>
    <w:link w:val="HeaderChar"/>
    <w:uiPriority w:val="99"/>
    <w:unhideWhenUsed/>
    <w:rsid w:val="00604447"/>
    <w:pPr>
      <w:tabs>
        <w:tab w:val="center" w:pos="4680"/>
        <w:tab w:val="right" w:pos="9360"/>
      </w:tabs>
      <w:spacing w:line="240" w:lineRule="auto"/>
    </w:pPr>
  </w:style>
  <w:style w:type="character" w:customStyle="1" w:styleId="HeaderChar">
    <w:name w:val="Header Char"/>
    <w:basedOn w:val="DefaultParagraphFont"/>
    <w:link w:val="Header"/>
    <w:uiPriority w:val="99"/>
    <w:rsid w:val="00604447"/>
  </w:style>
  <w:style w:type="paragraph" w:styleId="Footer">
    <w:name w:val="footer"/>
    <w:basedOn w:val="Normal"/>
    <w:link w:val="FooterChar"/>
    <w:uiPriority w:val="99"/>
    <w:unhideWhenUsed/>
    <w:rsid w:val="00604447"/>
    <w:pPr>
      <w:tabs>
        <w:tab w:val="center" w:pos="4680"/>
        <w:tab w:val="right" w:pos="9360"/>
      </w:tabs>
      <w:spacing w:line="240" w:lineRule="auto"/>
    </w:pPr>
  </w:style>
  <w:style w:type="character" w:customStyle="1" w:styleId="FooterChar">
    <w:name w:val="Footer Char"/>
    <w:basedOn w:val="DefaultParagraphFont"/>
    <w:link w:val="Footer"/>
    <w:uiPriority w:val="99"/>
    <w:rsid w:val="00604447"/>
  </w:style>
  <w:style w:type="paragraph" w:styleId="NormalWeb">
    <w:name w:val="Normal (Web)"/>
    <w:basedOn w:val="Normal"/>
    <w:uiPriority w:val="99"/>
    <w:semiHidden/>
    <w:unhideWhenUsed/>
    <w:rsid w:val="006912EF"/>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61E270-42F4-472C-8E23-381E6658C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3133</Words>
  <Characters>18016</Characters>
  <Application>Microsoft Office Word</Application>
  <DocSecurity>0</DocSecurity>
  <Lines>243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Nuszer, Melinda (Student)</cp:lastModifiedBy>
  <cp:revision>2</cp:revision>
  <dcterms:created xsi:type="dcterms:W3CDTF">2022-03-18T12:51:00Z</dcterms:created>
  <dcterms:modified xsi:type="dcterms:W3CDTF">2022-03-18T12:51:00Z</dcterms:modified>
</cp:coreProperties>
</file>