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BC2F1" w14:textId="77777777" w:rsidR="00FA356E" w:rsidRPr="00DB4BFD" w:rsidRDefault="00FA356E" w:rsidP="000919F7">
      <w:pPr>
        <w:spacing w:line="360" w:lineRule="auto"/>
        <w:jc w:val="center"/>
        <w:rPr>
          <w:rFonts w:ascii="Arial" w:hAnsi="Arial" w:cs="Arial"/>
          <w:b/>
        </w:rPr>
      </w:pPr>
      <w:r w:rsidRPr="00DB4BFD">
        <w:rPr>
          <w:rFonts w:ascii="Arial" w:hAnsi="Arial" w:cs="Arial"/>
          <w:b/>
        </w:rPr>
        <w:t xml:space="preserve">Cristian </w:t>
      </w:r>
      <w:proofErr w:type="spellStart"/>
      <w:r w:rsidRPr="00DB4BFD">
        <w:rPr>
          <w:rFonts w:ascii="Arial" w:hAnsi="Arial" w:cs="Arial"/>
          <w:b/>
        </w:rPr>
        <w:t>Pintilei</w:t>
      </w:r>
      <w:proofErr w:type="spellEnd"/>
    </w:p>
    <w:p w14:paraId="70728F00" w14:textId="0DCD0BB6" w:rsidR="00440CC8" w:rsidRPr="00DB4BFD" w:rsidRDefault="00FA356E" w:rsidP="000919F7">
      <w:pPr>
        <w:spacing w:line="360" w:lineRule="auto"/>
        <w:jc w:val="center"/>
        <w:rPr>
          <w:rFonts w:ascii="Arial" w:hAnsi="Arial" w:cs="Arial"/>
        </w:rPr>
      </w:pPr>
      <w:r w:rsidRPr="00DB4BFD">
        <w:rPr>
          <w:rFonts w:ascii="Arial" w:hAnsi="Arial" w:cs="Arial"/>
          <w:b/>
        </w:rPr>
        <w:t>BS191123-01</w:t>
      </w:r>
      <w:r w:rsidR="00440CC8" w:rsidRPr="00DB4BFD">
        <w:rPr>
          <w:rFonts w:ascii="Arial" w:hAnsi="Arial" w:cs="Arial"/>
        </w:rPr>
        <w:br w:type="page"/>
      </w:r>
    </w:p>
    <w:sdt>
      <w:sdtPr>
        <w:rPr>
          <w:rFonts w:ascii="Arial" w:hAnsi="Arial" w:cs="Arial"/>
          <w:sz w:val="22"/>
          <w:szCs w:val="22"/>
        </w:rPr>
        <w:id w:val="1511177609"/>
        <w:docPartObj>
          <w:docPartGallery w:val="Table of Contents"/>
          <w:docPartUnique/>
        </w:docPartObj>
      </w:sdtPr>
      <w:sdtEndPr>
        <w:rPr>
          <w:rFonts w:eastAsiaTheme="minorHAnsi"/>
          <w:b/>
          <w:bCs/>
          <w:noProof/>
          <w:color w:val="auto"/>
          <w:kern w:val="2"/>
          <w14:ligatures w14:val="standardContextual"/>
        </w:rPr>
      </w:sdtEndPr>
      <w:sdtContent>
        <w:p w14:paraId="216ED1BF" w14:textId="288C64F3" w:rsidR="00FA356E" w:rsidRPr="00DB4BFD" w:rsidRDefault="00FA356E" w:rsidP="00DB4BFD">
          <w:pPr>
            <w:pStyle w:val="TOCHeading"/>
            <w:spacing w:line="360" w:lineRule="auto"/>
            <w:jc w:val="both"/>
            <w:rPr>
              <w:rFonts w:ascii="Arial" w:hAnsi="Arial" w:cs="Arial"/>
              <w:sz w:val="22"/>
              <w:szCs w:val="22"/>
            </w:rPr>
          </w:pPr>
          <w:r w:rsidRPr="00DB4BFD">
            <w:rPr>
              <w:rFonts w:ascii="Arial" w:hAnsi="Arial" w:cs="Arial"/>
              <w:sz w:val="22"/>
              <w:szCs w:val="22"/>
            </w:rPr>
            <w:t>Table of Contents</w:t>
          </w:r>
        </w:p>
        <w:p w14:paraId="34A1FF18" w14:textId="2C07647D" w:rsidR="00990627" w:rsidRPr="00DB4BFD" w:rsidRDefault="00FA356E" w:rsidP="00DB4BFD">
          <w:pPr>
            <w:pStyle w:val="TOC1"/>
            <w:tabs>
              <w:tab w:val="right" w:leader="dot" w:pos="9350"/>
            </w:tabs>
            <w:spacing w:line="360" w:lineRule="auto"/>
            <w:jc w:val="both"/>
            <w:rPr>
              <w:rFonts w:ascii="Arial" w:eastAsiaTheme="minorEastAsia" w:hAnsi="Arial" w:cs="Arial"/>
              <w:noProof/>
              <w:lang w:val="en-IN" w:eastAsia="en-IN"/>
            </w:rPr>
          </w:pPr>
          <w:r w:rsidRPr="00DB4BFD">
            <w:rPr>
              <w:rFonts w:ascii="Arial" w:hAnsi="Arial" w:cs="Arial"/>
            </w:rPr>
            <w:fldChar w:fldCharType="begin"/>
          </w:r>
          <w:r w:rsidRPr="00DB4BFD">
            <w:rPr>
              <w:rFonts w:ascii="Arial" w:hAnsi="Arial" w:cs="Arial"/>
            </w:rPr>
            <w:instrText xml:space="preserve"> TOC \o "1-3" \h \z \u </w:instrText>
          </w:r>
          <w:r w:rsidRPr="00DB4BFD">
            <w:rPr>
              <w:rFonts w:ascii="Arial" w:hAnsi="Arial" w:cs="Arial"/>
            </w:rPr>
            <w:fldChar w:fldCharType="separate"/>
          </w:r>
          <w:hyperlink w:anchor="_Toc151393430" w:history="1">
            <w:r w:rsidR="00990627" w:rsidRPr="00DB4BFD">
              <w:rPr>
                <w:rStyle w:val="Hyperlink"/>
                <w:rFonts w:ascii="Arial" w:hAnsi="Arial" w:cs="Arial"/>
                <w:noProof/>
              </w:rPr>
              <w:t>Part 1: GreenMed Dataset Analysis</w:t>
            </w:r>
            <w:r w:rsidR="00990627" w:rsidRPr="00DB4BFD">
              <w:rPr>
                <w:rFonts w:ascii="Arial" w:hAnsi="Arial" w:cs="Arial"/>
                <w:noProof/>
                <w:webHidden/>
              </w:rPr>
              <w:tab/>
            </w:r>
            <w:r w:rsidR="00990627" w:rsidRPr="00DB4BFD">
              <w:rPr>
                <w:rFonts w:ascii="Arial" w:hAnsi="Arial" w:cs="Arial"/>
                <w:noProof/>
                <w:webHidden/>
              </w:rPr>
              <w:fldChar w:fldCharType="begin"/>
            </w:r>
            <w:r w:rsidR="00990627" w:rsidRPr="00DB4BFD">
              <w:rPr>
                <w:rFonts w:ascii="Arial" w:hAnsi="Arial" w:cs="Arial"/>
                <w:noProof/>
                <w:webHidden/>
              </w:rPr>
              <w:instrText xml:space="preserve"> PAGEREF _Toc151393430 \h </w:instrText>
            </w:r>
            <w:r w:rsidR="00990627" w:rsidRPr="00DB4BFD">
              <w:rPr>
                <w:rFonts w:ascii="Arial" w:hAnsi="Arial" w:cs="Arial"/>
                <w:noProof/>
                <w:webHidden/>
              </w:rPr>
            </w:r>
            <w:r w:rsidR="00990627" w:rsidRPr="00DB4BFD">
              <w:rPr>
                <w:rFonts w:ascii="Arial" w:hAnsi="Arial" w:cs="Arial"/>
                <w:noProof/>
                <w:webHidden/>
              </w:rPr>
              <w:fldChar w:fldCharType="separate"/>
            </w:r>
            <w:r w:rsidR="00990627" w:rsidRPr="00DB4BFD">
              <w:rPr>
                <w:rFonts w:ascii="Arial" w:hAnsi="Arial" w:cs="Arial"/>
                <w:noProof/>
                <w:webHidden/>
              </w:rPr>
              <w:t>3</w:t>
            </w:r>
            <w:r w:rsidR="00990627" w:rsidRPr="00DB4BFD">
              <w:rPr>
                <w:rFonts w:ascii="Arial" w:hAnsi="Arial" w:cs="Arial"/>
                <w:noProof/>
                <w:webHidden/>
              </w:rPr>
              <w:fldChar w:fldCharType="end"/>
            </w:r>
          </w:hyperlink>
        </w:p>
        <w:p w14:paraId="45C4090B" w14:textId="451CE5A4" w:rsidR="00990627" w:rsidRPr="00DB4BFD" w:rsidRDefault="00990627" w:rsidP="00DB4BFD">
          <w:pPr>
            <w:pStyle w:val="TOC2"/>
            <w:tabs>
              <w:tab w:val="right" w:leader="dot" w:pos="9350"/>
            </w:tabs>
            <w:spacing w:line="360" w:lineRule="auto"/>
            <w:jc w:val="both"/>
            <w:rPr>
              <w:rFonts w:ascii="Arial" w:eastAsiaTheme="minorEastAsia" w:hAnsi="Arial" w:cs="Arial"/>
              <w:noProof/>
              <w:lang w:val="en-IN" w:eastAsia="en-IN"/>
            </w:rPr>
          </w:pPr>
          <w:hyperlink w:anchor="_Toc151393431" w:history="1">
            <w:r w:rsidRPr="00DB4BFD">
              <w:rPr>
                <w:rStyle w:val="Hyperlink"/>
                <w:rFonts w:ascii="Arial" w:hAnsi="Arial" w:cs="Arial"/>
                <w:noProof/>
              </w:rPr>
              <w:t>Introduction</w:t>
            </w:r>
            <w:r w:rsidRPr="00DB4BFD">
              <w:rPr>
                <w:rFonts w:ascii="Arial" w:hAnsi="Arial" w:cs="Arial"/>
                <w:noProof/>
                <w:webHidden/>
              </w:rPr>
              <w:tab/>
            </w:r>
            <w:r w:rsidRPr="00DB4BFD">
              <w:rPr>
                <w:rFonts w:ascii="Arial" w:hAnsi="Arial" w:cs="Arial"/>
                <w:noProof/>
                <w:webHidden/>
              </w:rPr>
              <w:fldChar w:fldCharType="begin"/>
            </w:r>
            <w:r w:rsidRPr="00DB4BFD">
              <w:rPr>
                <w:rFonts w:ascii="Arial" w:hAnsi="Arial" w:cs="Arial"/>
                <w:noProof/>
                <w:webHidden/>
              </w:rPr>
              <w:instrText xml:space="preserve"> PAGEREF _Toc151393431 \h </w:instrText>
            </w:r>
            <w:r w:rsidRPr="00DB4BFD">
              <w:rPr>
                <w:rFonts w:ascii="Arial" w:hAnsi="Arial" w:cs="Arial"/>
                <w:noProof/>
                <w:webHidden/>
              </w:rPr>
            </w:r>
            <w:r w:rsidRPr="00DB4BFD">
              <w:rPr>
                <w:rFonts w:ascii="Arial" w:hAnsi="Arial" w:cs="Arial"/>
                <w:noProof/>
                <w:webHidden/>
              </w:rPr>
              <w:fldChar w:fldCharType="separate"/>
            </w:r>
            <w:r w:rsidRPr="00DB4BFD">
              <w:rPr>
                <w:rFonts w:ascii="Arial" w:hAnsi="Arial" w:cs="Arial"/>
                <w:noProof/>
                <w:webHidden/>
              </w:rPr>
              <w:t>3</w:t>
            </w:r>
            <w:r w:rsidRPr="00DB4BFD">
              <w:rPr>
                <w:rFonts w:ascii="Arial" w:hAnsi="Arial" w:cs="Arial"/>
                <w:noProof/>
                <w:webHidden/>
              </w:rPr>
              <w:fldChar w:fldCharType="end"/>
            </w:r>
          </w:hyperlink>
        </w:p>
        <w:p w14:paraId="0C9BD639" w14:textId="370D9C6C" w:rsidR="00990627" w:rsidRPr="00DB4BFD" w:rsidRDefault="00990627" w:rsidP="00DB4BFD">
          <w:pPr>
            <w:pStyle w:val="TOC2"/>
            <w:tabs>
              <w:tab w:val="right" w:leader="dot" w:pos="9350"/>
            </w:tabs>
            <w:spacing w:line="360" w:lineRule="auto"/>
            <w:jc w:val="both"/>
            <w:rPr>
              <w:rFonts w:ascii="Arial" w:eastAsiaTheme="minorEastAsia" w:hAnsi="Arial" w:cs="Arial"/>
              <w:noProof/>
              <w:lang w:val="en-IN" w:eastAsia="en-IN"/>
            </w:rPr>
          </w:pPr>
          <w:hyperlink w:anchor="_Toc151393432" w:history="1">
            <w:r w:rsidRPr="00DB4BFD">
              <w:rPr>
                <w:rStyle w:val="Hyperlink"/>
                <w:rFonts w:ascii="Arial" w:hAnsi="Arial" w:cs="Arial"/>
                <w:noProof/>
              </w:rPr>
              <w:t>Dataset Explanation</w:t>
            </w:r>
            <w:r w:rsidRPr="00DB4BFD">
              <w:rPr>
                <w:rFonts w:ascii="Arial" w:hAnsi="Arial" w:cs="Arial"/>
                <w:noProof/>
                <w:webHidden/>
              </w:rPr>
              <w:tab/>
            </w:r>
            <w:r w:rsidRPr="00DB4BFD">
              <w:rPr>
                <w:rFonts w:ascii="Arial" w:hAnsi="Arial" w:cs="Arial"/>
                <w:noProof/>
                <w:webHidden/>
              </w:rPr>
              <w:fldChar w:fldCharType="begin"/>
            </w:r>
            <w:r w:rsidRPr="00DB4BFD">
              <w:rPr>
                <w:rFonts w:ascii="Arial" w:hAnsi="Arial" w:cs="Arial"/>
                <w:noProof/>
                <w:webHidden/>
              </w:rPr>
              <w:instrText xml:space="preserve"> PAGEREF _Toc151393432 \h </w:instrText>
            </w:r>
            <w:r w:rsidRPr="00DB4BFD">
              <w:rPr>
                <w:rFonts w:ascii="Arial" w:hAnsi="Arial" w:cs="Arial"/>
                <w:noProof/>
                <w:webHidden/>
              </w:rPr>
            </w:r>
            <w:r w:rsidRPr="00DB4BFD">
              <w:rPr>
                <w:rFonts w:ascii="Arial" w:hAnsi="Arial" w:cs="Arial"/>
                <w:noProof/>
                <w:webHidden/>
              </w:rPr>
              <w:fldChar w:fldCharType="separate"/>
            </w:r>
            <w:r w:rsidRPr="00DB4BFD">
              <w:rPr>
                <w:rFonts w:ascii="Arial" w:hAnsi="Arial" w:cs="Arial"/>
                <w:noProof/>
                <w:webHidden/>
              </w:rPr>
              <w:t>3</w:t>
            </w:r>
            <w:r w:rsidRPr="00DB4BFD">
              <w:rPr>
                <w:rFonts w:ascii="Arial" w:hAnsi="Arial" w:cs="Arial"/>
                <w:noProof/>
                <w:webHidden/>
              </w:rPr>
              <w:fldChar w:fldCharType="end"/>
            </w:r>
          </w:hyperlink>
        </w:p>
        <w:p w14:paraId="5175F969" w14:textId="20946071" w:rsidR="00990627" w:rsidRPr="00DB4BFD" w:rsidRDefault="00990627" w:rsidP="00DB4BFD">
          <w:pPr>
            <w:pStyle w:val="TOC2"/>
            <w:tabs>
              <w:tab w:val="right" w:leader="dot" w:pos="9350"/>
            </w:tabs>
            <w:spacing w:line="360" w:lineRule="auto"/>
            <w:jc w:val="both"/>
            <w:rPr>
              <w:rFonts w:ascii="Arial" w:eastAsiaTheme="minorEastAsia" w:hAnsi="Arial" w:cs="Arial"/>
              <w:noProof/>
              <w:lang w:val="en-IN" w:eastAsia="en-IN"/>
            </w:rPr>
          </w:pPr>
          <w:hyperlink w:anchor="_Toc151393433" w:history="1">
            <w:r w:rsidRPr="00DB4BFD">
              <w:rPr>
                <w:rStyle w:val="Hyperlink"/>
                <w:rFonts w:ascii="Arial" w:hAnsi="Arial" w:cs="Arial"/>
                <w:noProof/>
              </w:rPr>
              <w:t>Analyzing the GreenMed_Healthcare_2023 dataset</w:t>
            </w:r>
            <w:r w:rsidRPr="00DB4BFD">
              <w:rPr>
                <w:rFonts w:ascii="Arial" w:hAnsi="Arial" w:cs="Arial"/>
                <w:noProof/>
                <w:webHidden/>
              </w:rPr>
              <w:tab/>
            </w:r>
            <w:r w:rsidRPr="00DB4BFD">
              <w:rPr>
                <w:rFonts w:ascii="Arial" w:hAnsi="Arial" w:cs="Arial"/>
                <w:noProof/>
                <w:webHidden/>
              </w:rPr>
              <w:fldChar w:fldCharType="begin"/>
            </w:r>
            <w:r w:rsidRPr="00DB4BFD">
              <w:rPr>
                <w:rFonts w:ascii="Arial" w:hAnsi="Arial" w:cs="Arial"/>
                <w:noProof/>
                <w:webHidden/>
              </w:rPr>
              <w:instrText xml:space="preserve"> PAGEREF _Toc151393433 \h </w:instrText>
            </w:r>
            <w:r w:rsidRPr="00DB4BFD">
              <w:rPr>
                <w:rFonts w:ascii="Arial" w:hAnsi="Arial" w:cs="Arial"/>
                <w:noProof/>
                <w:webHidden/>
              </w:rPr>
            </w:r>
            <w:r w:rsidRPr="00DB4BFD">
              <w:rPr>
                <w:rFonts w:ascii="Arial" w:hAnsi="Arial" w:cs="Arial"/>
                <w:noProof/>
                <w:webHidden/>
              </w:rPr>
              <w:fldChar w:fldCharType="separate"/>
            </w:r>
            <w:r w:rsidRPr="00DB4BFD">
              <w:rPr>
                <w:rFonts w:ascii="Arial" w:hAnsi="Arial" w:cs="Arial"/>
                <w:noProof/>
                <w:webHidden/>
              </w:rPr>
              <w:t>3</w:t>
            </w:r>
            <w:r w:rsidRPr="00DB4BFD">
              <w:rPr>
                <w:rFonts w:ascii="Arial" w:hAnsi="Arial" w:cs="Arial"/>
                <w:noProof/>
                <w:webHidden/>
              </w:rPr>
              <w:fldChar w:fldCharType="end"/>
            </w:r>
          </w:hyperlink>
        </w:p>
        <w:p w14:paraId="35EE0D88" w14:textId="18837C26" w:rsidR="00990627" w:rsidRPr="00DB4BFD" w:rsidRDefault="00990627" w:rsidP="00DB4BFD">
          <w:pPr>
            <w:pStyle w:val="TOC2"/>
            <w:tabs>
              <w:tab w:val="right" w:leader="dot" w:pos="9350"/>
            </w:tabs>
            <w:spacing w:line="360" w:lineRule="auto"/>
            <w:jc w:val="both"/>
            <w:rPr>
              <w:rFonts w:ascii="Arial" w:eastAsiaTheme="minorEastAsia" w:hAnsi="Arial" w:cs="Arial"/>
              <w:noProof/>
              <w:lang w:val="en-IN" w:eastAsia="en-IN"/>
            </w:rPr>
          </w:pPr>
          <w:hyperlink w:anchor="_Toc151393434" w:history="1">
            <w:r w:rsidRPr="00DB4BFD">
              <w:rPr>
                <w:rStyle w:val="Hyperlink"/>
                <w:rFonts w:ascii="Arial" w:hAnsi="Arial" w:cs="Arial"/>
                <w:noProof/>
              </w:rPr>
              <w:t>Data Visualization</w:t>
            </w:r>
            <w:r w:rsidRPr="00DB4BFD">
              <w:rPr>
                <w:rFonts w:ascii="Arial" w:hAnsi="Arial" w:cs="Arial"/>
                <w:noProof/>
                <w:webHidden/>
              </w:rPr>
              <w:tab/>
            </w:r>
            <w:r w:rsidRPr="00DB4BFD">
              <w:rPr>
                <w:rFonts w:ascii="Arial" w:hAnsi="Arial" w:cs="Arial"/>
                <w:noProof/>
                <w:webHidden/>
              </w:rPr>
              <w:fldChar w:fldCharType="begin"/>
            </w:r>
            <w:r w:rsidRPr="00DB4BFD">
              <w:rPr>
                <w:rFonts w:ascii="Arial" w:hAnsi="Arial" w:cs="Arial"/>
                <w:noProof/>
                <w:webHidden/>
              </w:rPr>
              <w:instrText xml:space="preserve"> PAGEREF _Toc151393434 \h </w:instrText>
            </w:r>
            <w:r w:rsidRPr="00DB4BFD">
              <w:rPr>
                <w:rFonts w:ascii="Arial" w:hAnsi="Arial" w:cs="Arial"/>
                <w:noProof/>
                <w:webHidden/>
              </w:rPr>
            </w:r>
            <w:r w:rsidRPr="00DB4BFD">
              <w:rPr>
                <w:rFonts w:ascii="Arial" w:hAnsi="Arial" w:cs="Arial"/>
                <w:noProof/>
                <w:webHidden/>
              </w:rPr>
              <w:fldChar w:fldCharType="separate"/>
            </w:r>
            <w:r w:rsidRPr="00DB4BFD">
              <w:rPr>
                <w:rFonts w:ascii="Arial" w:hAnsi="Arial" w:cs="Arial"/>
                <w:noProof/>
                <w:webHidden/>
              </w:rPr>
              <w:t>5</w:t>
            </w:r>
            <w:r w:rsidRPr="00DB4BFD">
              <w:rPr>
                <w:rFonts w:ascii="Arial" w:hAnsi="Arial" w:cs="Arial"/>
                <w:noProof/>
                <w:webHidden/>
              </w:rPr>
              <w:fldChar w:fldCharType="end"/>
            </w:r>
          </w:hyperlink>
        </w:p>
        <w:p w14:paraId="0889F2D3" w14:textId="79C161A7" w:rsidR="00990627" w:rsidRPr="00DB4BFD" w:rsidRDefault="00990627" w:rsidP="00DB4BFD">
          <w:pPr>
            <w:pStyle w:val="TOC2"/>
            <w:tabs>
              <w:tab w:val="right" w:leader="dot" w:pos="9350"/>
            </w:tabs>
            <w:spacing w:line="360" w:lineRule="auto"/>
            <w:jc w:val="both"/>
            <w:rPr>
              <w:rFonts w:ascii="Arial" w:eastAsiaTheme="minorEastAsia" w:hAnsi="Arial" w:cs="Arial"/>
              <w:noProof/>
              <w:lang w:val="en-IN" w:eastAsia="en-IN"/>
            </w:rPr>
          </w:pPr>
          <w:hyperlink w:anchor="_Toc151393435" w:history="1">
            <w:r w:rsidRPr="00DB4BFD">
              <w:rPr>
                <w:rStyle w:val="Hyperlink"/>
                <w:rFonts w:ascii="Arial" w:hAnsi="Arial" w:cs="Arial"/>
                <w:noProof/>
              </w:rPr>
              <w:t>Correlation and Scatter Plot</w:t>
            </w:r>
            <w:r w:rsidRPr="00DB4BFD">
              <w:rPr>
                <w:rFonts w:ascii="Arial" w:hAnsi="Arial" w:cs="Arial"/>
                <w:noProof/>
                <w:webHidden/>
              </w:rPr>
              <w:tab/>
            </w:r>
            <w:r w:rsidRPr="00DB4BFD">
              <w:rPr>
                <w:rFonts w:ascii="Arial" w:hAnsi="Arial" w:cs="Arial"/>
                <w:noProof/>
                <w:webHidden/>
              </w:rPr>
              <w:fldChar w:fldCharType="begin"/>
            </w:r>
            <w:r w:rsidRPr="00DB4BFD">
              <w:rPr>
                <w:rFonts w:ascii="Arial" w:hAnsi="Arial" w:cs="Arial"/>
                <w:noProof/>
                <w:webHidden/>
              </w:rPr>
              <w:instrText xml:space="preserve"> PAGEREF _Toc151393435 \h </w:instrText>
            </w:r>
            <w:r w:rsidRPr="00DB4BFD">
              <w:rPr>
                <w:rFonts w:ascii="Arial" w:hAnsi="Arial" w:cs="Arial"/>
                <w:noProof/>
                <w:webHidden/>
              </w:rPr>
            </w:r>
            <w:r w:rsidRPr="00DB4BFD">
              <w:rPr>
                <w:rFonts w:ascii="Arial" w:hAnsi="Arial" w:cs="Arial"/>
                <w:noProof/>
                <w:webHidden/>
              </w:rPr>
              <w:fldChar w:fldCharType="separate"/>
            </w:r>
            <w:r w:rsidRPr="00DB4BFD">
              <w:rPr>
                <w:rFonts w:ascii="Arial" w:hAnsi="Arial" w:cs="Arial"/>
                <w:noProof/>
                <w:webHidden/>
              </w:rPr>
              <w:t>10</w:t>
            </w:r>
            <w:r w:rsidRPr="00DB4BFD">
              <w:rPr>
                <w:rFonts w:ascii="Arial" w:hAnsi="Arial" w:cs="Arial"/>
                <w:noProof/>
                <w:webHidden/>
              </w:rPr>
              <w:fldChar w:fldCharType="end"/>
            </w:r>
          </w:hyperlink>
        </w:p>
        <w:p w14:paraId="2F354904" w14:textId="487EC4F3" w:rsidR="00990627" w:rsidRPr="00DB4BFD" w:rsidRDefault="00990627" w:rsidP="00DB4BFD">
          <w:pPr>
            <w:pStyle w:val="TOC2"/>
            <w:tabs>
              <w:tab w:val="right" w:leader="dot" w:pos="9350"/>
            </w:tabs>
            <w:spacing w:line="360" w:lineRule="auto"/>
            <w:jc w:val="both"/>
            <w:rPr>
              <w:rFonts w:ascii="Arial" w:eastAsiaTheme="minorEastAsia" w:hAnsi="Arial" w:cs="Arial"/>
              <w:noProof/>
              <w:lang w:val="en-IN" w:eastAsia="en-IN"/>
            </w:rPr>
          </w:pPr>
          <w:hyperlink w:anchor="_Toc151393436" w:history="1">
            <w:r w:rsidRPr="00DB4BFD">
              <w:rPr>
                <w:rStyle w:val="Hyperlink"/>
                <w:rFonts w:ascii="Arial" w:hAnsi="Arial" w:cs="Arial"/>
                <w:noProof/>
              </w:rPr>
              <w:t>Conclusion</w:t>
            </w:r>
            <w:r w:rsidRPr="00DB4BFD">
              <w:rPr>
                <w:rFonts w:ascii="Arial" w:hAnsi="Arial" w:cs="Arial"/>
                <w:noProof/>
                <w:webHidden/>
              </w:rPr>
              <w:tab/>
            </w:r>
            <w:r w:rsidRPr="00DB4BFD">
              <w:rPr>
                <w:rFonts w:ascii="Arial" w:hAnsi="Arial" w:cs="Arial"/>
                <w:noProof/>
                <w:webHidden/>
              </w:rPr>
              <w:fldChar w:fldCharType="begin"/>
            </w:r>
            <w:r w:rsidRPr="00DB4BFD">
              <w:rPr>
                <w:rFonts w:ascii="Arial" w:hAnsi="Arial" w:cs="Arial"/>
                <w:noProof/>
                <w:webHidden/>
              </w:rPr>
              <w:instrText xml:space="preserve"> PAGEREF _Toc151393436 \h </w:instrText>
            </w:r>
            <w:r w:rsidRPr="00DB4BFD">
              <w:rPr>
                <w:rFonts w:ascii="Arial" w:hAnsi="Arial" w:cs="Arial"/>
                <w:noProof/>
                <w:webHidden/>
              </w:rPr>
            </w:r>
            <w:r w:rsidRPr="00DB4BFD">
              <w:rPr>
                <w:rFonts w:ascii="Arial" w:hAnsi="Arial" w:cs="Arial"/>
                <w:noProof/>
                <w:webHidden/>
              </w:rPr>
              <w:fldChar w:fldCharType="separate"/>
            </w:r>
            <w:r w:rsidRPr="00DB4BFD">
              <w:rPr>
                <w:rFonts w:ascii="Arial" w:hAnsi="Arial" w:cs="Arial"/>
                <w:noProof/>
                <w:webHidden/>
              </w:rPr>
              <w:t>11</w:t>
            </w:r>
            <w:r w:rsidRPr="00DB4BFD">
              <w:rPr>
                <w:rFonts w:ascii="Arial" w:hAnsi="Arial" w:cs="Arial"/>
                <w:noProof/>
                <w:webHidden/>
              </w:rPr>
              <w:fldChar w:fldCharType="end"/>
            </w:r>
          </w:hyperlink>
        </w:p>
        <w:p w14:paraId="2A3EF96B" w14:textId="02709508" w:rsidR="00990627" w:rsidRPr="00DB4BFD" w:rsidRDefault="00990627" w:rsidP="00DB4BFD">
          <w:pPr>
            <w:pStyle w:val="TOC1"/>
            <w:tabs>
              <w:tab w:val="right" w:leader="dot" w:pos="9350"/>
            </w:tabs>
            <w:spacing w:line="360" w:lineRule="auto"/>
            <w:jc w:val="both"/>
            <w:rPr>
              <w:rFonts w:ascii="Arial" w:eastAsiaTheme="minorEastAsia" w:hAnsi="Arial" w:cs="Arial"/>
              <w:noProof/>
              <w:lang w:val="en-IN" w:eastAsia="en-IN"/>
            </w:rPr>
          </w:pPr>
          <w:hyperlink w:anchor="_Toc151393437" w:history="1">
            <w:r w:rsidRPr="00DB4BFD">
              <w:rPr>
                <w:rStyle w:val="Hyperlink"/>
                <w:rFonts w:ascii="Arial" w:hAnsi="Arial" w:cs="Arial"/>
                <w:noProof/>
              </w:rPr>
              <w:t>Part 2</w:t>
            </w:r>
            <w:r w:rsidRPr="00DB4BFD">
              <w:rPr>
                <w:rFonts w:ascii="Arial" w:hAnsi="Arial" w:cs="Arial"/>
                <w:noProof/>
                <w:webHidden/>
              </w:rPr>
              <w:tab/>
            </w:r>
            <w:r w:rsidRPr="00DB4BFD">
              <w:rPr>
                <w:rFonts w:ascii="Arial" w:hAnsi="Arial" w:cs="Arial"/>
                <w:noProof/>
                <w:webHidden/>
              </w:rPr>
              <w:fldChar w:fldCharType="begin"/>
            </w:r>
            <w:r w:rsidRPr="00DB4BFD">
              <w:rPr>
                <w:rFonts w:ascii="Arial" w:hAnsi="Arial" w:cs="Arial"/>
                <w:noProof/>
                <w:webHidden/>
              </w:rPr>
              <w:instrText xml:space="preserve"> PAGEREF _Toc151393437 \h </w:instrText>
            </w:r>
            <w:r w:rsidRPr="00DB4BFD">
              <w:rPr>
                <w:rFonts w:ascii="Arial" w:hAnsi="Arial" w:cs="Arial"/>
                <w:noProof/>
                <w:webHidden/>
              </w:rPr>
            </w:r>
            <w:r w:rsidRPr="00DB4BFD">
              <w:rPr>
                <w:rFonts w:ascii="Arial" w:hAnsi="Arial" w:cs="Arial"/>
                <w:noProof/>
                <w:webHidden/>
              </w:rPr>
              <w:fldChar w:fldCharType="separate"/>
            </w:r>
            <w:r w:rsidRPr="00DB4BFD">
              <w:rPr>
                <w:rFonts w:ascii="Arial" w:hAnsi="Arial" w:cs="Arial"/>
                <w:noProof/>
                <w:webHidden/>
              </w:rPr>
              <w:t>11</w:t>
            </w:r>
            <w:r w:rsidRPr="00DB4BFD">
              <w:rPr>
                <w:rFonts w:ascii="Arial" w:hAnsi="Arial" w:cs="Arial"/>
                <w:noProof/>
                <w:webHidden/>
              </w:rPr>
              <w:fldChar w:fldCharType="end"/>
            </w:r>
          </w:hyperlink>
        </w:p>
        <w:p w14:paraId="4CF344FA" w14:textId="5C5DC1BC" w:rsidR="00990627" w:rsidRPr="00DB4BFD" w:rsidRDefault="00990627" w:rsidP="00DB4BFD">
          <w:pPr>
            <w:pStyle w:val="TOC2"/>
            <w:tabs>
              <w:tab w:val="right" w:leader="dot" w:pos="9350"/>
            </w:tabs>
            <w:spacing w:line="360" w:lineRule="auto"/>
            <w:jc w:val="both"/>
            <w:rPr>
              <w:rFonts w:ascii="Arial" w:eastAsiaTheme="minorEastAsia" w:hAnsi="Arial" w:cs="Arial"/>
              <w:noProof/>
              <w:lang w:val="en-IN" w:eastAsia="en-IN"/>
            </w:rPr>
          </w:pPr>
          <w:hyperlink w:anchor="_Toc151393438" w:history="1">
            <w:r w:rsidRPr="00DB4BFD">
              <w:rPr>
                <w:rStyle w:val="Hyperlink"/>
                <w:rFonts w:ascii="Arial" w:hAnsi="Arial" w:cs="Arial"/>
                <w:noProof/>
              </w:rPr>
              <w:t>Advantages and Disadvantages of SPSS, Excel, and Tableau</w:t>
            </w:r>
            <w:r w:rsidRPr="00DB4BFD">
              <w:rPr>
                <w:rFonts w:ascii="Arial" w:hAnsi="Arial" w:cs="Arial"/>
                <w:noProof/>
                <w:webHidden/>
              </w:rPr>
              <w:tab/>
            </w:r>
            <w:r w:rsidRPr="00DB4BFD">
              <w:rPr>
                <w:rFonts w:ascii="Arial" w:hAnsi="Arial" w:cs="Arial"/>
                <w:noProof/>
                <w:webHidden/>
              </w:rPr>
              <w:fldChar w:fldCharType="begin"/>
            </w:r>
            <w:r w:rsidRPr="00DB4BFD">
              <w:rPr>
                <w:rFonts w:ascii="Arial" w:hAnsi="Arial" w:cs="Arial"/>
                <w:noProof/>
                <w:webHidden/>
              </w:rPr>
              <w:instrText xml:space="preserve"> PAGEREF _Toc151393438 \h </w:instrText>
            </w:r>
            <w:r w:rsidRPr="00DB4BFD">
              <w:rPr>
                <w:rFonts w:ascii="Arial" w:hAnsi="Arial" w:cs="Arial"/>
                <w:noProof/>
                <w:webHidden/>
              </w:rPr>
            </w:r>
            <w:r w:rsidRPr="00DB4BFD">
              <w:rPr>
                <w:rFonts w:ascii="Arial" w:hAnsi="Arial" w:cs="Arial"/>
                <w:noProof/>
                <w:webHidden/>
              </w:rPr>
              <w:fldChar w:fldCharType="separate"/>
            </w:r>
            <w:r w:rsidRPr="00DB4BFD">
              <w:rPr>
                <w:rFonts w:ascii="Arial" w:hAnsi="Arial" w:cs="Arial"/>
                <w:noProof/>
                <w:webHidden/>
              </w:rPr>
              <w:t>11</w:t>
            </w:r>
            <w:r w:rsidRPr="00DB4BFD">
              <w:rPr>
                <w:rFonts w:ascii="Arial" w:hAnsi="Arial" w:cs="Arial"/>
                <w:noProof/>
                <w:webHidden/>
              </w:rPr>
              <w:fldChar w:fldCharType="end"/>
            </w:r>
          </w:hyperlink>
        </w:p>
        <w:p w14:paraId="2BAA131F" w14:textId="23ED0028" w:rsidR="00990627" w:rsidRPr="00DB4BFD" w:rsidRDefault="00990627" w:rsidP="00DB4BFD">
          <w:pPr>
            <w:pStyle w:val="TOC2"/>
            <w:tabs>
              <w:tab w:val="right" w:leader="dot" w:pos="9350"/>
            </w:tabs>
            <w:spacing w:line="360" w:lineRule="auto"/>
            <w:jc w:val="both"/>
            <w:rPr>
              <w:rFonts w:ascii="Arial" w:eastAsiaTheme="minorEastAsia" w:hAnsi="Arial" w:cs="Arial"/>
              <w:noProof/>
              <w:lang w:val="en-IN" w:eastAsia="en-IN"/>
            </w:rPr>
          </w:pPr>
          <w:hyperlink w:anchor="_Toc151393439" w:history="1">
            <w:r w:rsidRPr="00DB4BFD">
              <w:rPr>
                <w:rStyle w:val="Hyperlink"/>
                <w:rFonts w:ascii="Arial" w:hAnsi="Arial" w:cs="Arial"/>
                <w:noProof/>
              </w:rPr>
              <w:t>Explanation of Data Governance with Examples</w:t>
            </w:r>
            <w:r w:rsidRPr="00DB4BFD">
              <w:rPr>
                <w:rFonts w:ascii="Arial" w:hAnsi="Arial" w:cs="Arial"/>
                <w:noProof/>
                <w:webHidden/>
              </w:rPr>
              <w:tab/>
            </w:r>
            <w:r w:rsidRPr="00DB4BFD">
              <w:rPr>
                <w:rFonts w:ascii="Arial" w:hAnsi="Arial" w:cs="Arial"/>
                <w:noProof/>
                <w:webHidden/>
              </w:rPr>
              <w:fldChar w:fldCharType="begin"/>
            </w:r>
            <w:r w:rsidRPr="00DB4BFD">
              <w:rPr>
                <w:rFonts w:ascii="Arial" w:hAnsi="Arial" w:cs="Arial"/>
                <w:noProof/>
                <w:webHidden/>
              </w:rPr>
              <w:instrText xml:space="preserve"> PAGEREF _Toc151393439 \h </w:instrText>
            </w:r>
            <w:r w:rsidRPr="00DB4BFD">
              <w:rPr>
                <w:rFonts w:ascii="Arial" w:hAnsi="Arial" w:cs="Arial"/>
                <w:noProof/>
                <w:webHidden/>
              </w:rPr>
            </w:r>
            <w:r w:rsidRPr="00DB4BFD">
              <w:rPr>
                <w:rFonts w:ascii="Arial" w:hAnsi="Arial" w:cs="Arial"/>
                <w:noProof/>
                <w:webHidden/>
              </w:rPr>
              <w:fldChar w:fldCharType="separate"/>
            </w:r>
            <w:r w:rsidRPr="00DB4BFD">
              <w:rPr>
                <w:rFonts w:ascii="Arial" w:hAnsi="Arial" w:cs="Arial"/>
                <w:noProof/>
                <w:webHidden/>
              </w:rPr>
              <w:t>14</w:t>
            </w:r>
            <w:r w:rsidRPr="00DB4BFD">
              <w:rPr>
                <w:rFonts w:ascii="Arial" w:hAnsi="Arial" w:cs="Arial"/>
                <w:noProof/>
                <w:webHidden/>
              </w:rPr>
              <w:fldChar w:fldCharType="end"/>
            </w:r>
          </w:hyperlink>
        </w:p>
        <w:p w14:paraId="33713E37" w14:textId="36AC601B" w:rsidR="00FA356E" w:rsidRPr="00DB4BFD" w:rsidRDefault="00FA356E" w:rsidP="00DB4BFD">
          <w:pPr>
            <w:spacing w:line="360" w:lineRule="auto"/>
            <w:jc w:val="both"/>
            <w:rPr>
              <w:rFonts w:ascii="Arial" w:hAnsi="Arial" w:cs="Arial"/>
            </w:rPr>
          </w:pPr>
          <w:r w:rsidRPr="00DB4BFD">
            <w:rPr>
              <w:rFonts w:ascii="Arial" w:hAnsi="Arial" w:cs="Arial"/>
              <w:b/>
              <w:bCs/>
              <w:noProof/>
            </w:rPr>
            <w:fldChar w:fldCharType="end"/>
          </w:r>
        </w:p>
      </w:sdtContent>
    </w:sdt>
    <w:p w14:paraId="1EAE375F" w14:textId="1C8F073D" w:rsidR="00440CC8" w:rsidRPr="00DB4BFD" w:rsidRDefault="00440CC8" w:rsidP="00DB4BFD">
      <w:pPr>
        <w:spacing w:line="360" w:lineRule="auto"/>
        <w:jc w:val="both"/>
        <w:rPr>
          <w:rFonts w:ascii="Arial" w:hAnsi="Arial" w:cs="Arial"/>
        </w:rPr>
      </w:pPr>
      <w:r w:rsidRPr="00DB4BFD">
        <w:rPr>
          <w:rFonts w:ascii="Arial" w:hAnsi="Arial" w:cs="Arial"/>
        </w:rPr>
        <w:br w:type="page"/>
      </w:r>
    </w:p>
    <w:p w14:paraId="688A7801" w14:textId="2DADDF4C" w:rsidR="00440CC8" w:rsidRPr="00DB4BFD" w:rsidRDefault="00440CC8" w:rsidP="00DB4BFD">
      <w:pPr>
        <w:pStyle w:val="Heading1"/>
        <w:spacing w:line="360" w:lineRule="auto"/>
        <w:jc w:val="both"/>
        <w:rPr>
          <w:rFonts w:ascii="Arial" w:hAnsi="Arial" w:cs="Arial"/>
          <w:sz w:val="22"/>
          <w:szCs w:val="22"/>
        </w:rPr>
      </w:pPr>
      <w:bookmarkStart w:id="0" w:name="_Toc151393430"/>
      <w:r w:rsidRPr="00DB4BFD">
        <w:rPr>
          <w:rFonts w:ascii="Arial" w:hAnsi="Arial" w:cs="Arial"/>
          <w:sz w:val="22"/>
          <w:szCs w:val="22"/>
        </w:rPr>
        <w:lastRenderedPageBreak/>
        <w:t>Part 1: GreenMed Dataset Analysis</w:t>
      </w:r>
      <w:bookmarkEnd w:id="0"/>
    </w:p>
    <w:p w14:paraId="36157854" w14:textId="7512AD2C" w:rsidR="001F48F7" w:rsidRPr="00DB4BFD" w:rsidRDefault="00440CC8" w:rsidP="00DB4BFD">
      <w:pPr>
        <w:pStyle w:val="Heading2"/>
        <w:spacing w:line="360" w:lineRule="auto"/>
        <w:jc w:val="both"/>
        <w:rPr>
          <w:rFonts w:ascii="Arial" w:hAnsi="Arial" w:cs="Arial"/>
          <w:sz w:val="22"/>
          <w:szCs w:val="22"/>
        </w:rPr>
      </w:pPr>
      <w:bookmarkStart w:id="1" w:name="_Toc151393431"/>
      <w:r w:rsidRPr="00DB4BFD">
        <w:rPr>
          <w:rFonts w:ascii="Arial" w:hAnsi="Arial" w:cs="Arial"/>
          <w:sz w:val="22"/>
          <w:szCs w:val="22"/>
        </w:rPr>
        <w:t>Introduction</w:t>
      </w:r>
      <w:bookmarkEnd w:id="1"/>
    </w:p>
    <w:p w14:paraId="28F21658" w14:textId="672D6A68" w:rsidR="00440CC8" w:rsidRPr="00DB4BFD" w:rsidRDefault="00440CC8" w:rsidP="00DB4BFD">
      <w:pPr>
        <w:spacing w:line="360" w:lineRule="auto"/>
        <w:jc w:val="both"/>
        <w:rPr>
          <w:rFonts w:ascii="Arial" w:hAnsi="Arial" w:cs="Arial"/>
        </w:rPr>
      </w:pPr>
      <w:r w:rsidRPr="00DB4BFD">
        <w:rPr>
          <w:rFonts w:ascii="Arial" w:hAnsi="Arial" w:cs="Arial"/>
        </w:rPr>
        <w:t xml:space="preserve">This study is </w:t>
      </w:r>
      <w:r w:rsidRPr="00DB4BFD">
        <w:rPr>
          <w:rFonts w:ascii="Arial" w:hAnsi="Arial" w:cs="Arial"/>
        </w:rPr>
        <w:t>centered</w:t>
      </w:r>
      <w:r w:rsidRPr="00DB4BFD">
        <w:rPr>
          <w:rFonts w:ascii="Arial" w:hAnsi="Arial" w:cs="Arial"/>
        </w:rPr>
        <w:t xml:space="preserve"> on the thoroughly examined GreenMed dataset. The dataset provides an in-depth look into the subject from several angles. To identify connections, trends, and insights in data, Excel </w:t>
      </w:r>
      <w:r w:rsidRPr="00DB4BFD">
        <w:rPr>
          <w:rFonts w:ascii="Arial" w:hAnsi="Arial" w:cs="Arial"/>
        </w:rPr>
        <w:t xml:space="preserve">is </w:t>
      </w:r>
      <w:r w:rsidRPr="00DB4BFD">
        <w:rPr>
          <w:rFonts w:ascii="Arial" w:hAnsi="Arial" w:cs="Arial"/>
        </w:rPr>
        <w:t>utili</w:t>
      </w:r>
      <w:r w:rsidRPr="00DB4BFD">
        <w:rPr>
          <w:rFonts w:ascii="Arial" w:hAnsi="Arial" w:cs="Arial"/>
        </w:rPr>
        <w:t>z</w:t>
      </w:r>
      <w:r w:rsidRPr="00DB4BFD">
        <w:rPr>
          <w:rFonts w:ascii="Arial" w:hAnsi="Arial" w:cs="Arial"/>
        </w:rPr>
        <w:t xml:space="preserve">ed. This method combines the accuracy of spreadsheets with a particular software's statistical </w:t>
      </w:r>
      <w:r w:rsidRPr="00DB4BFD">
        <w:rPr>
          <w:rFonts w:ascii="Arial" w:hAnsi="Arial" w:cs="Arial"/>
        </w:rPr>
        <w:t>rigor</w:t>
      </w:r>
      <w:r w:rsidRPr="00DB4BFD">
        <w:rPr>
          <w:rFonts w:ascii="Arial" w:hAnsi="Arial" w:cs="Arial"/>
        </w:rPr>
        <w:t>, enhanced by graphics</w:t>
      </w:r>
      <w:r w:rsidR="00764FDF" w:rsidRPr="00DB4BFD">
        <w:rPr>
          <w:rFonts w:ascii="Arial" w:hAnsi="Arial" w:cs="Arial"/>
        </w:rPr>
        <w:t xml:space="preserve"> </w:t>
      </w:r>
      <w:r w:rsidR="00764FDF" w:rsidRPr="00DB4BFD">
        <w:rPr>
          <w:rFonts w:ascii="Arial" w:hAnsi="Arial" w:cs="Arial"/>
        </w:rPr>
        <w:t>(Khan, Kalwar, and Chaudhry, 2021)</w:t>
      </w:r>
      <w:r w:rsidRPr="00DB4BFD">
        <w:rPr>
          <w:rFonts w:ascii="Arial" w:hAnsi="Arial" w:cs="Arial"/>
        </w:rPr>
        <w:t>.</w:t>
      </w:r>
    </w:p>
    <w:p w14:paraId="1876E256" w14:textId="3109210B" w:rsidR="00440CC8" w:rsidRPr="00DB4BFD" w:rsidRDefault="00440CC8" w:rsidP="00DB4BFD">
      <w:pPr>
        <w:spacing w:line="360" w:lineRule="auto"/>
        <w:jc w:val="both"/>
        <w:rPr>
          <w:rFonts w:ascii="Arial" w:hAnsi="Arial" w:cs="Arial"/>
        </w:rPr>
      </w:pPr>
      <w:r w:rsidRPr="00DB4BFD">
        <w:rPr>
          <w:rFonts w:ascii="Arial" w:hAnsi="Arial" w:cs="Arial"/>
        </w:rPr>
        <w:t xml:space="preserve">Part 1 is coherently arranged, starting with an overview of the GreenMed dataset and moving on to pertinent questions and answers. Excel bar charts, pie charts, pivot tables, and pivot charts are used in this section. </w:t>
      </w:r>
      <w:r w:rsidRPr="00DB4BFD">
        <w:rPr>
          <w:rFonts w:ascii="Arial" w:hAnsi="Arial" w:cs="Arial"/>
        </w:rPr>
        <w:t>Excel Data Analysis tools</w:t>
      </w:r>
      <w:r w:rsidRPr="00DB4BFD">
        <w:rPr>
          <w:rFonts w:ascii="Arial" w:hAnsi="Arial" w:cs="Arial"/>
        </w:rPr>
        <w:t xml:space="preserve"> </w:t>
      </w:r>
      <w:r w:rsidRPr="00DB4BFD">
        <w:rPr>
          <w:rFonts w:ascii="Arial" w:hAnsi="Arial" w:cs="Arial"/>
        </w:rPr>
        <w:t>are</w:t>
      </w:r>
      <w:r w:rsidRPr="00DB4BFD">
        <w:rPr>
          <w:rFonts w:ascii="Arial" w:hAnsi="Arial" w:cs="Arial"/>
        </w:rPr>
        <w:t xml:space="preserve"> </w:t>
      </w:r>
      <w:r w:rsidRPr="00DB4BFD">
        <w:rPr>
          <w:rFonts w:ascii="Arial" w:hAnsi="Arial" w:cs="Arial"/>
        </w:rPr>
        <w:t>utilized</w:t>
      </w:r>
      <w:r w:rsidR="00EB6445" w:rsidRPr="00DB4BFD">
        <w:rPr>
          <w:rFonts w:ascii="Arial" w:hAnsi="Arial" w:cs="Arial"/>
        </w:rPr>
        <w:t xml:space="preserve"> fo</w:t>
      </w:r>
      <w:r w:rsidR="00EB6445" w:rsidRPr="00DB4BFD">
        <w:rPr>
          <w:rFonts w:ascii="Arial" w:hAnsi="Arial" w:cs="Arial"/>
        </w:rPr>
        <w:t>r a thorough correlation study and scatter plot</w:t>
      </w:r>
      <w:r w:rsidRPr="00DB4BFD">
        <w:rPr>
          <w:rFonts w:ascii="Arial" w:hAnsi="Arial" w:cs="Arial"/>
        </w:rPr>
        <w:t>. A summary of the insights concludes Part 1.</w:t>
      </w:r>
    </w:p>
    <w:p w14:paraId="0BC58823" w14:textId="57A177BF" w:rsidR="00440CC8" w:rsidRPr="00DB4BFD" w:rsidRDefault="00440CC8" w:rsidP="00DB4BFD">
      <w:pPr>
        <w:spacing w:line="360" w:lineRule="auto"/>
        <w:jc w:val="both"/>
        <w:rPr>
          <w:rFonts w:ascii="Arial" w:hAnsi="Arial" w:cs="Arial"/>
        </w:rPr>
      </w:pPr>
      <w:r w:rsidRPr="00DB4BFD">
        <w:rPr>
          <w:rFonts w:ascii="Arial" w:hAnsi="Arial" w:cs="Arial"/>
        </w:rPr>
        <w:t>Part 2 uses examples to assess the benefits and drawbacks of Tableau, Excel, and SPSS. Data governance and its application in analytical frameworks are also covered in the paper. The GreenMed dataset is examined comprehensively in this study, which also includes scholarly contributions to the dataset analysis.</w:t>
      </w:r>
    </w:p>
    <w:p w14:paraId="52F38E47" w14:textId="45CA47CB" w:rsidR="00440CC8" w:rsidRPr="00DB4BFD" w:rsidRDefault="00440CC8" w:rsidP="00DB4BFD">
      <w:pPr>
        <w:pStyle w:val="Heading2"/>
        <w:spacing w:line="360" w:lineRule="auto"/>
        <w:jc w:val="both"/>
        <w:rPr>
          <w:rFonts w:ascii="Arial" w:hAnsi="Arial" w:cs="Arial"/>
          <w:sz w:val="22"/>
          <w:szCs w:val="22"/>
        </w:rPr>
      </w:pPr>
      <w:bookmarkStart w:id="2" w:name="_Toc151393432"/>
      <w:r w:rsidRPr="00DB4BFD">
        <w:rPr>
          <w:rFonts w:ascii="Arial" w:hAnsi="Arial" w:cs="Arial"/>
          <w:sz w:val="22"/>
          <w:szCs w:val="22"/>
        </w:rPr>
        <w:t>Dataset Explanation</w:t>
      </w:r>
      <w:bookmarkEnd w:id="2"/>
    </w:p>
    <w:p w14:paraId="28CAFCD0" w14:textId="14168CF5" w:rsidR="00E55745" w:rsidRPr="00DB4BFD" w:rsidRDefault="00E55745" w:rsidP="00DB4BFD">
      <w:pPr>
        <w:spacing w:line="360" w:lineRule="auto"/>
        <w:jc w:val="both"/>
        <w:rPr>
          <w:rFonts w:ascii="Arial" w:hAnsi="Arial" w:cs="Arial"/>
        </w:rPr>
      </w:pPr>
      <w:r w:rsidRPr="00DB4BFD">
        <w:rPr>
          <w:rFonts w:ascii="Arial" w:hAnsi="Arial" w:cs="Arial"/>
        </w:rPr>
        <w:t>The GreenMed dataset, derived from the "GreenMed_Healthcare_2023" study, functions as a significant repository of information regarding the processing durations of key big data tools and platforms. The current investigation undertook a methodical gathering of performance metrics data related to several tools like Hadoop, Spark, R, Python, and Tableau during a specified time period. Each data point in the dataset represents the processing duration of a given tool on a particular day, offering a thorough temporal perspective on their respective performances.</w:t>
      </w:r>
    </w:p>
    <w:p w14:paraId="2FAB1C32" w14:textId="301D91E3" w:rsidR="00E55745" w:rsidRPr="00DB4BFD" w:rsidRDefault="00E55745" w:rsidP="00DB4BFD">
      <w:pPr>
        <w:spacing w:line="360" w:lineRule="auto"/>
        <w:jc w:val="both"/>
        <w:rPr>
          <w:rFonts w:ascii="Arial" w:hAnsi="Arial" w:cs="Arial"/>
        </w:rPr>
      </w:pPr>
      <w:r w:rsidRPr="00DB4BFD">
        <w:rPr>
          <w:rFonts w:ascii="Arial" w:hAnsi="Arial" w:cs="Arial"/>
        </w:rPr>
        <w:t>The structure of the dataset includes columns that record the date of observation and the accompanying processing times for various tools, specifically Hadoop, Spark, R, Python, and Tableau. The provided table displays a succinct summary of the processing durations for the respective tools on a given day. The incorporation of a detailed temporal dimension is essential in order to conduct a comprehensive analysis of the variations and trends in the effectiveness of various methodologies.</w:t>
      </w:r>
    </w:p>
    <w:p w14:paraId="3A1AA3B9" w14:textId="0A79598E" w:rsidR="00E55745" w:rsidRPr="00DB4BFD" w:rsidRDefault="00E55745" w:rsidP="00DB4BFD">
      <w:pPr>
        <w:pStyle w:val="Heading2"/>
        <w:spacing w:line="360" w:lineRule="auto"/>
        <w:jc w:val="both"/>
        <w:rPr>
          <w:rFonts w:ascii="Arial" w:hAnsi="Arial" w:cs="Arial"/>
          <w:sz w:val="22"/>
          <w:szCs w:val="22"/>
        </w:rPr>
      </w:pPr>
      <w:bookmarkStart w:id="3" w:name="_Toc151393433"/>
      <w:r w:rsidRPr="00DB4BFD">
        <w:rPr>
          <w:rFonts w:ascii="Arial" w:hAnsi="Arial" w:cs="Arial"/>
          <w:sz w:val="22"/>
          <w:szCs w:val="22"/>
        </w:rPr>
        <w:t>Analyzing the GreenMed_Healthcare_2023 dataset</w:t>
      </w:r>
      <w:bookmarkEnd w:id="3"/>
    </w:p>
    <w:p w14:paraId="383DCC24" w14:textId="69B434E1" w:rsidR="00E55745" w:rsidRPr="00DB4BFD" w:rsidRDefault="00223783" w:rsidP="00DB4BFD">
      <w:pPr>
        <w:pStyle w:val="ListParagraph"/>
        <w:numPr>
          <w:ilvl w:val="0"/>
          <w:numId w:val="1"/>
        </w:numPr>
        <w:spacing w:line="360" w:lineRule="auto"/>
        <w:jc w:val="both"/>
        <w:rPr>
          <w:rFonts w:ascii="Arial" w:hAnsi="Arial" w:cs="Arial"/>
        </w:rPr>
      </w:pPr>
      <w:r w:rsidRPr="00DB4BFD">
        <w:rPr>
          <w:rFonts w:ascii="Arial" w:hAnsi="Arial" w:cs="Arial"/>
          <w:b/>
          <w:bCs/>
        </w:rPr>
        <w:t xml:space="preserve">Mean Processing Time (Hadoop): </w:t>
      </w:r>
      <w:r w:rsidR="00E55745" w:rsidRPr="00DB4BFD">
        <w:rPr>
          <w:rFonts w:ascii="Arial" w:hAnsi="Arial" w:cs="Arial"/>
        </w:rPr>
        <w:t xml:space="preserve">According to the compiled statistical data, the average processing time for Hadoop is estimated to be </w:t>
      </w:r>
      <w:r w:rsidR="00E55745" w:rsidRPr="00DB4BFD">
        <w:rPr>
          <w:rFonts w:ascii="Arial" w:hAnsi="Arial" w:cs="Arial"/>
          <w:b/>
          <w:bCs/>
        </w:rPr>
        <w:t>roughly 2.78</w:t>
      </w:r>
      <w:r w:rsidR="00E55745" w:rsidRPr="00DB4BFD">
        <w:rPr>
          <w:rFonts w:ascii="Arial" w:hAnsi="Arial" w:cs="Arial"/>
        </w:rPr>
        <w:t xml:space="preserve">. This statistical </w:t>
      </w:r>
      <w:r w:rsidR="00E55745" w:rsidRPr="00DB4BFD">
        <w:rPr>
          <w:rFonts w:ascii="Arial" w:hAnsi="Arial" w:cs="Arial"/>
        </w:rPr>
        <w:lastRenderedPageBreak/>
        <w:t>measure provides an assessment of the mean length of data processing performed by Hadoop, hence delivering a comprehensive perspective on its operational efficiency.</w:t>
      </w:r>
    </w:p>
    <w:p w14:paraId="6485D61B" w14:textId="2C284856" w:rsidR="00E55745" w:rsidRPr="00DB4BFD" w:rsidRDefault="00223783" w:rsidP="00DB4BFD">
      <w:pPr>
        <w:pStyle w:val="ListParagraph"/>
        <w:numPr>
          <w:ilvl w:val="0"/>
          <w:numId w:val="1"/>
        </w:numPr>
        <w:spacing w:line="360" w:lineRule="auto"/>
        <w:jc w:val="both"/>
        <w:rPr>
          <w:rFonts w:ascii="Arial" w:hAnsi="Arial" w:cs="Arial"/>
        </w:rPr>
      </w:pPr>
      <w:r w:rsidRPr="00DB4BFD">
        <w:rPr>
          <w:rFonts w:ascii="Arial" w:hAnsi="Arial" w:cs="Arial"/>
          <w:b/>
          <w:bCs/>
        </w:rPr>
        <w:t xml:space="preserve">Median Processing Time (Spark): </w:t>
      </w:r>
      <w:r w:rsidR="00E55745" w:rsidRPr="00DB4BFD">
        <w:rPr>
          <w:rFonts w:ascii="Arial" w:hAnsi="Arial" w:cs="Arial"/>
        </w:rPr>
        <w:t xml:space="preserve">The median processing time of Apache Spark is estimated to be </w:t>
      </w:r>
      <w:r w:rsidR="00E55745" w:rsidRPr="00DB4BFD">
        <w:rPr>
          <w:rFonts w:ascii="Arial" w:hAnsi="Arial" w:cs="Arial"/>
          <w:b/>
          <w:bCs/>
        </w:rPr>
        <w:t>around 2.75 units</w:t>
      </w:r>
      <w:r w:rsidR="00E55745" w:rsidRPr="00DB4BFD">
        <w:rPr>
          <w:rFonts w:ascii="Arial" w:hAnsi="Arial" w:cs="Arial"/>
        </w:rPr>
        <w:t>. In contrast to the arithmetic mean, the median is employed as a measure of central tendency in a dataset, suggesting that exactly half of the recorded processing times for Spark are lower than this value.</w:t>
      </w:r>
    </w:p>
    <w:p w14:paraId="122DF996" w14:textId="0C02EB88" w:rsidR="00E55745" w:rsidRPr="00DB4BFD" w:rsidRDefault="00223783" w:rsidP="00DB4BFD">
      <w:pPr>
        <w:pStyle w:val="ListParagraph"/>
        <w:numPr>
          <w:ilvl w:val="0"/>
          <w:numId w:val="1"/>
        </w:numPr>
        <w:spacing w:line="360" w:lineRule="auto"/>
        <w:jc w:val="both"/>
        <w:rPr>
          <w:rFonts w:ascii="Arial" w:hAnsi="Arial" w:cs="Arial"/>
        </w:rPr>
      </w:pPr>
      <w:r w:rsidRPr="00DB4BFD">
        <w:rPr>
          <w:rFonts w:ascii="Arial" w:hAnsi="Arial" w:cs="Arial"/>
          <w:b/>
          <w:bCs/>
        </w:rPr>
        <w:t xml:space="preserve">Date of Highest R Processing Time: </w:t>
      </w:r>
      <w:r w:rsidR="00E55745" w:rsidRPr="00DB4BFD">
        <w:rPr>
          <w:rFonts w:ascii="Arial" w:hAnsi="Arial" w:cs="Arial"/>
          <w:b/>
          <w:bCs/>
        </w:rPr>
        <w:t>On February 1, 2023</w:t>
      </w:r>
      <w:r w:rsidR="00E55745" w:rsidRPr="00DB4BFD">
        <w:rPr>
          <w:rFonts w:ascii="Arial" w:hAnsi="Arial" w:cs="Arial"/>
        </w:rPr>
        <w:t>, the programming language R reached its peak processing time. The acknowledgment of these notable incidents holds considerable importance in comprehending any uncommon data points or vital occasions that may have the capacity to impact the duration of processing.</w:t>
      </w:r>
    </w:p>
    <w:p w14:paraId="2701DD1E" w14:textId="4AECB9E3" w:rsidR="00E55745" w:rsidRPr="00DB4BFD" w:rsidRDefault="00223783" w:rsidP="00DB4BFD">
      <w:pPr>
        <w:pStyle w:val="ListParagraph"/>
        <w:numPr>
          <w:ilvl w:val="0"/>
          <w:numId w:val="1"/>
        </w:numPr>
        <w:spacing w:line="360" w:lineRule="auto"/>
        <w:jc w:val="both"/>
        <w:rPr>
          <w:rFonts w:ascii="Arial" w:hAnsi="Arial" w:cs="Arial"/>
        </w:rPr>
      </w:pPr>
      <w:r w:rsidRPr="00DB4BFD">
        <w:rPr>
          <w:rFonts w:ascii="Arial" w:hAnsi="Arial" w:cs="Arial"/>
          <w:b/>
          <w:bCs/>
        </w:rPr>
        <w:t xml:space="preserve">Standard Deviation (Python): </w:t>
      </w:r>
      <w:r w:rsidR="00E55745" w:rsidRPr="00DB4BFD">
        <w:rPr>
          <w:rFonts w:ascii="Arial" w:hAnsi="Arial" w:cs="Arial"/>
        </w:rPr>
        <w:t xml:space="preserve">The standard deviation of the processing time in Python was calculated to be </w:t>
      </w:r>
      <w:r w:rsidR="00E55745" w:rsidRPr="00DB4BFD">
        <w:rPr>
          <w:rFonts w:ascii="Arial" w:hAnsi="Arial" w:cs="Arial"/>
          <w:b/>
          <w:bCs/>
        </w:rPr>
        <w:t>roughly 1.30</w:t>
      </w:r>
      <w:r w:rsidR="00E55745" w:rsidRPr="00DB4BFD">
        <w:rPr>
          <w:rFonts w:ascii="Arial" w:hAnsi="Arial" w:cs="Arial"/>
        </w:rPr>
        <w:t>. The statistical measure described above is employed to assess the degree of variability or dispersion in the processing times of Python, hence providing valuable insights into the consistency or volatility of its performance.</w:t>
      </w:r>
    </w:p>
    <w:p w14:paraId="50AA7251" w14:textId="7063D03A" w:rsidR="00E55745" w:rsidRPr="00DB4BFD" w:rsidRDefault="00223783" w:rsidP="00DB4BFD">
      <w:pPr>
        <w:pStyle w:val="ListParagraph"/>
        <w:numPr>
          <w:ilvl w:val="0"/>
          <w:numId w:val="1"/>
        </w:numPr>
        <w:spacing w:line="360" w:lineRule="auto"/>
        <w:jc w:val="both"/>
        <w:rPr>
          <w:rFonts w:ascii="Arial" w:hAnsi="Arial" w:cs="Arial"/>
        </w:rPr>
      </w:pPr>
      <w:r w:rsidRPr="00DB4BFD">
        <w:rPr>
          <w:rFonts w:ascii="Arial" w:hAnsi="Arial" w:cs="Arial"/>
          <w:b/>
          <w:bCs/>
        </w:rPr>
        <w:t xml:space="preserve">Tool with Lowest Average Processing Time: </w:t>
      </w:r>
      <w:r w:rsidR="00E55745" w:rsidRPr="00DB4BFD">
        <w:rPr>
          <w:rFonts w:ascii="Arial" w:hAnsi="Arial" w:cs="Arial"/>
        </w:rPr>
        <w:t xml:space="preserve">The </w:t>
      </w:r>
      <w:r w:rsidR="00E55745" w:rsidRPr="00DB4BFD">
        <w:rPr>
          <w:rFonts w:ascii="Arial" w:hAnsi="Arial" w:cs="Arial"/>
          <w:b/>
          <w:bCs/>
        </w:rPr>
        <w:t>Python programming language</w:t>
      </w:r>
      <w:r w:rsidR="00E55745" w:rsidRPr="00DB4BFD">
        <w:rPr>
          <w:rFonts w:ascii="Arial" w:hAnsi="Arial" w:cs="Arial"/>
        </w:rPr>
        <w:t xml:space="preserve"> exhibits the lowest mean processing time, with an estimated value of roughly 2.57. The presented statistic demonstrates the effectiveness of Python in the domain of data processing, positioning it as a significant performer within the scope of this dataset.</w:t>
      </w:r>
    </w:p>
    <w:p w14:paraId="71DEC518" w14:textId="3D152BC9" w:rsidR="0063461E" w:rsidRPr="00DB4BFD" w:rsidRDefault="0063461E" w:rsidP="00DB4BFD">
      <w:pPr>
        <w:pStyle w:val="ListParagraph"/>
        <w:spacing w:line="360" w:lineRule="auto"/>
        <w:jc w:val="both"/>
        <w:rPr>
          <w:rFonts w:ascii="Arial" w:hAnsi="Arial" w:cs="Arial"/>
        </w:rPr>
      </w:pPr>
      <w:r w:rsidRPr="00DB4BFD">
        <w:rPr>
          <w:rFonts w:ascii="Arial" w:hAnsi="Arial" w:cs="Arial"/>
          <w:noProof/>
        </w:rPr>
        <w:drawing>
          <wp:inline distT="0" distB="0" distL="0" distR="0" wp14:anchorId="703D8533" wp14:editId="4B437F22">
            <wp:extent cx="5384800" cy="3009900"/>
            <wp:effectExtent l="0" t="0" r="6350" b="0"/>
            <wp:docPr id="1731185714" name="Chart 1">
              <a:extLst xmlns:a="http://schemas.openxmlformats.org/drawingml/2006/main">
                <a:ext uri="{FF2B5EF4-FFF2-40B4-BE49-F238E27FC236}">
                  <a16:creationId xmlns:a16="http://schemas.microsoft.com/office/drawing/2014/main" id="{D4511AFB-EFDA-C5B9-FD58-16E74E7BE8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BCF64D1" w14:textId="68200F86" w:rsidR="00E55745" w:rsidRPr="00DB4BFD" w:rsidRDefault="00E66650" w:rsidP="00DB4BFD">
      <w:pPr>
        <w:pStyle w:val="ListParagraph"/>
        <w:numPr>
          <w:ilvl w:val="0"/>
          <w:numId w:val="1"/>
        </w:numPr>
        <w:spacing w:line="360" w:lineRule="auto"/>
        <w:jc w:val="both"/>
        <w:rPr>
          <w:rFonts w:ascii="Arial" w:hAnsi="Arial" w:cs="Arial"/>
        </w:rPr>
      </w:pPr>
      <w:r w:rsidRPr="00DB4BFD">
        <w:rPr>
          <w:rFonts w:ascii="Arial" w:hAnsi="Arial" w:cs="Arial"/>
          <w:b/>
          <w:bCs/>
        </w:rPr>
        <w:t xml:space="preserve">Interpretation of Processing Times Across Tools: </w:t>
      </w:r>
      <w:r w:rsidR="000841E1" w:rsidRPr="00DB4BFD">
        <w:rPr>
          <w:rFonts w:ascii="Arial" w:hAnsi="Arial" w:cs="Arial"/>
        </w:rPr>
        <w:t xml:space="preserve">The mean processing time for each tool is presented graphically to show observable performance characteristics. Python is </w:t>
      </w:r>
      <w:r w:rsidR="0002316E" w:rsidRPr="00DB4BFD">
        <w:rPr>
          <w:rFonts w:ascii="Arial" w:hAnsi="Arial" w:cs="Arial"/>
        </w:rPr>
        <w:t>recognized</w:t>
      </w:r>
      <w:r w:rsidR="000841E1" w:rsidRPr="00DB4BFD">
        <w:rPr>
          <w:rFonts w:ascii="Arial" w:hAnsi="Arial" w:cs="Arial"/>
        </w:rPr>
        <w:t xml:space="preserve"> for having a significantly lower average processing time, indicating that the </w:t>
      </w:r>
      <w:r w:rsidR="000841E1" w:rsidRPr="00DB4BFD">
        <w:rPr>
          <w:rFonts w:ascii="Arial" w:hAnsi="Arial" w:cs="Arial"/>
        </w:rPr>
        <w:lastRenderedPageBreak/>
        <w:t xml:space="preserve">language can handle tasks involving data. But Spark has the highest average processing time, suggesting that additional research or </w:t>
      </w:r>
      <w:proofErr w:type="spellStart"/>
      <w:r w:rsidR="000841E1" w:rsidRPr="00DB4BFD">
        <w:rPr>
          <w:rFonts w:ascii="Arial" w:hAnsi="Arial" w:cs="Arial"/>
        </w:rPr>
        <w:t>optimisation</w:t>
      </w:r>
      <w:proofErr w:type="spellEnd"/>
      <w:r w:rsidR="000841E1" w:rsidRPr="00DB4BFD">
        <w:rPr>
          <w:rFonts w:ascii="Arial" w:hAnsi="Arial" w:cs="Arial"/>
        </w:rPr>
        <w:t xml:space="preserve"> is needed</w:t>
      </w:r>
      <w:r w:rsidR="00223783" w:rsidRPr="00DB4BFD">
        <w:rPr>
          <w:rFonts w:ascii="Arial" w:hAnsi="Arial" w:cs="Arial"/>
        </w:rPr>
        <w:t>.</w:t>
      </w:r>
    </w:p>
    <w:p w14:paraId="3F0E8030" w14:textId="6F45D2D8" w:rsidR="00223783" w:rsidRPr="00DB4BFD" w:rsidRDefault="00223783" w:rsidP="00DB4BFD">
      <w:pPr>
        <w:spacing w:line="360" w:lineRule="auto"/>
        <w:jc w:val="both"/>
        <w:rPr>
          <w:rFonts w:ascii="Arial" w:hAnsi="Arial" w:cs="Arial"/>
          <w:b/>
          <w:bCs/>
        </w:rPr>
      </w:pPr>
      <w:r w:rsidRPr="00DB4BFD">
        <w:rPr>
          <w:rFonts w:ascii="Arial" w:hAnsi="Arial" w:cs="Arial"/>
          <w:b/>
          <w:bCs/>
        </w:rPr>
        <w:t>Interpretation and Extended Analysis</w:t>
      </w:r>
    </w:p>
    <w:p w14:paraId="3B0955BE" w14:textId="6045CA40" w:rsidR="00223783" w:rsidRPr="00DB4BFD" w:rsidRDefault="0002316E" w:rsidP="00DB4BFD">
      <w:pPr>
        <w:spacing w:line="360" w:lineRule="auto"/>
        <w:jc w:val="both"/>
        <w:rPr>
          <w:rFonts w:ascii="Arial" w:hAnsi="Arial" w:cs="Arial"/>
        </w:rPr>
      </w:pPr>
      <w:r w:rsidRPr="00DB4BFD">
        <w:rPr>
          <w:rFonts w:ascii="Arial" w:hAnsi="Arial" w:cs="Arial"/>
        </w:rPr>
        <w:t xml:space="preserve">It is important to acquire a comprehensive comprehension of the factors influencing processing durations in order to conduct dependable data analysis through the application of diverse approaches. Possible reasons of variation include the specifics of the tool being used, the complexity of the task at hand, and any </w:t>
      </w:r>
      <w:proofErr w:type="spellStart"/>
      <w:r w:rsidRPr="00DB4BFD">
        <w:rPr>
          <w:rFonts w:ascii="Arial" w:hAnsi="Arial" w:cs="Arial"/>
        </w:rPr>
        <w:t>optimisation</w:t>
      </w:r>
      <w:proofErr w:type="spellEnd"/>
      <w:r w:rsidRPr="00DB4BFD">
        <w:rPr>
          <w:rFonts w:ascii="Arial" w:hAnsi="Arial" w:cs="Arial"/>
        </w:rPr>
        <w:t xml:space="preserve"> techniques used. Python's efficiency can be observed in its reasonably short mean execution time, which is a result of its variety and ease of use. Spark's exceptional capacity to manage intricate data processing tasks may be the cause of the rise in average processing times</w:t>
      </w:r>
      <w:r w:rsidR="00764FDF" w:rsidRPr="00DB4BFD">
        <w:rPr>
          <w:rFonts w:ascii="Arial" w:hAnsi="Arial" w:cs="Arial"/>
        </w:rPr>
        <w:t xml:space="preserve"> </w:t>
      </w:r>
      <w:r w:rsidR="00764FDF" w:rsidRPr="00DB4BFD">
        <w:rPr>
          <w:rFonts w:ascii="Arial" w:hAnsi="Arial" w:cs="Arial"/>
        </w:rPr>
        <w:t>(</w:t>
      </w:r>
      <w:proofErr w:type="spellStart"/>
      <w:r w:rsidR="00764FDF" w:rsidRPr="00DB4BFD">
        <w:rPr>
          <w:rFonts w:ascii="Arial" w:hAnsi="Arial" w:cs="Arial"/>
        </w:rPr>
        <w:t>Ruaro</w:t>
      </w:r>
      <w:proofErr w:type="spellEnd"/>
      <w:r w:rsidR="00764FDF" w:rsidRPr="00DB4BFD">
        <w:rPr>
          <w:rFonts w:ascii="Arial" w:hAnsi="Arial" w:cs="Arial"/>
        </w:rPr>
        <w:t>, et. al., 2022)</w:t>
      </w:r>
      <w:r w:rsidR="00223783" w:rsidRPr="00DB4BFD">
        <w:rPr>
          <w:rFonts w:ascii="Arial" w:hAnsi="Arial" w:cs="Arial"/>
        </w:rPr>
        <w:t>.</w:t>
      </w:r>
    </w:p>
    <w:p w14:paraId="428E8CAF" w14:textId="3E423B6D" w:rsidR="00223783" w:rsidRPr="00DB4BFD" w:rsidRDefault="00223783" w:rsidP="00DB4BFD">
      <w:pPr>
        <w:spacing w:line="360" w:lineRule="auto"/>
        <w:jc w:val="both"/>
        <w:rPr>
          <w:rFonts w:ascii="Arial" w:hAnsi="Arial" w:cs="Arial"/>
        </w:rPr>
      </w:pPr>
      <w:r w:rsidRPr="00DB4BFD">
        <w:rPr>
          <w:rFonts w:ascii="Arial" w:hAnsi="Arial" w:cs="Arial"/>
        </w:rPr>
        <w:t>It would be beneficial to conduct additional research that analyses the performance of specific technologies across a variety of data processing tasks in order to advance knowledge. Conducting this additional research will enhance comprehension and provide valuable insights into the effectiveness of the instruments. Furthermore, it is imperative to assess the temporal aspect of the dataset as it facilitates the examination of temporal patterns and trends. This assessment may identify areas that require improvement or unveil locations that could be optimi</w:t>
      </w:r>
      <w:r w:rsidRPr="00DB4BFD">
        <w:rPr>
          <w:rFonts w:ascii="Arial" w:hAnsi="Arial" w:cs="Arial"/>
        </w:rPr>
        <w:t>z</w:t>
      </w:r>
      <w:r w:rsidRPr="00DB4BFD">
        <w:rPr>
          <w:rFonts w:ascii="Arial" w:hAnsi="Arial" w:cs="Arial"/>
        </w:rPr>
        <w:t>ed.</w:t>
      </w:r>
    </w:p>
    <w:p w14:paraId="68EB668F" w14:textId="3AB2CC15" w:rsidR="00223783" w:rsidRPr="00DB4BFD" w:rsidRDefault="00223783" w:rsidP="00DB4BFD">
      <w:pPr>
        <w:spacing w:line="360" w:lineRule="auto"/>
        <w:jc w:val="both"/>
        <w:rPr>
          <w:rFonts w:ascii="Arial" w:hAnsi="Arial" w:cs="Arial"/>
        </w:rPr>
      </w:pPr>
      <w:r w:rsidRPr="00DB4BFD">
        <w:rPr>
          <w:rFonts w:ascii="Arial" w:hAnsi="Arial" w:cs="Arial"/>
        </w:rPr>
        <w:t>In summary, the GreenMed dataset comprises crucial insights regarding the key performance indicators (KPIs) of widely recogni</w:t>
      </w:r>
      <w:r w:rsidRPr="00DB4BFD">
        <w:rPr>
          <w:rFonts w:ascii="Arial" w:hAnsi="Arial" w:cs="Arial"/>
        </w:rPr>
        <w:t>z</w:t>
      </w:r>
      <w:r w:rsidRPr="00DB4BFD">
        <w:rPr>
          <w:rFonts w:ascii="Arial" w:hAnsi="Arial" w:cs="Arial"/>
        </w:rPr>
        <w:t>ed big data tools. The responses to the posed inquiries furnish a quantitative foundation for subsequent comprehensive analyses. The aforementioned observations offer valuable insights that have the potential to greatly propel future research regarding the operational capabilities of each instrument. This research will contribute to the scholarly discourse on the effectiveness of data analytics methodologies</w:t>
      </w:r>
      <w:r w:rsidR="00764FDF" w:rsidRPr="00DB4BFD">
        <w:rPr>
          <w:rFonts w:ascii="Arial" w:hAnsi="Arial" w:cs="Arial"/>
        </w:rPr>
        <w:t xml:space="preserve"> </w:t>
      </w:r>
      <w:r w:rsidR="00764FDF" w:rsidRPr="00DB4BFD">
        <w:rPr>
          <w:rFonts w:ascii="Arial" w:hAnsi="Arial" w:cs="Arial"/>
        </w:rPr>
        <w:t>(Koh, et. al., 2022)</w:t>
      </w:r>
      <w:r w:rsidRPr="00DB4BFD">
        <w:rPr>
          <w:rFonts w:ascii="Arial" w:hAnsi="Arial" w:cs="Arial"/>
        </w:rPr>
        <w:t>.</w:t>
      </w:r>
    </w:p>
    <w:p w14:paraId="68E4BC31" w14:textId="2CBF4385" w:rsidR="00E566B8" w:rsidRPr="00DB4BFD" w:rsidRDefault="00D211F2" w:rsidP="00DB4BFD">
      <w:pPr>
        <w:pStyle w:val="Heading2"/>
        <w:spacing w:line="360" w:lineRule="auto"/>
        <w:jc w:val="both"/>
        <w:rPr>
          <w:rFonts w:ascii="Arial" w:hAnsi="Arial" w:cs="Arial"/>
          <w:sz w:val="22"/>
          <w:szCs w:val="22"/>
        </w:rPr>
      </w:pPr>
      <w:bookmarkStart w:id="4" w:name="_Toc151393434"/>
      <w:r w:rsidRPr="00DB4BFD">
        <w:rPr>
          <w:rFonts w:ascii="Arial" w:hAnsi="Arial" w:cs="Arial"/>
          <w:sz w:val="22"/>
          <w:szCs w:val="22"/>
        </w:rPr>
        <w:t>Data Visualization</w:t>
      </w:r>
      <w:bookmarkEnd w:id="4"/>
    </w:p>
    <w:p w14:paraId="24ECAE9F" w14:textId="73A1EACA" w:rsidR="001469D3" w:rsidRPr="00DB4BFD" w:rsidRDefault="001469D3" w:rsidP="00DB4BFD">
      <w:pPr>
        <w:spacing w:line="360" w:lineRule="auto"/>
        <w:jc w:val="both"/>
        <w:rPr>
          <w:rFonts w:ascii="Arial" w:hAnsi="Arial" w:cs="Arial"/>
          <w:b/>
          <w:bCs/>
        </w:rPr>
      </w:pPr>
      <w:r w:rsidRPr="00DB4BFD">
        <w:rPr>
          <w:rFonts w:ascii="Arial" w:hAnsi="Arial" w:cs="Arial"/>
          <w:b/>
          <w:bCs/>
        </w:rPr>
        <w:t>Line Chart for Hadoop Processing Time</w:t>
      </w:r>
    </w:p>
    <w:p w14:paraId="7D6CBE13" w14:textId="796FEA46" w:rsidR="00D211F2" w:rsidRPr="00DB4BFD" w:rsidRDefault="00D211F2" w:rsidP="00DB4BFD">
      <w:pPr>
        <w:spacing w:line="360" w:lineRule="auto"/>
        <w:jc w:val="both"/>
        <w:rPr>
          <w:rFonts w:ascii="Arial" w:hAnsi="Arial" w:cs="Arial"/>
        </w:rPr>
      </w:pPr>
      <w:r w:rsidRPr="00DB4BFD">
        <w:rPr>
          <w:rFonts w:ascii="Arial" w:hAnsi="Arial" w:cs="Arial"/>
          <w:noProof/>
        </w:rPr>
        <w:lastRenderedPageBreak/>
        <w:drawing>
          <wp:inline distT="0" distB="0" distL="0" distR="0" wp14:anchorId="557B6E3F" wp14:editId="44BB8749">
            <wp:extent cx="5613400" cy="2965450"/>
            <wp:effectExtent l="0" t="0" r="6350" b="6350"/>
            <wp:docPr id="1601850497" name="Chart 1">
              <a:extLst xmlns:a="http://schemas.openxmlformats.org/drawingml/2006/main">
                <a:ext uri="{FF2B5EF4-FFF2-40B4-BE49-F238E27FC236}">
                  <a16:creationId xmlns:a16="http://schemas.microsoft.com/office/drawing/2014/main" id="{56A7112B-CBCC-F389-BC3A-65808513F0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1AB9126" w14:textId="17F2107F" w:rsidR="00E566B8" w:rsidRPr="00DB4BFD" w:rsidRDefault="00E566B8" w:rsidP="00DB4BFD">
      <w:pPr>
        <w:spacing w:line="360" w:lineRule="auto"/>
        <w:jc w:val="both"/>
        <w:rPr>
          <w:rFonts w:ascii="Arial" w:hAnsi="Arial" w:cs="Arial"/>
        </w:rPr>
      </w:pPr>
      <w:r w:rsidRPr="00DB4BFD">
        <w:rPr>
          <w:rFonts w:ascii="Arial" w:hAnsi="Arial" w:cs="Arial"/>
        </w:rPr>
        <w:t xml:space="preserve">The diagram illustrating Hadoop Processing Hadoop's performance exhibits a dynamic pattern over time. An understanding of the variations and possible trends in processing times can be gained by looking at the trend over the dates. The line chart's peaks and troughs might represent times of increased productivity or difficulties. This </w:t>
      </w:r>
      <w:proofErr w:type="spellStart"/>
      <w:r w:rsidRPr="00DB4BFD">
        <w:rPr>
          <w:rFonts w:ascii="Arial" w:hAnsi="Arial" w:cs="Arial"/>
        </w:rPr>
        <w:t>visualisation</w:t>
      </w:r>
      <w:proofErr w:type="spellEnd"/>
      <w:r w:rsidRPr="00DB4BFD">
        <w:rPr>
          <w:rFonts w:ascii="Arial" w:hAnsi="Arial" w:cs="Arial"/>
        </w:rPr>
        <w:t xml:space="preserve"> contributes to a thorough knowledge of Hadoop's temporal performance dynamics by enabling a detailed assessment of how it reacts to changing data loads or task complexities.</w:t>
      </w:r>
    </w:p>
    <w:p w14:paraId="2B542ADA" w14:textId="2D83888F" w:rsidR="0063461E" w:rsidRPr="00DB4BFD" w:rsidRDefault="001469D3" w:rsidP="00DB4BFD">
      <w:pPr>
        <w:spacing w:line="360" w:lineRule="auto"/>
        <w:jc w:val="both"/>
        <w:rPr>
          <w:rFonts w:ascii="Arial" w:hAnsi="Arial" w:cs="Arial"/>
          <w:b/>
          <w:bCs/>
        </w:rPr>
      </w:pPr>
      <w:r w:rsidRPr="00DB4BFD">
        <w:rPr>
          <w:rFonts w:ascii="Arial" w:hAnsi="Arial" w:cs="Arial"/>
          <w:b/>
          <w:bCs/>
        </w:rPr>
        <w:t>Line Chart for Spark Processing Time</w:t>
      </w:r>
    </w:p>
    <w:p w14:paraId="394FE2BF" w14:textId="6EBB0CEB" w:rsidR="0063461E" w:rsidRPr="00DB4BFD" w:rsidRDefault="0063461E" w:rsidP="00DB4BFD">
      <w:pPr>
        <w:spacing w:line="360" w:lineRule="auto"/>
        <w:jc w:val="both"/>
        <w:rPr>
          <w:rFonts w:ascii="Arial" w:hAnsi="Arial" w:cs="Arial"/>
        </w:rPr>
      </w:pPr>
      <w:r w:rsidRPr="00DB4BFD">
        <w:rPr>
          <w:rFonts w:ascii="Arial" w:hAnsi="Arial" w:cs="Arial"/>
          <w:noProof/>
        </w:rPr>
        <w:drawing>
          <wp:inline distT="0" distB="0" distL="0" distR="0" wp14:anchorId="18EB803F" wp14:editId="2EFC1A5C">
            <wp:extent cx="5594350" cy="2882900"/>
            <wp:effectExtent l="0" t="0" r="6350" b="12700"/>
            <wp:docPr id="1816681316" name="Chart 1">
              <a:extLst xmlns:a="http://schemas.openxmlformats.org/drawingml/2006/main">
                <a:ext uri="{FF2B5EF4-FFF2-40B4-BE49-F238E27FC236}">
                  <a16:creationId xmlns:a16="http://schemas.microsoft.com/office/drawing/2014/main" id="{04A46113-FBF6-565D-BDF7-D1B4C29376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3F998E3" w14:textId="1A1DFBE5" w:rsidR="0063461E" w:rsidRPr="00DB4BFD" w:rsidRDefault="001A0B7A" w:rsidP="00DB4BFD">
      <w:pPr>
        <w:spacing w:line="360" w:lineRule="auto"/>
        <w:jc w:val="both"/>
        <w:rPr>
          <w:rFonts w:ascii="Arial" w:hAnsi="Arial" w:cs="Arial"/>
        </w:rPr>
      </w:pPr>
      <w:r w:rsidRPr="00DB4BFD">
        <w:rPr>
          <w:rFonts w:ascii="Arial" w:hAnsi="Arial" w:cs="Arial"/>
        </w:rPr>
        <w:lastRenderedPageBreak/>
        <w:t xml:space="preserve">An understanding of Spark's performance over time can be obtained from the line graph that shows Spark Processing Time across various dates. The trajectory of the queue can be tracked to detect patterns, periodicity, or abnormalities in processing times. This </w:t>
      </w:r>
      <w:proofErr w:type="spellStart"/>
      <w:r w:rsidRPr="00DB4BFD">
        <w:rPr>
          <w:rFonts w:ascii="Arial" w:hAnsi="Arial" w:cs="Arial"/>
        </w:rPr>
        <w:t>visualisation</w:t>
      </w:r>
      <w:proofErr w:type="spellEnd"/>
      <w:r w:rsidRPr="00DB4BFD">
        <w:rPr>
          <w:rFonts w:ascii="Arial" w:hAnsi="Arial" w:cs="Arial"/>
        </w:rPr>
        <w:t xml:space="preserve"> helps determine how responsive the tool is to changing data processing requirements. The chart's peaks and dips could indicate areas for </w:t>
      </w:r>
      <w:proofErr w:type="spellStart"/>
      <w:r w:rsidRPr="00DB4BFD">
        <w:rPr>
          <w:rFonts w:ascii="Arial" w:hAnsi="Arial" w:cs="Arial"/>
        </w:rPr>
        <w:t>optimisation</w:t>
      </w:r>
      <w:proofErr w:type="spellEnd"/>
      <w:r w:rsidRPr="00DB4BFD">
        <w:rPr>
          <w:rFonts w:ascii="Arial" w:hAnsi="Arial" w:cs="Arial"/>
        </w:rPr>
        <w:t xml:space="preserve"> or higher computational burden. A useful visual aid for examining Spark's temporal patterns and efficiency over the given period of time is the line chart.</w:t>
      </w:r>
    </w:p>
    <w:p w14:paraId="1E92C01D" w14:textId="291AD7AD" w:rsidR="001469D3" w:rsidRPr="00DB4BFD" w:rsidRDefault="001469D3" w:rsidP="00DB4BFD">
      <w:pPr>
        <w:spacing w:line="360" w:lineRule="auto"/>
        <w:jc w:val="both"/>
        <w:rPr>
          <w:rFonts w:ascii="Arial" w:hAnsi="Arial" w:cs="Arial"/>
          <w:b/>
          <w:bCs/>
        </w:rPr>
      </w:pPr>
      <w:r w:rsidRPr="00DB4BFD">
        <w:rPr>
          <w:rFonts w:ascii="Arial" w:hAnsi="Arial" w:cs="Arial"/>
          <w:b/>
          <w:bCs/>
        </w:rPr>
        <w:t>Area Plot for R Processing Time</w:t>
      </w:r>
    </w:p>
    <w:p w14:paraId="4610C765" w14:textId="6A33085C" w:rsidR="0063461E" w:rsidRPr="00DB4BFD" w:rsidRDefault="0063461E" w:rsidP="00DB4BFD">
      <w:pPr>
        <w:spacing w:line="360" w:lineRule="auto"/>
        <w:jc w:val="both"/>
        <w:rPr>
          <w:rFonts w:ascii="Arial" w:hAnsi="Arial" w:cs="Arial"/>
        </w:rPr>
      </w:pPr>
      <w:r w:rsidRPr="00DB4BFD">
        <w:rPr>
          <w:rFonts w:ascii="Arial" w:hAnsi="Arial" w:cs="Arial"/>
          <w:noProof/>
        </w:rPr>
        <w:drawing>
          <wp:inline distT="0" distB="0" distL="0" distR="0" wp14:anchorId="42D48F75" wp14:editId="0EE7A22B">
            <wp:extent cx="5575300" cy="3048000"/>
            <wp:effectExtent l="0" t="0" r="6350" b="0"/>
            <wp:docPr id="1976398173" name="Chart 1">
              <a:extLst xmlns:a="http://schemas.openxmlformats.org/drawingml/2006/main">
                <a:ext uri="{FF2B5EF4-FFF2-40B4-BE49-F238E27FC236}">
                  <a16:creationId xmlns:a16="http://schemas.microsoft.com/office/drawing/2014/main" id="{A997A142-8D6C-788A-0EFB-96D5239D08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EE4049" w14:textId="305BB955" w:rsidR="00583E7B" w:rsidRPr="00DB4BFD" w:rsidRDefault="0002316E" w:rsidP="00DB4BFD">
      <w:pPr>
        <w:spacing w:line="360" w:lineRule="auto"/>
        <w:jc w:val="both"/>
        <w:rPr>
          <w:rFonts w:ascii="Arial" w:hAnsi="Arial" w:cs="Arial"/>
        </w:rPr>
      </w:pPr>
      <w:r w:rsidRPr="00DB4BFD">
        <w:rPr>
          <w:rFonts w:ascii="Arial" w:hAnsi="Arial" w:cs="Arial"/>
        </w:rPr>
        <w:t xml:space="preserve">The area plot that displays R Processing Time over dates provides a comprehensive view of the tool's temporal performance. The filled regions beneath the curve make it easy to identify the activity's peak and trough as well as the full processing period. Analysis of R's dependability and possible processing time fluctuations is made easier with the help of this visual assistance. The area plot facilitates the identification of patterns or outliers, hence enhancing comprehension of the tool's performance dynamics. This, in turn, may guide future research or </w:t>
      </w:r>
      <w:proofErr w:type="spellStart"/>
      <w:r w:rsidRPr="00DB4BFD">
        <w:rPr>
          <w:rFonts w:ascii="Arial" w:hAnsi="Arial" w:cs="Arial"/>
        </w:rPr>
        <w:t>optimisation</w:t>
      </w:r>
      <w:proofErr w:type="spellEnd"/>
      <w:r w:rsidRPr="00DB4BFD">
        <w:rPr>
          <w:rFonts w:ascii="Arial" w:hAnsi="Arial" w:cs="Arial"/>
        </w:rPr>
        <w:t xml:space="preserve"> </w:t>
      </w:r>
      <w:proofErr w:type="spellStart"/>
      <w:r w:rsidRPr="00DB4BFD">
        <w:rPr>
          <w:rFonts w:ascii="Arial" w:hAnsi="Arial" w:cs="Arial"/>
        </w:rPr>
        <w:t>endeavours</w:t>
      </w:r>
      <w:proofErr w:type="spellEnd"/>
      <w:r w:rsidR="00764FDF" w:rsidRPr="00DB4BFD">
        <w:rPr>
          <w:rFonts w:ascii="Arial" w:hAnsi="Arial" w:cs="Arial"/>
        </w:rPr>
        <w:t xml:space="preserve"> </w:t>
      </w:r>
      <w:r w:rsidR="00764FDF" w:rsidRPr="00DB4BFD">
        <w:rPr>
          <w:rFonts w:ascii="Arial" w:hAnsi="Arial" w:cs="Arial"/>
        </w:rPr>
        <w:t>(</w:t>
      </w:r>
      <w:proofErr w:type="spellStart"/>
      <w:r w:rsidR="00764FDF" w:rsidRPr="00DB4BFD">
        <w:rPr>
          <w:rFonts w:ascii="Arial" w:hAnsi="Arial" w:cs="Arial"/>
        </w:rPr>
        <w:t>Rakhmatullaevich</w:t>
      </w:r>
      <w:proofErr w:type="spellEnd"/>
      <w:r w:rsidR="00764FDF" w:rsidRPr="00DB4BFD">
        <w:rPr>
          <w:rFonts w:ascii="Arial" w:hAnsi="Arial" w:cs="Arial"/>
        </w:rPr>
        <w:t>, et. al., 2023)</w:t>
      </w:r>
      <w:r w:rsidR="001A0B7A" w:rsidRPr="00DB4BFD">
        <w:rPr>
          <w:rFonts w:ascii="Arial" w:hAnsi="Arial" w:cs="Arial"/>
        </w:rPr>
        <w:t>.</w:t>
      </w:r>
    </w:p>
    <w:p w14:paraId="18D712A7" w14:textId="32D7B334" w:rsidR="001469D3" w:rsidRPr="00DB4BFD" w:rsidRDefault="001469D3" w:rsidP="00DB4BFD">
      <w:pPr>
        <w:spacing w:line="360" w:lineRule="auto"/>
        <w:jc w:val="both"/>
        <w:rPr>
          <w:rFonts w:ascii="Arial" w:hAnsi="Arial" w:cs="Arial"/>
          <w:b/>
          <w:bCs/>
        </w:rPr>
      </w:pPr>
      <w:r w:rsidRPr="00DB4BFD">
        <w:rPr>
          <w:rFonts w:ascii="Arial" w:hAnsi="Arial" w:cs="Arial"/>
          <w:b/>
          <w:bCs/>
        </w:rPr>
        <w:t>Bar Plot for Python Processing Time</w:t>
      </w:r>
    </w:p>
    <w:p w14:paraId="16FBB4FE" w14:textId="346120DB" w:rsidR="00583E7B" w:rsidRPr="00DB4BFD" w:rsidRDefault="00583E7B" w:rsidP="00DB4BFD">
      <w:pPr>
        <w:spacing w:line="360" w:lineRule="auto"/>
        <w:jc w:val="both"/>
        <w:rPr>
          <w:rFonts w:ascii="Arial" w:hAnsi="Arial" w:cs="Arial"/>
        </w:rPr>
      </w:pPr>
      <w:r w:rsidRPr="00DB4BFD">
        <w:rPr>
          <w:rFonts w:ascii="Arial" w:hAnsi="Arial" w:cs="Arial"/>
          <w:noProof/>
        </w:rPr>
        <w:lastRenderedPageBreak/>
        <w:drawing>
          <wp:inline distT="0" distB="0" distL="0" distR="0" wp14:anchorId="0D36452F" wp14:editId="04EF9745">
            <wp:extent cx="5543550" cy="3035300"/>
            <wp:effectExtent l="0" t="0" r="0" b="12700"/>
            <wp:docPr id="1078430847" name="Chart 1">
              <a:extLst xmlns:a="http://schemas.openxmlformats.org/drawingml/2006/main">
                <a:ext uri="{FF2B5EF4-FFF2-40B4-BE49-F238E27FC236}">
                  <a16:creationId xmlns:a16="http://schemas.microsoft.com/office/drawing/2014/main" id="{665021C9-C4BD-57A1-3CEB-B4610D6159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6AE56D" w14:textId="5460ED15" w:rsidR="00583E7B" w:rsidRPr="00DB4BFD" w:rsidRDefault="00ED74DB" w:rsidP="00DB4BFD">
      <w:pPr>
        <w:spacing w:line="360" w:lineRule="auto"/>
        <w:jc w:val="both"/>
        <w:rPr>
          <w:rFonts w:ascii="Arial" w:hAnsi="Arial" w:cs="Arial"/>
        </w:rPr>
      </w:pPr>
      <w:r w:rsidRPr="00DB4BFD">
        <w:rPr>
          <w:rFonts w:ascii="Arial" w:hAnsi="Arial" w:cs="Arial"/>
        </w:rPr>
        <w:t>A bar chart shows the instrument's performance over time by comparing Python processing times. The graph shows the daily processing times, with each bar denoting a day. Any adjustments to the bar orientation may have an effect on Python's processing performance. The graph above explains the temporal dynamics of Python. It does this by showing the differences in its day-to-day performance</w:t>
      </w:r>
      <w:r w:rsidR="001469D3" w:rsidRPr="00DB4BFD">
        <w:rPr>
          <w:rFonts w:ascii="Arial" w:hAnsi="Arial" w:cs="Arial"/>
        </w:rPr>
        <w:t>.</w:t>
      </w:r>
    </w:p>
    <w:p w14:paraId="1A9D0E60" w14:textId="0C3C0C11" w:rsidR="001469D3" w:rsidRPr="00DB4BFD" w:rsidRDefault="001469D3" w:rsidP="00DB4BFD">
      <w:pPr>
        <w:spacing w:line="360" w:lineRule="auto"/>
        <w:jc w:val="both"/>
        <w:rPr>
          <w:rFonts w:ascii="Arial" w:hAnsi="Arial" w:cs="Arial"/>
          <w:b/>
          <w:bCs/>
        </w:rPr>
      </w:pPr>
      <w:r w:rsidRPr="00DB4BFD">
        <w:rPr>
          <w:rFonts w:ascii="Arial" w:hAnsi="Arial" w:cs="Arial"/>
          <w:b/>
          <w:bCs/>
        </w:rPr>
        <w:t>Area Plot for Tableau Processing Time</w:t>
      </w:r>
    </w:p>
    <w:p w14:paraId="14E183AC" w14:textId="6EFE8A90" w:rsidR="00583E7B" w:rsidRPr="00DB4BFD" w:rsidRDefault="00583E7B" w:rsidP="00DB4BFD">
      <w:pPr>
        <w:spacing w:line="360" w:lineRule="auto"/>
        <w:jc w:val="both"/>
        <w:rPr>
          <w:rFonts w:ascii="Arial" w:hAnsi="Arial" w:cs="Arial"/>
        </w:rPr>
      </w:pPr>
      <w:r w:rsidRPr="00DB4BFD">
        <w:rPr>
          <w:rFonts w:ascii="Arial" w:hAnsi="Arial" w:cs="Arial"/>
          <w:noProof/>
        </w:rPr>
        <w:drawing>
          <wp:inline distT="0" distB="0" distL="0" distR="0" wp14:anchorId="36169D0A" wp14:editId="32D1DFD2">
            <wp:extent cx="5562600" cy="3035300"/>
            <wp:effectExtent l="0" t="0" r="0" b="12700"/>
            <wp:docPr id="1277009522" name="Chart 1">
              <a:extLst xmlns:a="http://schemas.openxmlformats.org/drawingml/2006/main">
                <a:ext uri="{FF2B5EF4-FFF2-40B4-BE49-F238E27FC236}">
                  <a16:creationId xmlns:a16="http://schemas.microsoft.com/office/drawing/2014/main" id="{8475269A-4380-5119-D696-00722A7A01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6249C8" w14:textId="4E072871" w:rsidR="00E566B8" w:rsidRPr="00DB4BFD" w:rsidRDefault="00783E19" w:rsidP="00DB4BFD">
      <w:pPr>
        <w:spacing w:line="360" w:lineRule="auto"/>
        <w:jc w:val="both"/>
        <w:rPr>
          <w:rFonts w:ascii="Arial" w:hAnsi="Arial" w:cs="Arial"/>
        </w:rPr>
      </w:pPr>
      <w:r w:rsidRPr="00DB4BFD">
        <w:rPr>
          <w:rFonts w:ascii="Arial" w:hAnsi="Arial" w:cs="Arial"/>
        </w:rPr>
        <w:lastRenderedPageBreak/>
        <w:t xml:space="preserve">A sophisticated and eye-catching </w:t>
      </w:r>
      <w:proofErr w:type="spellStart"/>
      <w:r w:rsidRPr="00DB4BFD">
        <w:rPr>
          <w:rFonts w:ascii="Arial" w:hAnsi="Arial" w:cs="Arial"/>
        </w:rPr>
        <w:t>visualisation</w:t>
      </w:r>
      <w:proofErr w:type="spellEnd"/>
      <w:r w:rsidRPr="00DB4BFD">
        <w:rPr>
          <w:rFonts w:ascii="Arial" w:hAnsi="Arial" w:cs="Arial"/>
        </w:rPr>
        <w:t xml:space="preserve"> of the tool's performance patterns is produced through the use of time-dependent charts. The filled regions beneath the curve indicate the total processing times and show how consistently effective the tool is. Through the use of Tableau's performance </w:t>
      </w:r>
      <w:proofErr w:type="spellStart"/>
      <w:r w:rsidRPr="00DB4BFD">
        <w:rPr>
          <w:rFonts w:ascii="Arial" w:hAnsi="Arial" w:cs="Arial"/>
        </w:rPr>
        <w:t>visualisation</w:t>
      </w:r>
      <w:proofErr w:type="spellEnd"/>
      <w:r w:rsidRPr="00DB4BFD">
        <w:rPr>
          <w:rFonts w:ascii="Arial" w:hAnsi="Arial" w:cs="Arial"/>
        </w:rPr>
        <w:t xml:space="preserve">, cycles, peaks, and troughs may be more easily seen, which helps to establish a more sophisticated knowledge of the temporal dynamics of the </w:t>
      </w:r>
      <w:proofErr w:type="spellStart"/>
      <w:r w:rsidRPr="00DB4BFD">
        <w:rPr>
          <w:rFonts w:ascii="Arial" w:hAnsi="Arial" w:cs="Arial"/>
        </w:rPr>
        <w:t>programme</w:t>
      </w:r>
      <w:proofErr w:type="spellEnd"/>
      <w:r w:rsidRPr="00DB4BFD">
        <w:rPr>
          <w:rFonts w:ascii="Arial" w:hAnsi="Arial" w:cs="Arial"/>
        </w:rPr>
        <w:t xml:space="preserve">. When evaluating Tableau's flexibility in response to changing needs for data processing, the area map is a great resource. After </w:t>
      </w:r>
      <w:proofErr w:type="spellStart"/>
      <w:r w:rsidRPr="00DB4BFD">
        <w:rPr>
          <w:rFonts w:ascii="Arial" w:hAnsi="Arial" w:cs="Arial"/>
        </w:rPr>
        <w:t>analysing</w:t>
      </w:r>
      <w:proofErr w:type="spellEnd"/>
      <w:r w:rsidRPr="00DB4BFD">
        <w:rPr>
          <w:rFonts w:ascii="Arial" w:hAnsi="Arial" w:cs="Arial"/>
        </w:rPr>
        <w:t xml:space="preserve"> data throughout the specified time periods, the system generates intelligent forecasts and refines recommendations</w:t>
      </w:r>
      <w:r w:rsidR="00764FDF" w:rsidRPr="00DB4BFD">
        <w:rPr>
          <w:rFonts w:ascii="Arial" w:hAnsi="Arial" w:cs="Arial"/>
        </w:rPr>
        <w:t xml:space="preserve"> </w:t>
      </w:r>
      <w:r w:rsidR="00764FDF" w:rsidRPr="00DB4BFD">
        <w:rPr>
          <w:rFonts w:ascii="Arial" w:hAnsi="Arial" w:cs="Arial"/>
        </w:rPr>
        <w:t>(Kalwar, et. al., 2023)</w:t>
      </w:r>
      <w:r w:rsidR="001469D3" w:rsidRPr="00DB4BFD">
        <w:rPr>
          <w:rFonts w:ascii="Arial" w:hAnsi="Arial" w:cs="Arial"/>
        </w:rPr>
        <w:t>.</w:t>
      </w:r>
    </w:p>
    <w:p w14:paraId="480119C4" w14:textId="75F8D3CE" w:rsidR="003D4330" w:rsidRPr="00DB4BFD" w:rsidRDefault="003D4330" w:rsidP="00DB4BFD">
      <w:pPr>
        <w:spacing w:line="360" w:lineRule="auto"/>
        <w:jc w:val="both"/>
        <w:rPr>
          <w:rFonts w:ascii="Arial" w:hAnsi="Arial" w:cs="Arial"/>
          <w:b/>
          <w:bCs/>
        </w:rPr>
      </w:pPr>
      <w:r w:rsidRPr="00DB4BFD">
        <w:rPr>
          <w:rFonts w:ascii="Arial" w:hAnsi="Arial" w:cs="Arial"/>
          <w:b/>
          <w:bCs/>
        </w:rPr>
        <w:t xml:space="preserve">Scatter Plot for Processing </w:t>
      </w:r>
      <w:r w:rsidR="00D63577" w:rsidRPr="00DB4BFD">
        <w:rPr>
          <w:rFonts w:ascii="Arial" w:hAnsi="Arial" w:cs="Arial"/>
          <w:b/>
          <w:bCs/>
        </w:rPr>
        <w:t xml:space="preserve">Times </w:t>
      </w:r>
      <w:r w:rsidRPr="00DB4BFD">
        <w:rPr>
          <w:rFonts w:ascii="Arial" w:hAnsi="Arial" w:cs="Arial"/>
          <w:b/>
          <w:bCs/>
        </w:rPr>
        <w:t xml:space="preserve">for </w:t>
      </w:r>
      <w:r w:rsidR="00D63577" w:rsidRPr="00DB4BFD">
        <w:rPr>
          <w:rFonts w:ascii="Arial" w:hAnsi="Arial" w:cs="Arial"/>
          <w:b/>
          <w:bCs/>
        </w:rPr>
        <w:t>Different Tools</w:t>
      </w:r>
    </w:p>
    <w:p w14:paraId="3AD97241" w14:textId="52B1DD6B" w:rsidR="003D4330" w:rsidRPr="00DB4BFD" w:rsidRDefault="003D4330" w:rsidP="00DB4BFD">
      <w:pPr>
        <w:spacing w:line="360" w:lineRule="auto"/>
        <w:jc w:val="both"/>
        <w:rPr>
          <w:rFonts w:ascii="Arial" w:hAnsi="Arial" w:cs="Arial"/>
        </w:rPr>
      </w:pPr>
      <w:r w:rsidRPr="00DB4BFD">
        <w:rPr>
          <w:rFonts w:ascii="Arial" w:hAnsi="Arial" w:cs="Arial"/>
          <w:noProof/>
        </w:rPr>
        <w:drawing>
          <wp:inline distT="0" distB="0" distL="0" distR="0" wp14:anchorId="0C88263E" wp14:editId="6065227A">
            <wp:extent cx="5943600" cy="3095625"/>
            <wp:effectExtent l="0" t="0" r="0" b="0"/>
            <wp:docPr id="164554465" name="Chart 1">
              <a:extLst xmlns:a="http://schemas.openxmlformats.org/drawingml/2006/main">
                <a:ext uri="{FF2B5EF4-FFF2-40B4-BE49-F238E27FC236}">
                  <a16:creationId xmlns:a16="http://schemas.microsoft.com/office/drawing/2014/main" id="{57E710DE-D583-0C2F-04F9-52846F6082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EA61B3B" w14:textId="7809D1D7" w:rsidR="002B3A12" w:rsidRPr="00DB4BFD" w:rsidRDefault="000A1570" w:rsidP="00DB4BFD">
      <w:pPr>
        <w:spacing w:line="360" w:lineRule="auto"/>
        <w:jc w:val="both"/>
        <w:rPr>
          <w:rFonts w:ascii="Arial" w:hAnsi="Arial" w:cs="Arial"/>
        </w:rPr>
      </w:pPr>
      <w:r w:rsidRPr="00DB4BFD">
        <w:rPr>
          <w:rFonts w:ascii="Arial" w:hAnsi="Arial" w:cs="Arial"/>
        </w:rPr>
        <w:t xml:space="preserve">The scatter plot graphically displays the different processing time distributions for Hadoop, Spark, R, Python, and Tableau. Each occurrence's processing time is represented as a point on the plot, enabling a comprehensive assessment of each instrument's efficacy. </w:t>
      </w:r>
      <w:r w:rsidR="002B3A12" w:rsidRPr="00DB4BFD">
        <w:rPr>
          <w:rFonts w:ascii="Arial" w:hAnsi="Arial" w:cs="Arial"/>
        </w:rPr>
        <w:t xml:space="preserve"> The dates are indicated on the horizontal axis, which gives the scatter plot a temporal context. Finding patterns, anomalies, and possible correlations in the processing times of the various tools is made easier with the help of this </w:t>
      </w:r>
      <w:r w:rsidR="00DA25A3" w:rsidRPr="00DB4BFD">
        <w:rPr>
          <w:rFonts w:ascii="Arial" w:hAnsi="Arial" w:cs="Arial"/>
        </w:rPr>
        <w:t>visualization</w:t>
      </w:r>
      <w:r w:rsidR="002B3A12" w:rsidRPr="00DB4BFD">
        <w:rPr>
          <w:rFonts w:ascii="Arial" w:hAnsi="Arial" w:cs="Arial"/>
        </w:rPr>
        <w:t>. An understanding of the variability and consistency of each tool's performance over the designated time period can be gained by looking at the clustering or dispersion of points, which lays the groundwork for additional analysis and interpretation.</w:t>
      </w:r>
    </w:p>
    <w:p w14:paraId="4AC850AB" w14:textId="72D1E620" w:rsidR="00440CC8" w:rsidRPr="00DB4BFD" w:rsidRDefault="00440CC8" w:rsidP="00DB4BFD">
      <w:pPr>
        <w:pStyle w:val="Heading2"/>
        <w:spacing w:line="360" w:lineRule="auto"/>
        <w:jc w:val="both"/>
        <w:rPr>
          <w:rFonts w:ascii="Arial" w:hAnsi="Arial" w:cs="Arial"/>
          <w:sz w:val="22"/>
          <w:szCs w:val="22"/>
        </w:rPr>
      </w:pPr>
      <w:bookmarkStart w:id="5" w:name="_Toc151393435"/>
      <w:r w:rsidRPr="00DB4BFD">
        <w:rPr>
          <w:rFonts w:ascii="Arial" w:hAnsi="Arial" w:cs="Arial"/>
          <w:sz w:val="22"/>
          <w:szCs w:val="22"/>
        </w:rPr>
        <w:lastRenderedPageBreak/>
        <w:t>Correlation and Scatter Plot</w:t>
      </w:r>
      <w:bookmarkEnd w:id="5"/>
    </w:p>
    <w:p w14:paraId="2B16C199" w14:textId="1C6046D0" w:rsidR="000F2389" w:rsidRPr="00DB4BFD" w:rsidRDefault="000F2389" w:rsidP="00DB4BFD">
      <w:pPr>
        <w:spacing w:line="360" w:lineRule="auto"/>
        <w:jc w:val="both"/>
        <w:rPr>
          <w:rFonts w:ascii="Arial" w:hAnsi="Arial" w:cs="Arial"/>
        </w:rPr>
      </w:pPr>
      <w:r w:rsidRPr="00DB4BFD">
        <w:rPr>
          <w:rFonts w:ascii="Arial" w:hAnsi="Arial" w:cs="Arial"/>
        </w:rPr>
        <w:t>Correlation and scatter plot analysis are two statistical techniques that are widely used in academic research to examine the relationship between two variables. Determining the direction and intensity of the link between the variables under study is the aim of this analysis. Correlation analysis measures how strongly two variables are linearly linked. It measures how strongly alterations in a single variable are connected to</w:t>
      </w:r>
    </w:p>
    <w:p w14:paraId="12D8E4BF" w14:textId="207878CC" w:rsidR="000F2389" w:rsidRPr="00DB4BFD" w:rsidRDefault="000F2389" w:rsidP="00DB4BFD">
      <w:pPr>
        <w:spacing w:line="360" w:lineRule="auto"/>
        <w:jc w:val="both"/>
        <w:rPr>
          <w:rFonts w:ascii="Arial" w:hAnsi="Arial" w:cs="Arial"/>
          <w:b/>
          <w:bCs/>
        </w:rPr>
      </w:pPr>
      <w:r w:rsidRPr="00DB4BFD">
        <w:rPr>
          <w:rFonts w:ascii="Arial" w:hAnsi="Arial" w:cs="Arial"/>
          <w:b/>
          <w:bCs/>
        </w:rPr>
        <w:t>Correlation</w:t>
      </w:r>
    </w:p>
    <w:p w14:paraId="626649EE" w14:textId="58C86F3C" w:rsidR="000F2389" w:rsidRPr="00DB4BFD" w:rsidRDefault="000F2389" w:rsidP="00DB4BFD">
      <w:pPr>
        <w:spacing w:line="360" w:lineRule="auto"/>
        <w:jc w:val="both"/>
        <w:rPr>
          <w:rFonts w:ascii="Arial" w:hAnsi="Arial" w:cs="Arial"/>
        </w:rPr>
      </w:pPr>
      <w:r w:rsidRPr="00DB4BFD">
        <w:rPr>
          <w:rFonts w:ascii="Arial" w:hAnsi="Arial" w:cs="Arial"/>
        </w:rPr>
        <w:t>The correlation coefficient between Hadoop and Tableau processing times is 0.178, suggesting a weak but positive association between the two variables. This result points to a little tendency—albeit a faint one—of a relatively comparable trend between the processing times for Hadoop and Tableau.</w:t>
      </w:r>
    </w:p>
    <w:p w14:paraId="6229FCE8" w14:textId="08BD9282" w:rsidR="000F2389" w:rsidRPr="00DB4BFD" w:rsidRDefault="000F2389" w:rsidP="00DB4BFD">
      <w:pPr>
        <w:spacing w:line="360" w:lineRule="auto"/>
        <w:jc w:val="both"/>
        <w:rPr>
          <w:rFonts w:ascii="Arial" w:hAnsi="Arial" w:cs="Arial"/>
          <w:b/>
          <w:bCs/>
        </w:rPr>
      </w:pPr>
      <w:r w:rsidRPr="00DB4BFD">
        <w:rPr>
          <w:rFonts w:ascii="Arial" w:hAnsi="Arial" w:cs="Arial"/>
          <w:b/>
          <w:bCs/>
        </w:rPr>
        <w:t>Scatter Plot</w:t>
      </w:r>
    </w:p>
    <w:p w14:paraId="6CB29E93" w14:textId="64EFF468" w:rsidR="000F2389" w:rsidRPr="00DB4BFD" w:rsidRDefault="000F2389" w:rsidP="00DB4BFD">
      <w:pPr>
        <w:spacing w:line="360" w:lineRule="auto"/>
        <w:jc w:val="both"/>
        <w:rPr>
          <w:rFonts w:ascii="Arial" w:hAnsi="Arial" w:cs="Arial"/>
        </w:rPr>
      </w:pPr>
      <w:r w:rsidRPr="00DB4BFD">
        <w:rPr>
          <w:rFonts w:ascii="Arial" w:hAnsi="Arial" w:cs="Arial"/>
        </w:rPr>
        <w:t xml:space="preserve">The scatter plot's objective is to enhance understanding of the connection between Tableau and Hadoop by providing a visual representation of each individual data point. Every point represents a distinct processing time event for both technologies. The </w:t>
      </w:r>
      <w:r w:rsidR="00C25092" w:rsidRPr="00DB4BFD">
        <w:rPr>
          <w:rFonts w:ascii="Arial" w:hAnsi="Arial" w:cs="Arial"/>
        </w:rPr>
        <w:t xml:space="preserve">below scatter plot </w:t>
      </w:r>
      <w:r w:rsidRPr="00DB4BFD">
        <w:rPr>
          <w:rFonts w:ascii="Arial" w:hAnsi="Arial" w:cs="Arial"/>
        </w:rPr>
        <w:t>scatter plot displays the Hadoop processing time on the horizontal axis and the Tableau processing time on the vertical.</w:t>
      </w:r>
    </w:p>
    <w:p w14:paraId="24EFD939" w14:textId="289096BB" w:rsidR="00C25092" w:rsidRPr="00DB4BFD" w:rsidRDefault="00C25092" w:rsidP="00DB4BFD">
      <w:pPr>
        <w:spacing w:line="360" w:lineRule="auto"/>
        <w:jc w:val="both"/>
        <w:rPr>
          <w:rFonts w:ascii="Arial" w:hAnsi="Arial" w:cs="Arial"/>
        </w:rPr>
      </w:pPr>
      <w:r w:rsidRPr="00DB4BFD">
        <w:rPr>
          <w:rFonts w:ascii="Arial" w:hAnsi="Arial" w:cs="Arial"/>
          <w:noProof/>
        </w:rPr>
        <w:drawing>
          <wp:inline distT="0" distB="0" distL="0" distR="0" wp14:anchorId="4DF357C7" wp14:editId="6EA0DCF1">
            <wp:extent cx="5852160" cy="2822713"/>
            <wp:effectExtent l="0" t="0" r="15240" b="15875"/>
            <wp:docPr id="393384843" name="Chart 1">
              <a:extLst xmlns:a="http://schemas.openxmlformats.org/drawingml/2006/main">
                <a:ext uri="{FF2B5EF4-FFF2-40B4-BE49-F238E27FC236}">
                  <a16:creationId xmlns:a16="http://schemas.microsoft.com/office/drawing/2014/main" id="{65340AFA-5EFD-DDB5-9EDC-98CFF7187A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E98956C" w14:textId="51C939BB" w:rsidR="000F2389" w:rsidRPr="00DB4BFD" w:rsidRDefault="000F2389" w:rsidP="00DB4BFD">
      <w:pPr>
        <w:spacing w:line="360" w:lineRule="auto"/>
        <w:jc w:val="both"/>
        <w:rPr>
          <w:rFonts w:ascii="Arial" w:hAnsi="Arial" w:cs="Arial"/>
        </w:rPr>
      </w:pPr>
      <w:r w:rsidRPr="00DB4BFD">
        <w:rPr>
          <w:rFonts w:ascii="Arial" w:hAnsi="Arial" w:cs="Arial"/>
        </w:rPr>
        <w:t xml:space="preserve">A detailed look at the scatter plot reveals that the data points are distributed randomly and lack a clear linear pattern. According to the correlation coefficient, the previously discovered weak link </w:t>
      </w:r>
      <w:r w:rsidRPr="00DB4BFD">
        <w:rPr>
          <w:rFonts w:ascii="Arial" w:hAnsi="Arial" w:cs="Arial"/>
        </w:rPr>
        <w:lastRenderedPageBreak/>
        <w:t>is strengthened by this discovery. The point distribution of the graph indicates that there is no consistent correlation between variations in Hadoop's processing time and variations in Tableau's processing time. The lack of a distinct trend line suggests that there may be other variables or factors influencing the difference in processing times between these two instruments.</w:t>
      </w:r>
    </w:p>
    <w:p w14:paraId="3D83EBD4" w14:textId="2E92D384" w:rsidR="000F2389" w:rsidRPr="00DB4BFD" w:rsidRDefault="000F2389" w:rsidP="00DB4BFD">
      <w:pPr>
        <w:spacing w:line="360" w:lineRule="auto"/>
        <w:jc w:val="both"/>
        <w:rPr>
          <w:rFonts w:ascii="Arial" w:hAnsi="Arial" w:cs="Arial"/>
        </w:rPr>
      </w:pPr>
      <w:r w:rsidRPr="00DB4BFD">
        <w:rPr>
          <w:rFonts w:ascii="Arial" w:hAnsi="Arial" w:cs="Arial"/>
        </w:rPr>
        <w:t xml:space="preserve">It is important to </w:t>
      </w:r>
      <w:proofErr w:type="spellStart"/>
      <w:r w:rsidRPr="00DB4BFD">
        <w:rPr>
          <w:rFonts w:ascii="Arial" w:hAnsi="Arial" w:cs="Arial"/>
        </w:rPr>
        <w:t>realise</w:t>
      </w:r>
      <w:proofErr w:type="spellEnd"/>
      <w:r w:rsidRPr="00DB4BFD">
        <w:rPr>
          <w:rFonts w:ascii="Arial" w:hAnsi="Arial" w:cs="Arial"/>
        </w:rPr>
        <w:t xml:space="preserve"> that a connection does not necessarily indicate a cause. This does not necessarily mean that Hadoop and Tableau's processing speeds are causally related, even though there is a little correlation. Further research and evaluation of other components, such as potential confounding variables, are necessary to have a more thorough knowledge of the causes influencing the observed link.</w:t>
      </w:r>
    </w:p>
    <w:p w14:paraId="485EBA02" w14:textId="047AA5CF" w:rsidR="00440CC8" w:rsidRPr="00DB4BFD" w:rsidRDefault="00440CC8" w:rsidP="00DB4BFD">
      <w:pPr>
        <w:pStyle w:val="Heading2"/>
        <w:spacing w:line="360" w:lineRule="auto"/>
        <w:jc w:val="both"/>
        <w:rPr>
          <w:rFonts w:ascii="Arial" w:hAnsi="Arial" w:cs="Arial"/>
          <w:sz w:val="22"/>
          <w:szCs w:val="22"/>
        </w:rPr>
      </w:pPr>
      <w:bookmarkStart w:id="6" w:name="_Toc151393436"/>
      <w:r w:rsidRPr="00DB4BFD">
        <w:rPr>
          <w:rFonts w:ascii="Arial" w:hAnsi="Arial" w:cs="Arial"/>
          <w:sz w:val="22"/>
          <w:szCs w:val="22"/>
        </w:rPr>
        <w:t>Conclusion</w:t>
      </w:r>
      <w:bookmarkEnd w:id="6"/>
    </w:p>
    <w:p w14:paraId="71977066" w14:textId="2399E2EA" w:rsidR="00F41A9E" w:rsidRPr="00DB4BFD" w:rsidRDefault="00F41A9E" w:rsidP="00DB4BFD">
      <w:pPr>
        <w:spacing w:line="360" w:lineRule="auto"/>
        <w:jc w:val="both"/>
        <w:rPr>
          <w:rFonts w:ascii="Arial" w:hAnsi="Arial" w:cs="Arial"/>
        </w:rPr>
      </w:pPr>
      <w:r w:rsidRPr="00DB4BFD">
        <w:rPr>
          <w:rFonts w:ascii="Arial" w:hAnsi="Arial" w:cs="Arial"/>
        </w:rPr>
        <w:t>In conclusion, t</w:t>
      </w:r>
      <w:r w:rsidRPr="00DB4BFD">
        <w:rPr>
          <w:rFonts w:ascii="Arial" w:hAnsi="Arial" w:cs="Arial"/>
        </w:rPr>
        <w:t xml:space="preserve">he GreenMed dataset was </w:t>
      </w:r>
      <w:r w:rsidRPr="00DB4BFD">
        <w:rPr>
          <w:rFonts w:ascii="Arial" w:hAnsi="Arial" w:cs="Arial"/>
        </w:rPr>
        <w:t>analyzed</w:t>
      </w:r>
      <w:r w:rsidRPr="00DB4BFD">
        <w:rPr>
          <w:rFonts w:ascii="Arial" w:hAnsi="Arial" w:cs="Arial"/>
        </w:rPr>
        <w:t xml:space="preserve"> via Excel, which shed light on how big data technologies work. Among the key findings are Hadoop's efficiency (mean processing time: 2.78), Spark's longer processing times, and Python's effectiveness (lowest mean time: 2.57). Significant dates and temporal patterns were highlighted with </w:t>
      </w:r>
      <w:r w:rsidRPr="00DB4BFD">
        <w:rPr>
          <w:rFonts w:ascii="Arial" w:hAnsi="Arial" w:cs="Arial"/>
        </w:rPr>
        <w:t>visualizations</w:t>
      </w:r>
      <w:r w:rsidRPr="00DB4BFD">
        <w:rPr>
          <w:rFonts w:ascii="Arial" w:hAnsi="Arial" w:cs="Arial"/>
        </w:rPr>
        <w:t>. Although there was a minor positive correlation (0.178) between Hadoop and Tableau processing times, the scatter plot did not show any consistent relationship. This emphasi</w:t>
      </w:r>
      <w:r w:rsidRPr="00DB4BFD">
        <w:rPr>
          <w:rFonts w:ascii="Arial" w:hAnsi="Arial" w:cs="Arial"/>
        </w:rPr>
        <w:t>z</w:t>
      </w:r>
      <w:r w:rsidRPr="00DB4BFD">
        <w:rPr>
          <w:rFonts w:ascii="Arial" w:hAnsi="Arial" w:cs="Arial"/>
        </w:rPr>
        <w:t xml:space="preserve">es how important it is to include additional influencing elements. The work expands on our knowledge of analytics methodology and makes recommendations for additional </w:t>
      </w:r>
      <w:r w:rsidRPr="00DB4BFD">
        <w:rPr>
          <w:rFonts w:ascii="Arial" w:hAnsi="Arial" w:cs="Arial"/>
        </w:rPr>
        <w:t>studies</w:t>
      </w:r>
      <w:r w:rsidRPr="00DB4BFD">
        <w:rPr>
          <w:rFonts w:ascii="Arial" w:hAnsi="Arial" w:cs="Arial"/>
        </w:rPr>
        <w:t xml:space="preserve"> to deepen our comprehension of optimi</w:t>
      </w:r>
      <w:r w:rsidRPr="00DB4BFD">
        <w:rPr>
          <w:rFonts w:ascii="Arial" w:hAnsi="Arial" w:cs="Arial"/>
        </w:rPr>
        <w:t>z</w:t>
      </w:r>
      <w:r w:rsidRPr="00DB4BFD">
        <w:rPr>
          <w:rFonts w:ascii="Arial" w:hAnsi="Arial" w:cs="Arial"/>
        </w:rPr>
        <w:t>ation strategies.</w:t>
      </w:r>
    </w:p>
    <w:p w14:paraId="21754F08" w14:textId="3B4BF94B" w:rsidR="00440CC8" w:rsidRPr="00DB4BFD" w:rsidRDefault="00440CC8" w:rsidP="00DB4BFD">
      <w:pPr>
        <w:pStyle w:val="Heading1"/>
        <w:spacing w:line="360" w:lineRule="auto"/>
        <w:jc w:val="both"/>
        <w:rPr>
          <w:rFonts w:ascii="Arial" w:hAnsi="Arial" w:cs="Arial"/>
          <w:sz w:val="22"/>
          <w:szCs w:val="22"/>
        </w:rPr>
      </w:pPr>
      <w:bookmarkStart w:id="7" w:name="_Toc151393437"/>
      <w:r w:rsidRPr="00DB4BFD">
        <w:rPr>
          <w:rFonts w:ascii="Arial" w:hAnsi="Arial" w:cs="Arial"/>
          <w:sz w:val="22"/>
          <w:szCs w:val="22"/>
        </w:rPr>
        <w:t>Part 2</w:t>
      </w:r>
      <w:bookmarkEnd w:id="7"/>
    </w:p>
    <w:p w14:paraId="6F3DC1A0" w14:textId="53A70196" w:rsidR="00440CC8" w:rsidRPr="00DB4BFD" w:rsidRDefault="00440CC8" w:rsidP="00DB4BFD">
      <w:pPr>
        <w:pStyle w:val="Heading2"/>
        <w:spacing w:line="360" w:lineRule="auto"/>
        <w:jc w:val="both"/>
        <w:rPr>
          <w:rFonts w:ascii="Arial" w:hAnsi="Arial" w:cs="Arial"/>
          <w:sz w:val="22"/>
          <w:szCs w:val="22"/>
        </w:rPr>
      </w:pPr>
      <w:bookmarkStart w:id="8" w:name="_Toc151393438"/>
      <w:r w:rsidRPr="00DB4BFD">
        <w:rPr>
          <w:rFonts w:ascii="Arial" w:hAnsi="Arial" w:cs="Arial"/>
          <w:sz w:val="22"/>
          <w:szCs w:val="22"/>
        </w:rPr>
        <w:t>Advantages and Disadvantages of SPSS, Excel</w:t>
      </w:r>
      <w:r w:rsidR="00D37150" w:rsidRPr="00DB4BFD">
        <w:rPr>
          <w:rFonts w:ascii="Arial" w:hAnsi="Arial" w:cs="Arial"/>
          <w:sz w:val="22"/>
          <w:szCs w:val="22"/>
        </w:rPr>
        <w:t>,</w:t>
      </w:r>
      <w:r w:rsidRPr="00DB4BFD">
        <w:rPr>
          <w:rFonts w:ascii="Arial" w:hAnsi="Arial" w:cs="Arial"/>
          <w:sz w:val="22"/>
          <w:szCs w:val="22"/>
        </w:rPr>
        <w:t xml:space="preserve"> and Tableau</w:t>
      </w:r>
      <w:bookmarkEnd w:id="8"/>
    </w:p>
    <w:p w14:paraId="3BD4B1CD" w14:textId="77777777" w:rsidR="004867E3" w:rsidRPr="00DB4BFD" w:rsidRDefault="004867E3" w:rsidP="00DB4BFD">
      <w:pPr>
        <w:spacing w:line="360" w:lineRule="auto"/>
        <w:jc w:val="both"/>
        <w:rPr>
          <w:rFonts w:ascii="Arial" w:hAnsi="Arial" w:cs="Arial"/>
        </w:rPr>
      </w:pPr>
      <w:r w:rsidRPr="00DB4BFD">
        <w:rPr>
          <w:rFonts w:ascii="Arial" w:hAnsi="Arial" w:cs="Arial"/>
        </w:rPr>
        <w:t>In the realm of data analytics, SPSS, Excel, and Tableau stand out as prominent tools, each with its unique strengths and limitations. This discussion delves into the advantages and disadvantages of these tools, offering practical insights into their applications.</w:t>
      </w:r>
    </w:p>
    <w:p w14:paraId="0119B3AE" w14:textId="5A06342B" w:rsidR="004867E3" w:rsidRPr="00DB4BFD" w:rsidRDefault="004867E3" w:rsidP="00DB4BFD">
      <w:pPr>
        <w:spacing w:line="360" w:lineRule="auto"/>
        <w:jc w:val="both"/>
        <w:rPr>
          <w:rFonts w:ascii="Arial" w:hAnsi="Arial" w:cs="Arial"/>
          <w:b/>
          <w:bCs/>
        </w:rPr>
      </w:pPr>
      <w:r w:rsidRPr="00DB4BFD">
        <w:rPr>
          <w:rFonts w:ascii="Arial" w:hAnsi="Arial" w:cs="Arial"/>
          <w:b/>
          <w:bCs/>
        </w:rPr>
        <w:t>SPSS (Statistical Package for the Social Sciences):</w:t>
      </w:r>
    </w:p>
    <w:p w14:paraId="1AA86520" w14:textId="5EADA638" w:rsidR="004867E3" w:rsidRPr="00DB4BFD" w:rsidRDefault="004867E3" w:rsidP="00DB4BFD">
      <w:pPr>
        <w:spacing w:line="360" w:lineRule="auto"/>
        <w:jc w:val="both"/>
        <w:rPr>
          <w:rFonts w:ascii="Arial" w:hAnsi="Arial" w:cs="Arial"/>
        </w:rPr>
      </w:pPr>
      <w:r w:rsidRPr="00DB4BFD">
        <w:rPr>
          <w:rFonts w:ascii="Arial" w:hAnsi="Arial" w:cs="Arial"/>
        </w:rPr>
        <w:t>Advantages:</w:t>
      </w:r>
    </w:p>
    <w:p w14:paraId="26D452AF" w14:textId="5A531092" w:rsidR="004867E3" w:rsidRPr="00DB4BFD" w:rsidRDefault="004867E3" w:rsidP="00DB4BFD">
      <w:pPr>
        <w:pStyle w:val="ListParagraph"/>
        <w:numPr>
          <w:ilvl w:val="0"/>
          <w:numId w:val="15"/>
        </w:numPr>
        <w:spacing w:line="360" w:lineRule="auto"/>
        <w:jc w:val="both"/>
        <w:rPr>
          <w:rFonts w:ascii="Arial" w:hAnsi="Arial" w:cs="Arial"/>
        </w:rPr>
      </w:pPr>
      <w:r w:rsidRPr="00DB4BFD">
        <w:rPr>
          <w:rFonts w:ascii="Arial" w:hAnsi="Arial" w:cs="Arial"/>
        </w:rPr>
        <w:t>Statistical Rigor: SPSS excels in advanced statistical analysis, providing a wide array of statistical tests, regression analyses, and data modeling. Researchers and statisticians benefit from its robust statistical capabilities for complex data analysis</w:t>
      </w:r>
      <w:r w:rsidR="00764FDF" w:rsidRPr="00DB4BFD">
        <w:rPr>
          <w:rFonts w:ascii="Arial" w:hAnsi="Arial" w:cs="Arial"/>
        </w:rPr>
        <w:t xml:space="preserve"> </w:t>
      </w:r>
      <w:r w:rsidR="00764FDF" w:rsidRPr="00DB4BFD">
        <w:rPr>
          <w:rFonts w:ascii="Arial" w:hAnsi="Arial" w:cs="Arial"/>
        </w:rPr>
        <w:t>(Kafle, 2019)</w:t>
      </w:r>
      <w:r w:rsidRPr="00DB4BFD">
        <w:rPr>
          <w:rFonts w:ascii="Arial" w:hAnsi="Arial" w:cs="Arial"/>
        </w:rPr>
        <w:t>.</w:t>
      </w:r>
    </w:p>
    <w:p w14:paraId="3075FC25" w14:textId="7D4F3B16" w:rsidR="004867E3" w:rsidRPr="00DB4BFD" w:rsidRDefault="004867E3" w:rsidP="00DB4BFD">
      <w:pPr>
        <w:pStyle w:val="ListParagraph"/>
        <w:numPr>
          <w:ilvl w:val="0"/>
          <w:numId w:val="15"/>
        </w:numPr>
        <w:spacing w:line="360" w:lineRule="auto"/>
        <w:jc w:val="both"/>
        <w:rPr>
          <w:rFonts w:ascii="Arial" w:hAnsi="Arial" w:cs="Arial"/>
        </w:rPr>
      </w:pPr>
      <w:r w:rsidRPr="00DB4BFD">
        <w:rPr>
          <w:rFonts w:ascii="Arial" w:hAnsi="Arial" w:cs="Arial"/>
        </w:rPr>
        <w:t xml:space="preserve">Data Visualization: </w:t>
      </w:r>
      <w:r w:rsidR="00050692" w:rsidRPr="00DB4BFD">
        <w:rPr>
          <w:rFonts w:ascii="Arial" w:hAnsi="Arial" w:cs="Arial"/>
        </w:rPr>
        <w:t xml:space="preserve">SPSS offers some basic data </w:t>
      </w:r>
      <w:r w:rsidR="007228BB" w:rsidRPr="00DB4BFD">
        <w:rPr>
          <w:rFonts w:ascii="Arial" w:hAnsi="Arial" w:cs="Arial"/>
        </w:rPr>
        <w:t>visualization</w:t>
      </w:r>
      <w:r w:rsidR="00050692" w:rsidRPr="00DB4BFD">
        <w:rPr>
          <w:rFonts w:ascii="Arial" w:hAnsi="Arial" w:cs="Arial"/>
        </w:rPr>
        <w:t xml:space="preserve"> features, though not as advanced as those in Tableau. It enables the production of histograms, scatter plots, and other visual aids for statistical result interpretation</w:t>
      </w:r>
      <w:r w:rsidRPr="00DB4BFD">
        <w:rPr>
          <w:rFonts w:ascii="Arial" w:hAnsi="Arial" w:cs="Arial"/>
        </w:rPr>
        <w:t>.</w:t>
      </w:r>
    </w:p>
    <w:p w14:paraId="5830E04B" w14:textId="1DAC4E4C" w:rsidR="004867E3" w:rsidRPr="00DB4BFD" w:rsidRDefault="004867E3" w:rsidP="00DB4BFD">
      <w:pPr>
        <w:pStyle w:val="ListParagraph"/>
        <w:numPr>
          <w:ilvl w:val="0"/>
          <w:numId w:val="15"/>
        </w:numPr>
        <w:spacing w:line="360" w:lineRule="auto"/>
        <w:jc w:val="both"/>
        <w:rPr>
          <w:rFonts w:ascii="Arial" w:hAnsi="Arial" w:cs="Arial"/>
        </w:rPr>
      </w:pPr>
      <w:r w:rsidRPr="00DB4BFD">
        <w:rPr>
          <w:rFonts w:ascii="Arial" w:hAnsi="Arial" w:cs="Arial"/>
        </w:rPr>
        <w:lastRenderedPageBreak/>
        <w:t xml:space="preserve">Data Preparation: </w:t>
      </w:r>
      <w:r w:rsidR="007228BB" w:rsidRPr="00DB4BFD">
        <w:rPr>
          <w:rFonts w:ascii="Arial" w:hAnsi="Arial" w:cs="Arial"/>
        </w:rPr>
        <w:t>The intuitive interface of SPSS makes data preparation effortless, even for individuals lacking coding experience. By enabling data cleansing, transformation, and recording, it accelerates the analytical procedure</w:t>
      </w:r>
      <w:r w:rsidRPr="00DB4BFD">
        <w:rPr>
          <w:rFonts w:ascii="Arial" w:hAnsi="Arial" w:cs="Arial"/>
        </w:rPr>
        <w:t>.</w:t>
      </w:r>
    </w:p>
    <w:p w14:paraId="7964DF63" w14:textId="0818EB62" w:rsidR="004867E3" w:rsidRPr="00DB4BFD" w:rsidRDefault="004867E3" w:rsidP="00DB4BFD">
      <w:pPr>
        <w:spacing w:line="360" w:lineRule="auto"/>
        <w:jc w:val="both"/>
        <w:rPr>
          <w:rFonts w:ascii="Arial" w:hAnsi="Arial" w:cs="Arial"/>
        </w:rPr>
      </w:pPr>
      <w:r w:rsidRPr="00DB4BFD">
        <w:rPr>
          <w:rFonts w:ascii="Arial" w:hAnsi="Arial" w:cs="Arial"/>
        </w:rPr>
        <w:t>Disadvantages:</w:t>
      </w:r>
    </w:p>
    <w:p w14:paraId="3D577490" w14:textId="6964A013" w:rsidR="004867E3" w:rsidRPr="00DB4BFD" w:rsidRDefault="004867E3" w:rsidP="00DB4BFD">
      <w:pPr>
        <w:pStyle w:val="ListParagraph"/>
        <w:numPr>
          <w:ilvl w:val="0"/>
          <w:numId w:val="13"/>
        </w:numPr>
        <w:spacing w:line="360" w:lineRule="auto"/>
        <w:jc w:val="both"/>
        <w:rPr>
          <w:rFonts w:ascii="Arial" w:hAnsi="Arial" w:cs="Arial"/>
        </w:rPr>
      </w:pPr>
      <w:r w:rsidRPr="00DB4BFD">
        <w:rPr>
          <w:rFonts w:ascii="Arial" w:hAnsi="Arial" w:cs="Arial"/>
        </w:rPr>
        <w:t xml:space="preserve">Steep Learning Curve: </w:t>
      </w:r>
      <w:r w:rsidR="00536FDE" w:rsidRPr="00DB4BFD">
        <w:rPr>
          <w:rFonts w:ascii="Arial" w:hAnsi="Arial" w:cs="Arial"/>
        </w:rPr>
        <w:t>SPSS could potentially intimidate novice users due to its extensive feature set and complex user interface. Learning advanced statistical analysis requires time and effort</w:t>
      </w:r>
      <w:r w:rsidRPr="00DB4BFD">
        <w:rPr>
          <w:rFonts w:ascii="Arial" w:hAnsi="Arial" w:cs="Arial"/>
        </w:rPr>
        <w:t>.</w:t>
      </w:r>
    </w:p>
    <w:p w14:paraId="56D82F20" w14:textId="78D9665A" w:rsidR="004867E3" w:rsidRPr="00DB4BFD" w:rsidRDefault="004867E3" w:rsidP="00DB4BFD">
      <w:pPr>
        <w:pStyle w:val="ListParagraph"/>
        <w:numPr>
          <w:ilvl w:val="0"/>
          <w:numId w:val="13"/>
        </w:numPr>
        <w:spacing w:line="360" w:lineRule="auto"/>
        <w:jc w:val="both"/>
        <w:rPr>
          <w:rFonts w:ascii="Arial" w:hAnsi="Arial" w:cs="Arial"/>
        </w:rPr>
      </w:pPr>
      <w:r w:rsidRPr="00DB4BFD">
        <w:rPr>
          <w:rFonts w:ascii="Arial" w:hAnsi="Arial" w:cs="Arial"/>
        </w:rPr>
        <w:t xml:space="preserve">Limited Spreadsheet Functionality: </w:t>
      </w:r>
      <w:r w:rsidR="00B85459" w:rsidRPr="00DB4BFD">
        <w:rPr>
          <w:rFonts w:ascii="Arial" w:hAnsi="Arial" w:cs="Arial"/>
        </w:rPr>
        <w:t>SPSS provides a comparatively limited range of spreadsheet functionalities in contrast to Excel. If extensive spreadsheet editing is required, this application may not be the best choice</w:t>
      </w:r>
      <w:r w:rsidRPr="00DB4BFD">
        <w:rPr>
          <w:rFonts w:ascii="Arial" w:hAnsi="Arial" w:cs="Arial"/>
        </w:rPr>
        <w:t>.</w:t>
      </w:r>
    </w:p>
    <w:p w14:paraId="06B6CEAF" w14:textId="557BF05F" w:rsidR="004867E3" w:rsidRPr="00DB4BFD" w:rsidRDefault="004867E3" w:rsidP="00DB4BFD">
      <w:pPr>
        <w:pStyle w:val="ListParagraph"/>
        <w:numPr>
          <w:ilvl w:val="0"/>
          <w:numId w:val="13"/>
        </w:numPr>
        <w:spacing w:line="360" w:lineRule="auto"/>
        <w:jc w:val="both"/>
        <w:rPr>
          <w:rFonts w:ascii="Arial" w:hAnsi="Arial" w:cs="Arial"/>
        </w:rPr>
      </w:pPr>
      <w:r w:rsidRPr="00DB4BFD">
        <w:rPr>
          <w:rFonts w:ascii="Arial" w:hAnsi="Arial" w:cs="Arial"/>
        </w:rPr>
        <w:t xml:space="preserve">Cost: </w:t>
      </w:r>
      <w:r w:rsidR="000E49D7" w:rsidRPr="00DB4BFD">
        <w:rPr>
          <w:rFonts w:ascii="Arial" w:hAnsi="Arial" w:cs="Arial"/>
        </w:rPr>
        <w:t xml:space="preserve">SPSS may be unaffordable for small enterprises or individual users on account of its proprietary characteristics. Subscriptions and </w:t>
      </w:r>
      <w:r w:rsidR="000E49D7" w:rsidRPr="00DB4BFD">
        <w:rPr>
          <w:rFonts w:ascii="Arial" w:hAnsi="Arial" w:cs="Arial"/>
        </w:rPr>
        <w:t>licensing</w:t>
      </w:r>
      <w:r w:rsidR="000E49D7" w:rsidRPr="00DB4BFD">
        <w:rPr>
          <w:rFonts w:ascii="Arial" w:hAnsi="Arial" w:cs="Arial"/>
        </w:rPr>
        <w:t xml:space="preserve"> fees can be quite costly</w:t>
      </w:r>
      <w:r w:rsidRPr="00DB4BFD">
        <w:rPr>
          <w:rFonts w:ascii="Arial" w:hAnsi="Arial" w:cs="Arial"/>
        </w:rPr>
        <w:t>.</w:t>
      </w:r>
    </w:p>
    <w:p w14:paraId="2E23C1DA" w14:textId="3E02BB0F" w:rsidR="004867E3" w:rsidRPr="00DB4BFD" w:rsidRDefault="004867E3" w:rsidP="00DB4BFD">
      <w:pPr>
        <w:spacing w:line="360" w:lineRule="auto"/>
        <w:jc w:val="both"/>
        <w:rPr>
          <w:rFonts w:ascii="Arial" w:hAnsi="Arial" w:cs="Arial"/>
          <w:b/>
          <w:bCs/>
        </w:rPr>
      </w:pPr>
      <w:r w:rsidRPr="00DB4BFD">
        <w:rPr>
          <w:rFonts w:ascii="Arial" w:hAnsi="Arial" w:cs="Arial"/>
          <w:b/>
          <w:bCs/>
        </w:rPr>
        <w:t>Excel:</w:t>
      </w:r>
    </w:p>
    <w:p w14:paraId="5A35ACD4" w14:textId="658C5B6B" w:rsidR="004867E3" w:rsidRPr="00DB4BFD" w:rsidRDefault="004867E3" w:rsidP="00DB4BFD">
      <w:pPr>
        <w:spacing w:line="360" w:lineRule="auto"/>
        <w:jc w:val="both"/>
        <w:rPr>
          <w:rFonts w:ascii="Arial" w:hAnsi="Arial" w:cs="Arial"/>
        </w:rPr>
      </w:pPr>
      <w:r w:rsidRPr="00DB4BFD">
        <w:rPr>
          <w:rFonts w:ascii="Arial" w:hAnsi="Arial" w:cs="Arial"/>
        </w:rPr>
        <w:t>Advantages:</w:t>
      </w:r>
    </w:p>
    <w:p w14:paraId="65135168" w14:textId="3250A1B6" w:rsidR="004867E3" w:rsidRPr="00DB4BFD" w:rsidRDefault="004867E3" w:rsidP="00DB4BFD">
      <w:pPr>
        <w:pStyle w:val="ListParagraph"/>
        <w:numPr>
          <w:ilvl w:val="0"/>
          <w:numId w:val="11"/>
        </w:numPr>
        <w:spacing w:line="360" w:lineRule="auto"/>
        <w:jc w:val="both"/>
        <w:rPr>
          <w:rFonts w:ascii="Arial" w:hAnsi="Arial" w:cs="Arial"/>
        </w:rPr>
      </w:pPr>
      <w:r w:rsidRPr="00DB4BFD">
        <w:rPr>
          <w:rFonts w:ascii="Arial" w:hAnsi="Arial" w:cs="Arial"/>
        </w:rPr>
        <w:t xml:space="preserve">Ubiquity and Accessibility: </w:t>
      </w:r>
      <w:r w:rsidR="002B36A7" w:rsidRPr="00DB4BFD">
        <w:rPr>
          <w:rFonts w:ascii="Arial" w:hAnsi="Arial" w:cs="Arial"/>
        </w:rPr>
        <w:t xml:space="preserve">Excel is so widely used that simple data analysis and </w:t>
      </w:r>
      <w:r w:rsidR="0048679B" w:rsidRPr="00DB4BFD">
        <w:rPr>
          <w:rFonts w:ascii="Arial" w:hAnsi="Arial" w:cs="Arial"/>
        </w:rPr>
        <w:t>visualization</w:t>
      </w:r>
      <w:r w:rsidR="002B36A7" w:rsidRPr="00DB4BFD">
        <w:rPr>
          <w:rFonts w:ascii="Arial" w:hAnsi="Arial" w:cs="Arial"/>
        </w:rPr>
        <w:t xml:space="preserve"> may be done with ease. Its widespread application ensures interoperability with various systems</w:t>
      </w:r>
      <w:r w:rsidRPr="00DB4BFD">
        <w:rPr>
          <w:rFonts w:ascii="Arial" w:hAnsi="Arial" w:cs="Arial"/>
        </w:rPr>
        <w:t>.</w:t>
      </w:r>
    </w:p>
    <w:p w14:paraId="3C40A20B" w14:textId="143CDC12" w:rsidR="004867E3" w:rsidRPr="00DB4BFD" w:rsidRDefault="004867E3" w:rsidP="00DB4BFD">
      <w:pPr>
        <w:pStyle w:val="ListParagraph"/>
        <w:numPr>
          <w:ilvl w:val="0"/>
          <w:numId w:val="11"/>
        </w:numPr>
        <w:spacing w:line="360" w:lineRule="auto"/>
        <w:jc w:val="both"/>
        <w:rPr>
          <w:rFonts w:ascii="Arial" w:hAnsi="Arial" w:cs="Arial"/>
        </w:rPr>
      </w:pPr>
      <w:r w:rsidRPr="00DB4BFD">
        <w:rPr>
          <w:rFonts w:ascii="Arial" w:hAnsi="Arial" w:cs="Arial"/>
        </w:rPr>
        <w:t xml:space="preserve">Versatility: </w:t>
      </w:r>
      <w:r w:rsidR="00180CC6" w:rsidRPr="00DB4BFD">
        <w:rPr>
          <w:rFonts w:ascii="Arial" w:hAnsi="Arial" w:cs="Arial"/>
        </w:rPr>
        <w:t xml:space="preserve">Excel is a flexible spreadsheet </w:t>
      </w:r>
      <w:r w:rsidR="00D0791A" w:rsidRPr="00DB4BFD">
        <w:rPr>
          <w:rFonts w:ascii="Arial" w:hAnsi="Arial" w:cs="Arial"/>
        </w:rPr>
        <w:t>program</w:t>
      </w:r>
      <w:r w:rsidR="00180CC6" w:rsidRPr="00DB4BFD">
        <w:rPr>
          <w:rFonts w:ascii="Arial" w:hAnsi="Arial" w:cs="Arial"/>
        </w:rPr>
        <w:t>, not just a statistical tool. With its pivot tables, formulas, and functions, users may accomplish far more than just statistical analysis</w:t>
      </w:r>
      <w:r w:rsidRPr="00DB4BFD">
        <w:rPr>
          <w:rFonts w:ascii="Arial" w:hAnsi="Arial" w:cs="Arial"/>
        </w:rPr>
        <w:t>.</w:t>
      </w:r>
    </w:p>
    <w:p w14:paraId="7BD20AD5" w14:textId="5238ADE9" w:rsidR="004867E3" w:rsidRPr="00DB4BFD" w:rsidRDefault="004867E3" w:rsidP="00DB4BFD">
      <w:pPr>
        <w:pStyle w:val="ListParagraph"/>
        <w:numPr>
          <w:ilvl w:val="0"/>
          <w:numId w:val="11"/>
        </w:numPr>
        <w:spacing w:line="360" w:lineRule="auto"/>
        <w:jc w:val="both"/>
        <w:rPr>
          <w:rFonts w:ascii="Arial" w:hAnsi="Arial" w:cs="Arial"/>
        </w:rPr>
      </w:pPr>
      <w:r w:rsidRPr="00DB4BFD">
        <w:rPr>
          <w:rFonts w:ascii="Arial" w:hAnsi="Arial" w:cs="Arial"/>
        </w:rPr>
        <w:t xml:space="preserve">Data Presentation: </w:t>
      </w:r>
      <w:r w:rsidR="00561ACD" w:rsidRPr="00DB4BFD">
        <w:rPr>
          <w:rFonts w:ascii="Arial" w:hAnsi="Arial" w:cs="Arial"/>
        </w:rPr>
        <w:t xml:space="preserve">Excel is easy to use for basic data </w:t>
      </w:r>
      <w:r w:rsidR="0048679B" w:rsidRPr="00DB4BFD">
        <w:rPr>
          <w:rFonts w:ascii="Arial" w:hAnsi="Arial" w:cs="Arial"/>
        </w:rPr>
        <w:t>visualizations</w:t>
      </w:r>
      <w:r w:rsidR="00561ACD" w:rsidRPr="00DB4BFD">
        <w:rPr>
          <w:rFonts w:ascii="Arial" w:hAnsi="Arial" w:cs="Arial"/>
        </w:rPr>
        <w:t xml:space="preserve"> and presentations. Because it lets users create dashboards, graphs, and charts, it can be utili</w:t>
      </w:r>
      <w:r w:rsidR="0048679B" w:rsidRPr="00DB4BFD">
        <w:rPr>
          <w:rFonts w:ascii="Arial" w:hAnsi="Arial" w:cs="Arial"/>
        </w:rPr>
        <w:t>z</w:t>
      </w:r>
      <w:r w:rsidR="00561ACD" w:rsidRPr="00DB4BFD">
        <w:rPr>
          <w:rFonts w:ascii="Arial" w:hAnsi="Arial" w:cs="Arial"/>
        </w:rPr>
        <w:t>ed to share research findings with a wider audience</w:t>
      </w:r>
      <w:r w:rsidRPr="00DB4BFD">
        <w:rPr>
          <w:rFonts w:ascii="Arial" w:hAnsi="Arial" w:cs="Arial"/>
        </w:rPr>
        <w:t>.</w:t>
      </w:r>
    </w:p>
    <w:p w14:paraId="62F61238" w14:textId="19D58078" w:rsidR="004867E3" w:rsidRPr="00DB4BFD" w:rsidRDefault="004867E3" w:rsidP="00DB4BFD">
      <w:pPr>
        <w:spacing w:line="360" w:lineRule="auto"/>
        <w:jc w:val="both"/>
        <w:rPr>
          <w:rFonts w:ascii="Arial" w:hAnsi="Arial" w:cs="Arial"/>
        </w:rPr>
      </w:pPr>
      <w:r w:rsidRPr="00DB4BFD">
        <w:rPr>
          <w:rFonts w:ascii="Arial" w:hAnsi="Arial" w:cs="Arial"/>
        </w:rPr>
        <w:t>Disadvantages:</w:t>
      </w:r>
    </w:p>
    <w:p w14:paraId="678B8D14" w14:textId="1DF0CE3A" w:rsidR="004867E3" w:rsidRPr="00DB4BFD" w:rsidRDefault="004867E3" w:rsidP="00DB4BFD">
      <w:pPr>
        <w:pStyle w:val="ListParagraph"/>
        <w:numPr>
          <w:ilvl w:val="0"/>
          <w:numId w:val="9"/>
        </w:numPr>
        <w:spacing w:line="360" w:lineRule="auto"/>
        <w:jc w:val="both"/>
        <w:rPr>
          <w:rFonts w:ascii="Arial" w:hAnsi="Arial" w:cs="Arial"/>
        </w:rPr>
      </w:pPr>
      <w:r w:rsidRPr="00DB4BFD">
        <w:rPr>
          <w:rFonts w:ascii="Arial" w:hAnsi="Arial" w:cs="Arial"/>
        </w:rPr>
        <w:t xml:space="preserve">Limited Statistical Analysis: </w:t>
      </w:r>
      <w:r w:rsidR="00D0791A" w:rsidRPr="00DB4BFD">
        <w:rPr>
          <w:rFonts w:ascii="Arial" w:hAnsi="Arial" w:cs="Arial"/>
        </w:rPr>
        <w:t>Excel contains statistical functions, however</w:t>
      </w:r>
      <w:r w:rsidR="0048679B" w:rsidRPr="00DB4BFD">
        <w:rPr>
          <w:rFonts w:ascii="Arial" w:hAnsi="Arial" w:cs="Arial"/>
        </w:rPr>
        <w:t>,</w:t>
      </w:r>
      <w:r w:rsidR="00D0791A" w:rsidRPr="00DB4BFD">
        <w:rPr>
          <w:rFonts w:ascii="Arial" w:hAnsi="Arial" w:cs="Arial"/>
        </w:rPr>
        <w:t xml:space="preserve"> it lacks the advanced statistical functionality found in statistical applications like SPSS. It might not be adequate for statistical analysis and complicated </w:t>
      </w:r>
      <w:r w:rsidR="0048679B" w:rsidRPr="00DB4BFD">
        <w:rPr>
          <w:rFonts w:ascii="Arial" w:hAnsi="Arial" w:cs="Arial"/>
        </w:rPr>
        <w:t>modeling</w:t>
      </w:r>
      <w:r w:rsidRPr="00DB4BFD">
        <w:rPr>
          <w:rFonts w:ascii="Arial" w:hAnsi="Arial" w:cs="Arial"/>
        </w:rPr>
        <w:t>.</w:t>
      </w:r>
    </w:p>
    <w:p w14:paraId="529931A0" w14:textId="1441F2C2" w:rsidR="004867E3" w:rsidRPr="00DB4BFD" w:rsidRDefault="004867E3" w:rsidP="00DB4BFD">
      <w:pPr>
        <w:pStyle w:val="ListParagraph"/>
        <w:numPr>
          <w:ilvl w:val="0"/>
          <w:numId w:val="9"/>
        </w:numPr>
        <w:spacing w:line="360" w:lineRule="auto"/>
        <w:jc w:val="both"/>
        <w:rPr>
          <w:rFonts w:ascii="Arial" w:hAnsi="Arial" w:cs="Arial"/>
        </w:rPr>
      </w:pPr>
      <w:r w:rsidRPr="00DB4BFD">
        <w:rPr>
          <w:rFonts w:ascii="Arial" w:hAnsi="Arial" w:cs="Arial"/>
        </w:rPr>
        <w:t xml:space="preserve">Data Volume Constraints: </w:t>
      </w:r>
      <w:r w:rsidR="0048679B" w:rsidRPr="00DB4BFD">
        <w:rPr>
          <w:rFonts w:ascii="Arial" w:hAnsi="Arial" w:cs="Arial"/>
        </w:rPr>
        <w:t>When working with large datasets, Excel may perform badly, leading to errors and longer processing times. Large-scale data analytics may not be the ideal use case for Excel</w:t>
      </w:r>
      <w:r w:rsidRPr="00DB4BFD">
        <w:rPr>
          <w:rFonts w:ascii="Arial" w:hAnsi="Arial" w:cs="Arial"/>
        </w:rPr>
        <w:t>.</w:t>
      </w:r>
    </w:p>
    <w:p w14:paraId="70678043" w14:textId="626EBC7A" w:rsidR="004867E3" w:rsidRPr="00DB4BFD" w:rsidRDefault="004867E3" w:rsidP="00DB4BFD">
      <w:pPr>
        <w:pStyle w:val="ListParagraph"/>
        <w:numPr>
          <w:ilvl w:val="0"/>
          <w:numId w:val="9"/>
        </w:numPr>
        <w:spacing w:line="360" w:lineRule="auto"/>
        <w:jc w:val="both"/>
        <w:rPr>
          <w:rFonts w:ascii="Arial" w:hAnsi="Arial" w:cs="Arial"/>
        </w:rPr>
      </w:pPr>
      <w:r w:rsidRPr="00DB4BFD">
        <w:rPr>
          <w:rFonts w:ascii="Arial" w:hAnsi="Arial" w:cs="Arial"/>
        </w:rPr>
        <w:lastRenderedPageBreak/>
        <w:t>Versioning Issues: Compatibility issues may arise when sharing Excel files across different versions. Users need to ensure version consistency to avoid data and formatting discrepancies.</w:t>
      </w:r>
    </w:p>
    <w:p w14:paraId="08D10778" w14:textId="443D8318" w:rsidR="004867E3" w:rsidRPr="00DB4BFD" w:rsidRDefault="004867E3" w:rsidP="00DB4BFD">
      <w:pPr>
        <w:spacing w:line="360" w:lineRule="auto"/>
        <w:jc w:val="both"/>
        <w:rPr>
          <w:rFonts w:ascii="Arial" w:hAnsi="Arial" w:cs="Arial"/>
        </w:rPr>
      </w:pPr>
      <w:r w:rsidRPr="00DB4BFD">
        <w:rPr>
          <w:rFonts w:ascii="Arial" w:hAnsi="Arial" w:cs="Arial"/>
        </w:rPr>
        <w:t>Tableau:</w:t>
      </w:r>
    </w:p>
    <w:p w14:paraId="7D7DD36B" w14:textId="1A5B5806" w:rsidR="004867E3" w:rsidRPr="00DB4BFD" w:rsidRDefault="004867E3" w:rsidP="00DB4BFD">
      <w:pPr>
        <w:spacing w:line="360" w:lineRule="auto"/>
        <w:jc w:val="both"/>
        <w:rPr>
          <w:rFonts w:ascii="Arial" w:hAnsi="Arial" w:cs="Arial"/>
        </w:rPr>
      </w:pPr>
      <w:r w:rsidRPr="00DB4BFD">
        <w:rPr>
          <w:rFonts w:ascii="Arial" w:hAnsi="Arial" w:cs="Arial"/>
        </w:rPr>
        <w:t>Advantages:</w:t>
      </w:r>
    </w:p>
    <w:p w14:paraId="1E0AB4A6" w14:textId="167398D1" w:rsidR="004867E3" w:rsidRPr="00DB4BFD" w:rsidRDefault="004867E3" w:rsidP="00DB4BFD">
      <w:pPr>
        <w:pStyle w:val="ListParagraph"/>
        <w:numPr>
          <w:ilvl w:val="0"/>
          <w:numId w:val="7"/>
        </w:numPr>
        <w:spacing w:line="360" w:lineRule="auto"/>
        <w:jc w:val="both"/>
        <w:rPr>
          <w:rFonts w:ascii="Arial" w:hAnsi="Arial" w:cs="Arial"/>
        </w:rPr>
      </w:pPr>
      <w:r w:rsidRPr="00DB4BFD">
        <w:rPr>
          <w:rFonts w:ascii="Arial" w:hAnsi="Arial" w:cs="Arial"/>
        </w:rPr>
        <w:t>Advanced Data Visualization: Tableau excels in data visualization, offering a wide range of sophisticated and interactive visualization options. It allows users to create dynamic dashboards that facilitate comprehensive data exploration.</w:t>
      </w:r>
    </w:p>
    <w:p w14:paraId="56AC1148" w14:textId="31897050" w:rsidR="004867E3" w:rsidRPr="00DB4BFD" w:rsidRDefault="004867E3" w:rsidP="00DB4BFD">
      <w:pPr>
        <w:pStyle w:val="ListParagraph"/>
        <w:numPr>
          <w:ilvl w:val="0"/>
          <w:numId w:val="7"/>
        </w:numPr>
        <w:spacing w:line="360" w:lineRule="auto"/>
        <w:jc w:val="both"/>
        <w:rPr>
          <w:rFonts w:ascii="Arial" w:hAnsi="Arial" w:cs="Arial"/>
        </w:rPr>
      </w:pPr>
      <w:r w:rsidRPr="00DB4BFD">
        <w:rPr>
          <w:rFonts w:ascii="Arial" w:hAnsi="Arial" w:cs="Arial"/>
        </w:rPr>
        <w:t>User-Friendly Interface: Tableau's intuitive drag-and-drop interface makes it accessible to users with varying technical proficiencies. Analysts can swiftly create visually appealing and insightful dashboards without extensive coding.</w:t>
      </w:r>
    </w:p>
    <w:p w14:paraId="3B92E1F0" w14:textId="473663D2" w:rsidR="004867E3" w:rsidRPr="00DB4BFD" w:rsidRDefault="004867E3" w:rsidP="00DB4BFD">
      <w:pPr>
        <w:pStyle w:val="ListParagraph"/>
        <w:numPr>
          <w:ilvl w:val="0"/>
          <w:numId w:val="7"/>
        </w:numPr>
        <w:spacing w:line="360" w:lineRule="auto"/>
        <w:jc w:val="both"/>
        <w:rPr>
          <w:rFonts w:ascii="Arial" w:hAnsi="Arial" w:cs="Arial"/>
        </w:rPr>
      </w:pPr>
      <w:r w:rsidRPr="00DB4BFD">
        <w:rPr>
          <w:rFonts w:ascii="Arial" w:hAnsi="Arial" w:cs="Arial"/>
        </w:rPr>
        <w:t>Integration Capabilities: Tableau seamlessly integrates with various data sources, including databases, spreadsheets, and cloud services. This flexibility in data connectivity enhances its usability in diverse analytical scenarios</w:t>
      </w:r>
      <w:r w:rsidR="00764FDF" w:rsidRPr="00DB4BFD">
        <w:rPr>
          <w:rFonts w:ascii="Arial" w:hAnsi="Arial" w:cs="Arial"/>
        </w:rPr>
        <w:t xml:space="preserve"> </w:t>
      </w:r>
      <w:r w:rsidR="00764FDF" w:rsidRPr="00DB4BFD">
        <w:rPr>
          <w:rFonts w:ascii="Arial" w:hAnsi="Arial" w:cs="Arial"/>
        </w:rPr>
        <w:t xml:space="preserve">(Bhardwaj and </w:t>
      </w:r>
      <w:proofErr w:type="spellStart"/>
      <w:r w:rsidR="00764FDF" w:rsidRPr="00DB4BFD">
        <w:rPr>
          <w:rFonts w:ascii="Arial" w:hAnsi="Arial" w:cs="Arial"/>
        </w:rPr>
        <w:t>Baliyan</w:t>
      </w:r>
      <w:proofErr w:type="spellEnd"/>
      <w:r w:rsidR="00764FDF" w:rsidRPr="00DB4BFD">
        <w:rPr>
          <w:rFonts w:ascii="Arial" w:hAnsi="Arial" w:cs="Arial"/>
        </w:rPr>
        <w:t>, 2019)</w:t>
      </w:r>
      <w:r w:rsidRPr="00DB4BFD">
        <w:rPr>
          <w:rFonts w:ascii="Arial" w:hAnsi="Arial" w:cs="Arial"/>
        </w:rPr>
        <w:t>.</w:t>
      </w:r>
    </w:p>
    <w:p w14:paraId="4CD2BBA9" w14:textId="3AB02A14" w:rsidR="004867E3" w:rsidRPr="00DB4BFD" w:rsidRDefault="004867E3" w:rsidP="00DB4BFD">
      <w:pPr>
        <w:spacing w:line="360" w:lineRule="auto"/>
        <w:jc w:val="both"/>
        <w:rPr>
          <w:rFonts w:ascii="Arial" w:hAnsi="Arial" w:cs="Arial"/>
        </w:rPr>
      </w:pPr>
      <w:r w:rsidRPr="00DB4BFD">
        <w:rPr>
          <w:rFonts w:ascii="Arial" w:hAnsi="Arial" w:cs="Arial"/>
        </w:rPr>
        <w:t>Disadvantages:</w:t>
      </w:r>
    </w:p>
    <w:p w14:paraId="0BB8EBE6" w14:textId="25A3083C" w:rsidR="004867E3" w:rsidRPr="00DB4BFD" w:rsidRDefault="004867E3" w:rsidP="00DB4BFD">
      <w:pPr>
        <w:pStyle w:val="ListParagraph"/>
        <w:numPr>
          <w:ilvl w:val="0"/>
          <w:numId w:val="5"/>
        </w:numPr>
        <w:spacing w:line="360" w:lineRule="auto"/>
        <w:jc w:val="both"/>
        <w:rPr>
          <w:rFonts w:ascii="Arial" w:hAnsi="Arial" w:cs="Arial"/>
        </w:rPr>
      </w:pPr>
      <w:r w:rsidRPr="00DB4BFD">
        <w:rPr>
          <w:rFonts w:ascii="Arial" w:hAnsi="Arial" w:cs="Arial"/>
        </w:rPr>
        <w:t>Cost: Tableau is a commercial product, and its licensing costs may be prohibitive for small businesses or individual users. The initial investment and ongoing subscription fees could be a limiting factor.</w:t>
      </w:r>
    </w:p>
    <w:p w14:paraId="0822DF06" w14:textId="08F73111" w:rsidR="004867E3" w:rsidRPr="00DB4BFD" w:rsidRDefault="004867E3" w:rsidP="00DB4BFD">
      <w:pPr>
        <w:pStyle w:val="ListParagraph"/>
        <w:numPr>
          <w:ilvl w:val="0"/>
          <w:numId w:val="5"/>
        </w:numPr>
        <w:spacing w:line="360" w:lineRule="auto"/>
        <w:jc w:val="both"/>
        <w:rPr>
          <w:rFonts w:ascii="Arial" w:hAnsi="Arial" w:cs="Arial"/>
        </w:rPr>
      </w:pPr>
      <w:r w:rsidRPr="00DB4BFD">
        <w:rPr>
          <w:rFonts w:ascii="Arial" w:hAnsi="Arial" w:cs="Arial"/>
        </w:rPr>
        <w:t>Steep Learning Curve for Advanced Features: While Tableau's basic features are user-friendly, mastering advanced functionalities may require dedicated training. Extracting the full potential of the tool may be challenging for users without a steep learning curve.</w:t>
      </w:r>
    </w:p>
    <w:p w14:paraId="787CF76E" w14:textId="540AC8C3" w:rsidR="004867E3" w:rsidRPr="00DB4BFD" w:rsidRDefault="004867E3" w:rsidP="00DB4BFD">
      <w:pPr>
        <w:pStyle w:val="ListParagraph"/>
        <w:numPr>
          <w:ilvl w:val="0"/>
          <w:numId w:val="5"/>
        </w:numPr>
        <w:spacing w:line="360" w:lineRule="auto"/>
        <w:jc w:val="both"/>
        <w:rPr>
          <w:rFonts w:ascii="Arial" w:hAnsi="Arial" w:cs="Arial"/>
        </w:rPr>
      </w:pPr>
      <w:r w:rsidRPr="00DB4BFD">
        <w:rPr>
          <w:rFonts w:ascii="Arial" w:hAnsi="Arial" w:cs="Arial"/>
        </w:rPr>
        <w:t>Limited Spreadsheet Functionality: Similar to SPSS, Tableau is not designed for extensive spreadsheet functionality. Users relying heavily on spreadsheet capabilities may find Tableau less suitable for certain tasks</w:t>
      </w:r>
      <w:r w:rsidR="00764FDF" w:rsidRPr="00DB4BFD">
        <w:rPr>
          <w:rFonts w:ascii="Arial" w:hAnsi="Arial" w:cs="Arial"/>
        </w:rPr>
        <w:t xml:space="preserve"> </w:t>
      </w:r>
      <w:r w:rsidR="00764FDF" w:rsidRPr="00DB4BFD">
        <w:rPr>
          <w:rFonts w:ascii="Arial" w:hAnsi="Arial" w:cs="Arial"/>
        </w:rPr>
        <w:t>(Watkins, 2021)</w:t>
      </w:r>
      <w:r w:rsidRPr="00DB4BFD">
        <w:rPr>
          <w:rFonts w:ascii="Arial" w:hAnsi="Arial" w:cs="Arial"/>
        </w:rPr>
        <w:t>.</w:t>
      </w:r>
    </w:p>
    <w:p w14:paraId="7A90393D" w14:textId="4B76FC17" w:rsidR="004867E3" w:rsidRPr="00DB4BFD" w:rsidRDefault="004867E3" w:rsidP="00DB4BFD">
      <w:pPr>
        <w:spacing w:line="360" w:lineRule="auto"/>
        <w:jc w:val="both"/>
        <w:rPr>
          <w:rFonts w:ascii="Arial" w:hAnsi="Arial" w:cs="Arial"/>
        </w:rPr>
      </w:pPr>
      <w:r w:rsidRPr="00DB4BFD">
        <w:rPr>
          <w:rFonts w:ascii="Arial" w:hAnsi="Arial" w:cs="Arial"/>
        </w:rPr>
        <w:t>Practical Examples:</w:t>
      </w:r>
    </w:p>
    <w:p w14:paraId="16EA95D6" w14:textId="7A634971" w:rsidR="004867E3" w:rsidRPr="00DB4BFD" w:rsidRDefault="004867E3" w:rsidP="00DB4BFD">
      <w:pPr>
        <w:pStyle w:val="ListParagraph"/>
        <w:numPr>
          <w:ilvl w:val="0"/>
          <w:numId w:val="4"/>
        </w:numPr>
        <w:spacing w:line="360" w:lineRule="auto"/>
        <w:jc w:val="both"/>
        <w:rPr>
          <w:rFonts w:ascii="Arial" w:hAnsi="Arial" w:cs="Arial"/>
        </w:rPr>
      </w:pPr>
      <w:r w:rsidRPr="00DB4BFD">
        <w:rPr>
          <w:rFonts w:ascii="Arial" w:hAnsi="Arial" w:cs="Arial"/>
        </w:rPr>
        <w:t>SPSS: Imagine a research study aiming to assess the impact of multiple variables on patient outcomes in a healthcare setting. SPSS would be instrumental in conducting a multivariate regression analysis, considering factors like treatment type, patient demographics, and intervention methods.</w:t>
      </w:r>
    </w:p>
    <w:p w14:paraId="79E63714" w14:textId="6B3EC59B" w:rsidR="004867E3" w:rsidRPr="00DB4BFD" w:rsidRDefault="004867E3" w:rsidP="00DB4BFD">
      <w:pPr>
        <w:pStyle w:val="ListParagraph"/>
        <w:numPr>
          <w:ilvl w:val="0"/>
          <w:numId w:val="4"/>
        </w:numPr>
        <w:spacing w:line="360" w:lineRule="auto"/>
        <w:jc w:val="both"/>
        <w:rPr>
          <w:rFonts w:ascii="Arial" w:hAnsi="Arial" w:cs="Arial"/>
        </w:rPr>
      </w:pPr>
      <w:r w:rsidRPr="00DB4BFD">
        <w:rPr>
          <w:rFonts w:ascii="Arial" w:hAnsi="Arial" w:cs="Arial"/>
        </w:rPr>
        <w:lastRenderedPageBreak/>
        <w:t>Excel: In a business scenario, Excel can be utilized for budget analysis. Its spreadsheet functionalities and formulas allow finance professionals to create detailed budgets, perform variance analysis, and generate financial reports with ease.</w:t>
      </w:r>
    </w:p>
    <w:p w14:paraId="068ECF0D" w14:textId="1AFE894F" w:rsidR="004867E3" w:rsidRPr="00DB4BFD" w:rsidRDefault="004867E3" w:rsidP="00DB4BFD">
      <w:pPr>
        <w:pStyle w:val="ListParagraph"/>
        <w:numPr>
          <w:ilvl w:val="0"/>
          <w:numId w:val="4"/>
        </w:numPr>
        <w:spacing w:line="360" w:lineRule="auto"/>
        <w:jc w:val="both"/>
        <w:rPr>
          <w:rFonts w:ascii="Arial" w:hAnsi="Arial" w:cs="Arial"/>
        </w:rPr>
      </w:pPr>
      <w:r w:rsidRPr="00DB4BFD">
        <w:rPr>
          <w:rFonts w:ascii="Arial" w:hAnsi="Arial" w:cs="Arial"/>
        </w:rPr>
        <w:t>Tableau: Consider a sales and marketing team wanting to analyze customer behavior and preferences. Tableau could be employed to create interactive dashboards showcasing customer segmentation, purchase patterns, and regional sales performance, facilitating strategic decision-making.</w:t>
      </w:r>
    </w:p>
    <w:p w14:paraId="116791C2" w14:textId="5813A9B2" w:rsidR="004867E3" w:rsidRPr="00DB4BFD" w:rsidRDefault="004867E3" w:rsidP="00DB4BFD">
      <w:pPr>
        <w:spacing w:line="360" w:lineRule="auto"/>
        <w:jc w:val="both"/>
        <w:rPr>
          <w:rFonts w:ascii="Arial" w:hAnsi="Arial" w:cs="Arial"/>
        </w:rPr>
      </w:pPr>
      <w:r w:rsidRPr="00DB4BFD">
        <w:rPr>
          <w:rFonts w:ascii="Arial" w:hAnsi="Arial" w:cs="Arial"/>
        </w:rPr>
        <w:t>Overall</w:t>
      </w:r>
      <w:r w:rsidRPr="00DB4BFD">
        <w:rPr>
          <w:rFonts w:ascii="Arial" w:hAnsi="Arial" w:cs="Arial"/>
        </w:rPr>
        <w:t>, the choice between SPSS, Excel, and Tableau depends on the specific analytical needs and the user's proficiency level. SPSS stands out for advanced statistical analyses, Excel for versatility in spreadsheet tasks, and Tableau for cutting-edge data visualization. Understanding the strengths and weaknesses of each tool enables analysts to make informed decisions, optimizing their analytical workflows.</w:t>
      </w:r>
    </w:p>
    <w:p w14:paraId="1403112F" w14:textId="7F3BDBFE" w:rsidR="00440CC8" w:rsidRPr="00DB4BFD" w:rsidRDefault="00440CC8" w:rsidP="00DB4BFD">
      <w:pPr>
        <w:pStyle w:val="Heading2"/>
        <w:spacing w:line="360" w:lineRule="auto"/>
        <w:jc w:val="both"/>
        <w:rPr>
          <w:rFonts w:ascii="Arial" w:hAnsi="Arial" w:cs="Arial"/>
          <w:sz w:val="22"/>
          <w:szCs w:val="22"/>
        </w:rPr>
      </w:pPr>
      <w:bookmarkStart w:id="9" w:name="_Toc151393439"/>
      <w:r w:rsidRPr="00DB4BFD">
        <w:rPr>
          <w:rFonts w:ascii="Arial" w:hAnsi="Arial" w:cs="Arial"/>
          <w:sz w:val="22"/>
          <w:szCs w:val="22"/>
        </w:rPr>
        <w:t>Explanation of Data Governance with Examples</w:t>
      </w:r>
      <w:bookmarkEnd w:id="9"/>
    </w:p>
    <w:p w14:paraId="36FB75BF" w14:textId="2A2FCC60" w:rsidR="00C50573" w:rsidRPr="00DB4BFD" w:rsidRDefault="00C50573" w:rsidP="00DB4BFD">
      <w:pPr>
        <w:spacing w:line="360" w:lineRule="auto"/>
        <w:jc w:val="both"/>
        <w:rPr>
          <w:rFonts w:ascii="Arial" w:hAnsi="Arial" w:cs="Arial"/>
        </w:rPr>
      </w:pPr>
      <w:r w:rsidRPr="00DB4BFD">
        <w:rPr>
          <w:rFonts w:ascii="Arial" w:hAnsi="Arial" w:cs="Arial"/>
        </w:rPr>
        <w:t xml:space="preserve">Data governance provides data quality, integrity, and security in an </w:t>
      </w:r>
      <w:r w:rsidRPr="00DB4BFD">
        <w:rPr>
          <w:rFonts w:ascii="Arial" w:hAnsi="Arial" w:cs="Arial"/>
        </w:rPr>
        <w:t>organization</w:t>
      </w:r>
      <w:r w:rsidRPr="00DB4BFD">
        <w:rPr>
          <w:rFonts w:ascii="Arial" w:hAnsi="Arial" w:cs="Arial"/>
        </w:rPr>
        <w:t xml:space="preserve"> through rules, processes, and standards. It entails setting data collection, storage, processing, and sharing criteria to meet </w:t>
      </w:r>
      <w:r w:rsidRPr="00DB4BFD">
        <w:rPr>
          <w:rFonts w:ascii="Arial" w:hAnsi="Arial" w:cs="Arial"/>
        </w:rPr>
        <w:t>organizational</w:t>
      </w:r>
      <w:r w:rsidRPr="00DB4BFD">
        <w:rPr>
          <w:rFonts w:ascii="Arial" w:hAnsi="Arial" w:cs="Arial"/>
        </w:rPr>
        <w:t xml:space="preserve"> goals, regulatory needs, and ethical standards. All the way from creation to disposal, data governance seeks accountability, transparency, and responsibility.</w:t>
      </w:r>
    </w:p>
    <w:p w14:paraId="391820D8" w14:textId="46C09CE0" w:rsidR="00C50573" w:rsidRPr="00DB4BFD" w:rsidRDefault="00C50573" w:rsidP="00DB4BFD">
      <w:pPr>
        <w:pStyle w:val="ListParagraph"/>
        <w:numPr>
          <w:ilvl w:val="0"/>
          <w:numId w:val="2"/>
        </w:numPr>
        <w:spacing w:line="360" w:lineRule="auto"/>
        <w:jc w:val="both"/>
        <w:rPr>
          <w:rFonts w:ascii="Arial" w:hAnsi="Arial" w:cs="Arial"/>
        </w:rPr>
      </w:pPr>
      <w:r w:rsidRPr="00DB4BFD">
        <w:rPr>
          <w:rFonts w:ascii="Arial" w:hAnsi="Arial" w:cs="Arial"/>
        </w:rPr>
        <w:t>Examples of data governance in financial institutions include defining criteria for client information quality. Customer names, addresses, and financial information may need to be accurate, consistent, and error-free per policy. Standard compliance is ensured by regular data audits and validation. This guarantees decision-makers trust financial analysis and regulatory reporting.</w:t>
      </w:r>
    </w:p>
    <w:p w14:paraId="32369997" w14:textId="23004D5A" w:rsidR="00C50573" w:rsidRPr="00DB4BFD" w:rsidRDefault="00C50573" w:rsidP="00DB4BFD">
      <w:pPr>
        <w:pStyle w:val="ListParagraph"/>
        <w:numPr>
          <w:ilvl w:val="0"/>
          <w:numId w:val="2"/>
        </w:numPr>
        <w:spacing w:line="360" w:lineRule="auto"/>
        <w:jc w:val="both"/>
        <w:rPr>
          <w:rFonts w:ascii="Arial" w:hAnsi="Arial" w:cs="Arial"/>
        </w:rPr>
      </w:pPr>
      <w:r w:rsidRPr="00DB4BFD">
        <w:rPr>
          <w:rFonts w:ascii="Arial" w:hAnsi="Arial" w:cs="Arial"/>
        </w:rPr>
        <w:t xml:space="preserve">A healthcare </w:t>
      </w:r>
      <w:r w:rsidRPr="00DB4BFD">
        <w:rPr>
          <w:rFonts w:ascii="Arial" w:hAnsi="Arial" w:cs="Arial"/>
        </w:rPr>
        <w:t>organization</w:t>
      </w:r>
      <w:r w:rsidRPr="00DB4BFD">
        <w:rPr>
          <w:rFonts w:ascii="Arial" w:hAnsi="Arial" w:cs="Arial"/>
        </w:rPr>
        <w:t xml:space="preserve"> employing data governance </w:t>
      </w:r>
      <w:r w:rsidRPr="00DB4BFD">
        <w:rPr>
          <w:rFonts w:ascii="Arial" w:hAnsi="Arial" w:cs="Arial"/>
        </w:rPr>
        <w:t>practices</w:t>
      </w:r>
      <w:r w:rsidRPr="00DB4BFD">
        <w:rPr>
          <w:rFonts w:ascii="Arial" w:hAnsi="Arial" w:cs="Arial"/>
        </w:rPr>
        <w:t xml:space="preserve"> </w:t>
      </w:r>
      <w:r w:rsidRPr="00DB4BFD">
        <w:rPr>
          <w:rFonts w:ascii="Arial" w:hAnsi="Arial" w:cs="Arial"/>
        </w:rPr>
        <w:t>prioritizes</w:t>
      </w:r>
      <w:r w:rsidRPr="00DB4BFD">
        <w:rPr>
          <w:rFonts w:ascii="Arial" w:hAnsi="Arial" w:cs="Arial"/>
        </w:rPr>
        <w:t xml:space="preserve"> access controls and security. Data governance protects sensitive patient records from </w:t>
      </w:r>
      <w:r w:rsidRPr="00DB4BFD">
        <w:rPr>
          <w:rFonts w:ascii="Arial" w:hAnsi="Arial" w:cs="Arial"/>
        </w:rPr>
        <w:t>unauthorized</w:t>
      </w:r>
      <w:r w:rsidRPr="00DB4BFD">
        <w:rPr>
          <w:rFonts w:ascii="Arial" w:hAnsi="Arial" w:cs="Arial"/>
        </w:rPr>
        <w:t xml:space="preserve"> access and modification. Patient confidentiality is protected by role-based access controls and encryption. Data security is maintained by regular audits and training.</w:t>
      </w:r>
    </w:p>
    <w:p w14:paraId="1D9DF57A" w14:textId="4AB67939" w:rsidR="00C50573" w:rsidRPr="00DB4BFD" w:rsidRDefault="00C50573" w:rsidP="00DB4BFD">
      <w:pPr>
        <w:pStyle w:val="ListParagraph"/>
        <w:numPr>
          <w:ilvl w:val="0"/>
          <w:numId w:val="2"/>
        </w:numPr>
        <w:spacing w:line="360" w:lineRule="auto"/>
        <w:jc w:val="both"/>
        <w:rPr>
          <w:rFonts w:ascii="Arial" w:hAnsi="Arial" w:cs="Arial"/>
        </w:rPr>
      </w:pPr>
      <w:r w:rsidRPr="00DB4BFD">
        <w:rPr>
          <w:rFonts w:ascii="Arial" w:hAnsi="Arial" w:cs="Arial"/>
        </w:rPr>
        <w:t>For successful data lifecycle management, an e-commerce corporation may embrace data governance rules. Data governance governs the organization's rules from transaction data collection to archival or deletion. Legal and business requirements determine how long customer data should be kept. Disposing of old data promotes data protection and eliminates data overload.</w:t>
      </w:r>
    </w:p>
    <w:p w14:paraId="3B0D5355" w14:textId="59B2E3FA" w:rsidR="00C50573" w:rsidRPr="00DB4BFD" w:rsidRDefault="00C50573" w:rsidP="00DB4BFD">
      <w:pPr>
        <w:pStyle w:val="ListParagraph"/>
        <w:numPr>
          <w:ilvl w:val="0"/>
          <w:numId w:val="2"/>
        </w:numPr>
        <w:spacing w:line="360" w:lineRule="auto"/>
        <w:jc w:val="both"/>
        <w:rPr>
          <w:rFonts w:ascii="Arial" w:hAnsi="Arial" w:cs="Arial"/>
        </w:rPr>
      </w:pPr>
      <w:r w:rsidRPr="00DB4BFD">
        <w:rPr>
          <w:rFonts w:ascii="Arial" w:hAnsi="Arial" w:cs="Arial"/>
        </w:rPr>
        <w:lastRenderedPageBreak/>
        <w:t xml:space="preserve">A multinational firm implements data governance for optimal metadata management. Data dictionary, lineage, and classification metadata give context </w:t>
      </w:r>
      <w:r w:rsidR="000F15C4" w:rsidRPr="00DB4BFD">
        <w:rPr>
          <w:rFonts w:ascii="Arial" w:hAnsi="Arial" w:cs="Arial"/>
        </w:rPr>
        <w:t>to</w:t>
      </w:r>
      <w:r w:rsidRPr="00DB4BFD">
        <w:rPr>
          <w:rFonts w:ascii="Arial" w:hAnsi="Arial" w:cs="Arial"/>
        </w:rPr>
        <w:t xml:space="preserve"> the organization's data assets. Data governance </w:t>
      </w:r>
      <w:r w:rsidR="000F15C4" w:rsidRPr="00DB4BFD">
        <w:rPr>
          <w:rFonts w:ascii="Arial" w:hAnsi="Arial" w:cs="Arial"/>
        </w:rPr>
        <w:t>practices</w:t>
      </w:r>
      <w:r w:rsidRPr="00DB4BFD">
        <w:rPr>
          <w:rFonts w:ascii="Arial" w:hAnsi="Arial" w:cs="Arial"/>
        </w:rPr>
        <w:t xml:space="preserve"> require complete metadata repositories to help </w:t>
      </w:r>
      <w:r w:rsidR="000F15C4" w:rsidRPr="00DB4BFD">
        <w:rPr>
          <w:rFonts w:ascii="Arial" w:hAnsi="Arial" w:cs="Arial"/>
        </w:rPr>
        <w:t>organization</w:t>
      </w:r>
      <w:r w:rsidRPr="00DB4BFD">
        <w:rPr>
          <w:rFonts w:ascii="Arial" w:hAnsi="Arial" w:cs="Arial"/>
        </w:rPr>
        <w:t xml:space="preserve"> users understand data meaning, origin, and use. Data discovery, consistency, and misinterpretation are improved.</w:t>
      </w:r>
    </w:p>
    <w:p w14:paraId="5CC07831" w14:textId="5D59E6EA" w:rsidR="00C50573" w:rsidRPr="00DB4BFD" w:rsidRDefault="00C50573" w:rsidP="00DB4BFD">
      <w:pPr>
        <w:pStyle w:val="ListParagraph"/>
        <w:numPr>
          <w:ilvl w:val="0"/>
          <w:numId w:val="2"/>
        </w:numPr>
        <w:spacing w:line="360" w:lineRule="auto"/>
        <w:jc w:val="both"/>
        <w:rPr>
          <w:rFonts w:ascii="Arial" w:hAnsi="Arial" w:cs="Arial"/>
        </w:rPr>
      </w:pPr>
      <w:r w:rsidRPr="00DB4BFD">
        <w:rPr>
          <w:rFonts w:ascii="Arial" w:hAnsi="Arial" w:cs="Arial"/>
        </w:rPr>
        <w:t xml:space="preserve">In a research institution, data governance </w:t>
      </w:r>
      <w:r w:rsidR="000F15C4" w:rsidRPr="00DB4BFD">
        <w:rPr>
          <w:rFonts w:ascii="Arial" w:hAnsi="Arial" w:cs="Arial"/>
        </w:rPr>
        <w:t>prioritizes</w:t>
      </w:r>
      <w:r w:rsidRPr="00DB4BFD">
        <w:rPr>
          <w:rFonts w:ascii="Arial" w:hAnsi="Arial" w:cs="Arial"/>
        </w:rPr>
        <w:t xml:space="preserve"> data stewardship. Dedicated data stewards ensure research data meets standards and ethical norms. They regulate data gathering, documentation, and quality. The institution ensures research credibility and data management ethics through data governance.</w:t>
      </w:r>
    </w:p>
    <w:p w14:paraId="72CDAE05" w14:textId="7DA873FC" w:rsidR="0088407B" w:rsidRPr="00DB4BFD" w:rsidRDefault="00C50573" w:rsidP="00DB4BFD">
      <w:pPr>
        <w:spacing w:line="360" w:lineRule="auto"/>
        <w:jc w:val="both"/>
        <w:rPr>
          <w:rFonts w:ascii="Arial" w:hAnsi="Arial" w:cs="Arial"/>
        </w:rPr>
      </w:pPr>
      <w:r w:rsidRPr="00DB4BFD">
        <w:rPr>
          <w:rFonts w:ascii="Arial" w:hAnsi="Arial" w:cs="Arial"/>
        </w:rPr>
        <w:t xml:space="preserve">Finally, data governance is essential to modern </w:t>
      </w:r>
      <w:r w:rsidR="000F15C4" w:rsidRPr="00DB4BFD">
        <w:rPr>
          <w:rFonts w:ascii="Arial" w:hAnsi="Arial" w:cs="Arial"/>
        </w:rPr>
        <w:t>organizations</w:t>
      </w:r>
      <w:r w:rsidRPr="00DB4BFD">
        <w:rPr>
          <w:rFonts w:ascii="Arial" w:hAnsi="Arial" w:cs="Arial"/>
        </w:rPr>
        <w:t xml:space="preserve">, making data a strategic asset rather than a liability. Through data governance, </w:t>
      </w:r>
      <w:r w:rsidR="000F15C4" w:rsidRPr="00DB4BFD">
        <w:rPr>
          <w:rFonts w:ascii="Arial" w:hAnsi="Arial" w:cs="Arial"/>
        </w:rPr>
        <w:t>organizations</w:t>
      </w:r>
      <w:r w:rsidRPr="00DB4BFD">
        <w:rPr>
          <w:rFonts w:ascii="Arial" w:hAnsi="Arial" w:cs="Arial"/>
        </w:rPr>
        <w:t xml:space="preserve"> can improve decision-making, comply with rules, reduce risks, and create stakeholder confidence. Data governance is versatile and important across industries and use cases, as shown by the examples.</w:t>
      </w:r>
    </w:p>
    <w:p w14:paraId="4276953D" w14:textId="77777777" w:rsidR="0088407B" w:rsidRPr="00DB4BFD" w:rsidRDefault="0088407B" w:rsidP="00DB4BFD">
      <w:pPr>
        <w:spacing w:line="360" w:lineRule="auto"/>
        <w:jc w:val="both"/>
        <w:rPr>
          <w:rFonts w:ascii="Arial" w:hAnsi="Arial" w:cs="Arial"/>
        </w:rPr>
      </w:pPr>
      <w:r w:rsidRPr="00DB4BFD">
        <w:rPr>
          <w:rFonts w:ascii="Arial" w:hAnsi="Arial" w:cs="Arial"/>
        </w:rPr>
        <w:br w:type="page"/>
      </w:r>
    </w:p>
    <w:p w14:paraId="54B9F994" w14:textId="4B845EB1" w:rsidR="00C50573" w:rsidRPr="00DB4BFD" w:rsidRDefault="0088407B" w:rsidP="00DB4BFD">
      <w:pPr>
        <w:pStyle w:val="Heading1"/>
        <w:spacing w:line="360" w:lineRule="auto"/>
        <w:jc w:val="both"/>
        <w:rPr>
          <w:rFonts w:ascii="Arial" w:hAnsi="Arial" w:cs="Arial"/>
          <w:sz w:val="22"/>
          <w:szCs w:val="22"/>
        </w:rPr>
      </w:pPr>
      <w:r w:rsidRPr="00DB4BFD">
        <w:rPr>
          <w:rFonts w:ascii="Arial" w:hAnsi="Arial" w:cs="Arial"/>
          <w:sz w:val="22"/>
          <w:szCs w:val="22"/>
        </w:rPr>
        <w:lastRenderedPageBreak/>
        <w:t>References</w:t>
      </w:r>
    </w:p>
    <w:p w14:paraId="77FC58D9" w14:textId="7CF1C342" w:rsidR="0088407B" w:rsidRPr="00DB4BFD" w:rsidRDefault="0088407B" w:rsidP="00DB4BFD">
      <w:pPr>
        <w:spacing w:line="360" w:lineRule="auto"/>
        <w:jc w:val="both"/>
        <w:rPr>
          <w:rFonts w:ascii="Arial" w:hAnsi="Arial" w:cs="Arial"/>
          <w:color w:val="222222"/>
          <w:shd w:val="clear" w:color="auto" w:fill="FFFFFF"/>
        </w:rPr>
      </w:pPr>
      <w:r w:rsidRPr="00DB4BFD">
        <w:rPr>
          <w:rFonts w:ascii="Arial" w:hAnsi="Arial" w:cs="Arial"/>
          <w:color w:val="222222"/>
          <w:shd w:val="clear" w:color="auto" w:fill="FFFFFF"/>
        </w:rPr>
        <w:t>Khan, M.A., Kalwar, M.A. and Chaudhry, A.K., 2021. Optimization of material delivery time analysis by using Visual Basic for applications in Excel. </w:t>
      </w:r>
      <w:r w:rsidRPr="00DB4BFD">
        <w:rPr>
          <w:rFonts w:ascii="Arial" w:hAnsi="Arial" w:cs="Arial"/>
          <w:i/>
          <w:iCs/>
          <w:color w:val="222222"/>
          <w:shd w:val="clear" w:color="auto" w:fill="FFFFFF"/>
        </w:rPr>
        <w:t>Journal of Applied Research in Technology &amp; Engineering</w:t>
      </w:r>
      <w:r w:rsidRPr="00DB4BFD">
        <w:rPr>
          <w:rFonts w:ascii="Arial" w:hAnsi="Arial" w:cs="Arial"/>
          <w:color w:val="222222"/>
          <w:shd w:val="clear" w:color="auto" w:fill="FFFFFF"/>
        </w:rPr>
        <w:t>, </w:t>
      </w:r>
      <w:r w:rsidRPr="00DB4BFD">
        <w:rPr>
          <w:rFonts w:ascii="Arial" w:hAnsi="Arial" w:cs="Arial"/>
          <w:i/>
          <w:iCs/>
          <w:color w:val="222222"/>
          <w:shd w:val="clear" w:color="auto" w:fill="FFFFFF"/>
        </w:rPr>
        <w:t>2</w:t>
      </w:r>
      <w:r w:rsidRPr="00DB4BFD">
        <w:rPr>
          <w:rFonts w:ascii="Arial" w:hAnsi="Arial" w:cs="Arial"/>
          <w:color w:val="222222"/>
          <w:shd w:val="clear" w:color="auto" w:fill="FFFFFF"/>
        </w:rPr>
        <w:t>(2), pp.89-100.</w:t>
      </w:r>
    </w:p>
    <w:p w14:paraId="1C2D029D" w14:textId="0C629F54" w:rsidR="0088407B" w:rsidRPr="00DB4BFD" w:rsidRDefault="0088407B" w:rsidP="00DB4BFD">
      <w:pPr>
        <w:spacing w:line="360" w:lineRule="auto"/>
        <w:jc w:val="both"/>
        <w:rPr>
          <w:rFonts w:ascii="Arial" w:hAnsi="Arial" w:cs="Arial"/>
          <w:color w:val="222222"/>
          <w:shd w:val="clear" w:color="auto" w:fill="FFFFFF"/>
        </w:rPr>
      </w:pPr>
      <w:proofErr w:type="spellStart"/>
      <w:r w:rsidRPr="00DB4BFD">
        <w:rPr>
          <w:rFonts w:ascii="Arial" w:hAnsi="Arial" w:cs="Arial"/>
          <w:color w:val="222222"/>
          <w:shd w:val="clear" w:color="auto" w:fill="FFFFFF"/>
        </w:rPr>
        <w:t>Ruaro</w:t>
      </w:r>
      <w:proofErr w:type="spellEnd"/>
      <w:r w:rsidRPr="00DB4BFD">
        <w:rPr>
          <w:rFonts w:ascii="Arial" w:hAnsi="Arial" w:cs="Arial"/>
          <w:color w:val="222222"/>
          <w:shd w:val="clear" w:color="auto" w:fill="FFFFFF"/>
        </w:rPr>
        <w:t>, N., Pagani, F., Ortolani, S., Kruegel, C. and Vigna, G., 2022, May. SYMBEXCEL: Automated Analysis and Understanding of Malicious Excel 4.0 Macros. In </w:t>
      </w:r>
      <w:r w:rsidRPr="00DB4BFD">
        <w:rPr>
          <w:rFonts w:ascii="Arial" w:hAnsi="Arial" w:cs="Arial"/>
          <w:i/>
          <w:iCs/>
          <w:color w:val="222222"/>
          <w:shd w:val="clear" w:color="auto" w:fill="FFFFFF"/>
        </w:rPr>
        <w:t>2022 IEEE Symposium on Security and Privacy (SP)</w:t>
      </w:r>
      <w:r w:rsidRPr="00DB4BFD">
        <w:rPr>
          <w:rFonts w:ascii="Arial" w:hAnsi="Arial" w:cs="Arial"/>
          <w:color w:val="222222"/>
          <w:shd w:val="clear" w:color="auto" w:fill="FFFFFF"/>
        </w:rPr>
        <w:t> (pp. 1066-1081). IEEE.</w:t>
      </w:r>
    </w:p>
    <w:p w14:paraId="1B10B85B" w14:textId="4731B714" w:rsidR="0088407B" w:rsidRPr="00DB4BFD" w:rsidRDefault="0088407B" w:rsidP="00DB4BFD">
      <w:pPr>
        <w:spacing w:line="360" w:lineRule="auto"/>
        <w:jc w:val="both"/>
        <w:rPr>
          <w:rFonts w:ascii="Arial" w:hAnsi="Arial" w:cs="Arial"/>
          <w:color w:val="222222"/>
          <w:shd w:val="clear" w:color="auto" w:fill="FFFFFF"/>
        </w:rPr>
      </w:pPr>
      <w:r w:rsidRPr="00DB4BFD">
        <w:rPr>
          <w:rFonts w:ascii="Arial" w:hAnsi="Arial" w:cs="Arial"/>
          <w:color w:val="222222"/>
          <w:shd w:val="clear" w:color="auto" w:fill="FFFFFF"/>
        </w:rPr>
        <w:t>Koh, C.W., Ooi, J.S., Joly, G.L. and Chan, K.R., 2022. Gene Updater: A web tool that autocorrects and updates for Excel misidentified gene names. </w:t>
      </w:r>
      <w:r w:rsidRPr="00DB4BFD">
        <w:rPr>
          <w:rFonts w:ascii="Arial" w:hAnsi="Arial" w:cs="Arial"/>
          <w:i/>
          <w:iCs/>
          <w:color w:val="222222"/>
          <w:shd w:val="clear" w:color="auto" w:fill="FFFFFF"/>
        </w:rPr>
        <w:t>Scientific Reports</w:t>
      </w:r>
      <w:r w:rsidRPr="00DB4BFD">
        <w:rPr>
          <w:rFonts w:ascii="Arial" w:hAnsi="Arial" w:cs="Arial"/>
          <w:color w:val="222222"/>
          <w:shd w:val="clear" w:color="auto" w:fill="FFFFFF"/>
        </w:rPr>
        <w:t>, </w:t>
      </w:r>
      <w:r w:rsidRPr="00DB4BFD">
        <w:rPr>
          <w:rFonts w:ascii="Arial" w:hAnsi="Arial" w:cs="Arial"/>
          <w:i/>
          <w:iCs/>
          <w:color w:val="222222"/>
          <w:shd w:val="clear" w:color="auto" w:fill="FFFFFF"/>
        </w:rPr>
        <w:t>12</w:t>
      </w:r>
      <w:r w:rsidRPr="00DB4BFD">
        <w:rPr>
          <w:rFonts w:ascii="Arial" w:hAnsi="Arial" w:cs="Arial"/>
          <w:color w:val="222222"/>
          <w:shd w:val="clear" w:color="auto" w:fill="FFFFFF"/>
        </w:rPr>
        <w:t>(1), p.12743.</w:t>
      </w:r>
    </w:p>
    <w:p w14:paraId="7CBC4650" w14:textId="46F57964" w:rsidR="0088407B" w:rsidRPr="00DB4BFD" w:rsidRDefault="0088407B" w:rsidP="00DB4BFD">
      <w:pPr>
        <w:spacing w:line="360" w:lineRule="auto"/>
        <w:jc w:val="both"/>
        <w:rPr>
          <w:rFonts w:ascii="Arial" w:hAnsi="Arial" w:cs="Arial"/>
          <w:color w:val="222222"/>
          <w:shd w:val="clear" w:color="auto" w:fill="FFFFFF"/>
        </w:rPr>
      </w:pPr>
      <w:r w:rsidRPr="00DB4BFD">
        <w:rPr>
          <w:rFonts w:ascii="Arial" w:hAnsi="Arial" w:cs="Arial"/>
          <w:color w:val="222222"/>
          <w:shd w:val="clear" w:color="auto" w:fill="FFFFFF"/>
        </w:rPr>
        <w:t xml:space="preserve">Kalwar, M.A., Wassan, A.N., Phul, Z., </w:t>
      </w:r>
      <w:proofErr w:type="spellStart"/>
      <w:r w:rsidRPr="00DB4BFD">
        <w:rPr>
          <w:rFonts w:ascii="Arial" w:hAnsi="Arial" w:cs="Arial"/>
          <w:color w:val="222222"/>
          <w:shd w:val="clear" w:color="auto" w:fill="FFFFFF"/>
        </w:rPr>
        <w:t>Wadho</w:t>
      </w:r>
      <w:proofErr w:type="spellEnd"/>
      <w:r w:rsidRPr="00DB4BFD">
        <w:rPr>
          <w:rFonts w:ascii="Arial" w:hAnsi="Arial" w:cs="Arial"/>
          <w:color w:val="222222"/>
          <w:shd w:val="clear" w:color="auto" w:fill="FFFFFF"/>
        </w:rPr>
        <w:t>, M.H., Malik, T.S. and Khan, M.A., 2023. Automation of material cost comparative analysis report using VBA Excel: a case of footwear company of Lahore. </w:t>
      </w:r>
      <w:r w:rsidRPr="00DB4BFD">
        <w:rPr>
          <w:rFonts w:ascii="Arial" w:hAnsi="Arial" w:cs="Arial"/>
          <w:i/>
          <w:iCs/>
          <w:color w:val="222222"/>
          <w:shd w:val="clear" w:color="auto" w:fill="FFFFFF"/>
        </w:rPr>
        <w:t>Journal of Applied Research in Technology &amp; Engineering</w:t>
      </w:r>
      <w:r w:rsidRPr="00DB4BFD">
        <w:rPr>
          <w:rFonts w:ascii="Arial" w:hAnsi="Arial" w:cs="Arial"/>
          <w:color w:val="222222"/>
          <w:shd w:val="clear" w:color="auto" w:fill="FFFFFF"/>
        </w:rPr>
        <w:t>, </w:t>
      </w:r>
      <w:r w:rsidRPr="00DB4BFD">
        <w:rPr>
          <w:rFonts w:ascii="Arial" w:hAnsi="Arial" w:cs="Arial"/>
          <w:i/>
          <w:iCs/>
          <w:color w:val="222222"/>
          <w:shd w:val="clear" w:color="auto" w:fill="FFFFFF"/>
        </w:rPr>
        <w:t>4</w:t>
      </w:r>
      <w:r w:rsidRPr="00DB4BFD">
        <w:rPr>
          <w:rFonts w:ascii="Arial" w:hAnsi="Arial" w:cs="Arial"/>
          <w:color w:val="222222"/>
          <w:shd w:val="clear" w:color="auto" w:fill="FFFFFF"/>
        </w:rPr>
        <w:t>(1), pp.13-23.</w:t>
      </w:r>
    </w:p>
    <w:p w14:paraId="20998CCE" w14:textId="6A88273B" w:rsidR="0088407B" w:rsidRPr="00DB4BFD" w:rsidRDefault="0088407B" w:rsidP="00DB4BFD">
      <w:pPr>
        <w:spacing w:line="360" w:lineRule="auto"/>
        <w:jc w:val="both"/>
        <w:rPr>
          <w:rFonts w:ascii="Arial" w:hAnsi="Arial" w:cs="Arial"/>
          <w:color w:val="222222"/>
          <w:shd w:val="clear" w:color="auto" w:fill="FFFFFF"/>
        </w:rPr>
      </w:pPr>
      <w:proofErr w:type="spellStart"/>
      <w:r w:rsidRPr="00DB4BFD">
        <w:rPr>
          <w:rFonts w:ascii="Arial" w:hAnsi="Arial" w:cs="Arial"/>
          <w:color w:val="222222"/>
          <w:shd w:val="clear" w:color="auto" w:fill="FFFFFF"/>
        </w:rPr>
        <w:t>Rakhmatullaevich</w:t>
      </w:r>
      <w:proofErr w:type="spellEnd"/>
      <w:r w:rsidRPr="00DB4BFD">
        <w:rPr>
          <w:rFonts w:ascii="Arial" w:hAnsi="Arial" w:cs="Arial"/>
          <w:color w:val="222222"/>
          <w:shd w:val="clear" w:color="auto" w:fill="FFFFFF"/>
        </w:rPr>
        <w:t xml:space="preserve">, B.R., </w:t>
      </w:r>
      <w:proofErr w:type="spellStart"/>
      <w:r w:rsidRPr="00DB4BFD">
        <w:rPr>
          <w:rFonts w:ascii="Arial" w:hAnsi="Arial" w:cs="Arial"/>
          <w:color w:val="222222"/>
          <w:shd w:val="clear" w:color="auto" w:fill="FFFFFF"/>
        </w:rPr>
        <w:t>Jonuzokovich</w:t>
      </w:r>
      <w:proofErr w:type="spellEnd"/>
      <w:r w:rsidRPr="00DB4BFD">
        <w:rPr>
          <w:rFonts w:ascii="Arial" w:hAnsi="Arial" w:cs="Arial"/>
          <w:color w:val="222222"/>
          <w:shd w:val="clear" w:color="auto" w:fill="FFFFFF"/>
        </w:rPr>
        <w:t xml:space="preserve">, M.M. and Nosir </w:t>
      </w:r>
      <w:proofErr w:type="spellStart"/>
      <w:r w:rsidRPr="00DB4BFD">
        <w:rPr>
          <w:rFonts w:ascii="Arial" w:hAnsi="Arial" w:cs="Arial"/>
          <w:color w:val="222222"/>
          <w:shd w:val="clear" w:color="auto" w:fill="FFFFFF"/>
        </w:rPr>
        <w:t>o’g’li</w:t>
      </w:r>
      <w:proofErr w:type="spellEnd"/>
      <w:r w:rsidRPr="00DB4BFD">
        <w:rPr>
          <w:rFonts w:ascii="Arial" w:hAnsi="Arial" w:cs="Arial"/>
          <w:color w:val="222222"/>
          <w:shd w:val="clear" w:color="auto" w:fill="FFFFFF"/>
        </w:rPr>
        <w:t>, M.Q., 2023. STATISTICAL ANALYSIS OF MEDICAL DATA AND PROCESSING IN MS EXCEL. </w:t>
      </w:r>
      <w:r w:rsidRPr="00DB4BFD">
        <w:rPr>
          <w:rFonts w:ascii="Arial" w:hAnsi="Arial" w:cs="Arial"/>
          <w:i/>
          <w:iCs/>
          <w:color w:val="222222"/>
          <w:shd w:val="clear" w:color="auto" w:fill="FFFFFF"/>
        </w:rPr>
        <w:t>British View</w:t>
      </w:r>
      <w:r w:rsidRPr="00DB4BFD">
        <w:rPr>
          <w:rFonts w:ascii="Arial" w:hAnsi="Arial" w:cs="Arial"/>
          <w:color w:val="222222"/>
          <w:shd w:val="clear" w:color="auto" w:fill="FFFFFF"/>
        </w:rPr>
        <w:t>, </w:t>
      </w:r>
      <w:r w:rsidRPr="00DB4BFD">
        <w:rPr>
          <w:rFonts w:ascii="Arial" w:hAnsi="Arial" w:cs="Arial"/>
          <w:i/>
          <w:iCs/>
          <w:color w:val="222222"/>
          <w:shd w:val="clear" w:color="auto" w:fill="FFFFFF"/>
        </w:rPr>
        <w:t>8</w:t>
      </w:r>
      <w:r w:rsidRPr="00DB4BFD">
        <w:rPr>
          <w:rFonts w:ascii="Arial" w:hAnsi="Arial" w:cs="Arial"/>
          <w:color w:val="222222"/>
          <w:shd w:val="clear" w:color="auto" w:fill="FFFFFF"/>
        </w:rPr>
        <w:t>(1).</w:t>
      </w:r>
    </w:p>
    <w:p w14:paraId="281FE8EB" w14:textId="6AF11688" w:rsidR="0088407B" w:rsidRPr="00DB4BFD" w:rsidRDefault="0088407B" w:rsidP="00DB4BFD">
      <w:pPr>
        <w:spacing w:line="360" w:lineRule="auto"/>
        <w:jc w:val="both"/>
        <w:rPr>
          <w:rFonts w:ascii="Arial" w:hAnsi="Arial" w:cs="Arial"/>
          <w:color w:val="222222"/>
          <w:shd w:val="clear" w:color="auto" w:fill="FFFFFF"/>
        </w:rPr>
      </w:pPr>
      <w:r w:rsidRPr="00DB4BFD">
        <w:rPr>
          <w:rFonts w:ascii="Arial" w:hAnsi="Arial" w:cs="Arial"/>
          <w:color w:val="222222"/>
          <w:shd w:val="clear" w:color="auto" w:fill="FFFFFF"/>
        </w:rPr>
        <w:t>Kafle, S.C., 2019. Correlation and regression analysis using SPSS. </w:t>
      </w:r>
      <w:r w:rsidRPr="00DB4BFD">
        <w:rPr>
          <w:rFonts w:ascii="Arial" w:hAnsi="Arial" w:cs="Arial"/>
          <w:i/>
          <w:iCs/>
          <w:color w:val="222222"/>
          <w:shd w:val="clear" w:color="auto" w:fill="FFFFFF"/>
        </w:rPr>
        <w:t>Management, Technology &amp; Social Sciences</w:t>
      </w:r>
      <w:r w:rsidRPr="00DB4BFD">
        <w:rPr>
          <w:rFonts w:ascii="Arial" w:hAnsi="Arial" w:cs="Arial"/>
          <w:color w:val="222222"/>
          <w:shd w:val="clear" w:color="auto" w:fill="FFFFFF"/>
        </w:rPr>
        <w:t>, </w:t>
      </w:r>
      <w:r w:rsidRPr="00DB4BFD">
        <w:rPr>
          <w:rFonts w:ascii="Arial" w:hAnsi="Arial" w:cs="Arial"/>
          <w:i/>
          <w:iCs/>
          <w:color w:val="222222"/>
          <w:shd w:val="clear" w:color="auto" w:fill="FFFFFF"/>
        </w:rPr>
        <w:t>126</w:t>
      </w:r>
      <w:r w:rsidRPr="00DB4BFD">
        <w:rPr>
          <w:rFonts w:ascii="Arial" w:hAnsi="Arial" w:cs="Arial"/>
          <w:color w:val="222222"/>
          <w:shd w:val="clear" w:color="auto" w:fill="FFFFFF"/>
        </w:rPr>
        <w:t>.</w:t>
      </w:r>
    </w:p>
    <w:p w14:paraId="266773F5" w14:textId="1532EFDC" w:rsidR="0088407B" w:rsidRPr="00DB4BFD" w:rsidRDefault="0088407B" w:rsidP="00DB4BFD">
      <w:pPr>
        <w:spacing w:line="360" w:lineRule="auto"/>
        <w:jc w:val="both"/>
        <w:rPr>
          <w:rFonts w:ascii="Arial" w:hAnsi="Arial" w:cs="Arial"/>
          <w:color w:val="222222"/>
          <w:shd w:val="clear" w:color="auto" w:fill="FFFFFF"/>
        </w:rPr>
      </w:pPr>
      <w:r w:rsidRPr="00DB4BFD">
        <w:rPr>
          <w:rFonts w:ascii="Arial" w:hAnsi="Arial" w:cs="Arial"/>
          <w:color w:val="222222"/>
          <w:shd w:val="clear" w:color="auto" w:fill="FFFFFF"/>
        </w:rPr>
        <w:t>Watkins, M.W., 2021. </w:t>
      </w:r>
      <w:r w:rsidRPr="00DB4BFD">
        <w:rPr>
          <w:rFonts w:ascii="Arial" w:hAnsi="Arial" w:cs="Arial"/>
          <w:i/>
          <w:iCs/>
          <w:color w:val="222222"/>
          <w:shd w:val="clear" w:color="auto" w:fill="FFFFFF"/>
        </w:rPr>
        <w:t>A step-by-step guide to exploratory factor analysis with SPSS</w:t>
      </w:r>
      <w:r w:rsidRPr="00DB4BFD">
        <w:rPr>
          <w:rFonts w:ascii="Arial" w:hAnsi="Arial" w:cs="Arial"/>
          <w:color w:val="222222"/>
          <w:shd w:val="clear" w:color="auto" w:fill="FFFFFF"/>
        </w:rPr>
        <w:t>. Routledge.</w:t>
      </w:r>
    </w:p>
    <w:p w14:paraId="663F9047" w14:textId="3790ED76" w:rsidR="0088407B" w:rsidRPr="00DB4BFD" w:rsidRDefault="0088407B" w:rsidP="00DB4BFD">
      <w:pPr>
        <w:spacing w:line="360" w:lineRule="auto"/>
        <w:jc w:val="both"/>
        <w:rPr>
          <w:rFonts w:ascii="Arial" w:hAnsi="Arial" w:cs="Arial"/>
        </w:rPr>
      </w:pPr>
      <w:r w:rsidRPr="00DB4BFD">
        <w:rPr>
          <w:rFonts w:ascii="Arial" w:hAnsi="Arial" w:cs="Arial"/>
          <w:color w:val="222222"/>
          <w:shd w:val="clear" w:color="auto" w:fill="FFFFFF"/>
        </w:rPr>
        <w:t xml:space="preserve">Bhardwaj, P. and </w:t>
      </w:r>
      <w:proofErr w:type="spellStart"/>
      <w:r w:rsidRPr="00DB4BFD">
        <w:rPr>
          <w:rFonts w:ascii="Arial" w:hAnsi="Arial" w:cs="Arial"/>
          <w:color w:val="222222"/>
          <w:shd w:val="clear" w:color="auto" w:fill="FFFFFF"/>
        </w:rPr>
        <w:t>Baliyan</w:t>
      </w:r>
      <w:proofErr w:type="spellEnd"/>
      <w:r w:rsidRPr="00DB4BFD">
        <w:rPr>
          <w:rFonts w:ascii="Arial" w:hAnsi="Arial" w:cs="Arial"/>
          <w:color w:val="222222"/>
          <w:shd w:val="clear" w:color="auto" w:fill="FFFFFF"/>
        </w:rPr>
        <w:t>, N., 2019, August. Hadoop based analysis and visualization of diabetes data through tableau. In </w:t>
      </w:r>
      <w:r w:rsidRPr="00DB4BFD">
        <w:rPr>
          <w:rFonts w:ascii="Arial" w:hAnsi="Arial" w:cs="Arial"/>
          <w:i/>
          <w:iCs/>
          <w:color w:val="222222"/>
          <w:shd w:val="clear" w:color="auto" w:fill="FFFFFF"/>
        </w:rPr>
        <w:t>2019 Twelfth International Conference on Contemporary Computing (IC3)</w:t>
      </w:r>
      <w:r w:rsidRPr="00DB4BFD">
        <w:rPr>
          <w:rFonts w:ascii="Arial" w:hAnsi="Arial" w:cs="Arial"/>
          <w:color w:val="222222"/>
          <w:shd w:val="clear" w:color="auto" w:fill="FFFFFF"/>
        </w:rPr>
        <w:t> (pp. 1-5). IEEE.</w:t>
      </w:r>
    </w:p>
    <w:sectPr w:rsidR="0088407B" w:rsidRPr="00DB4BFD" w:rsidSect="001F48F7">
      <w:head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6938F" w14:textId="77777777" w:rsidR="00F46181" w:rsidRDefault="00F46181" w:rsidP="003E6C42">
      <w:pPr>
        <w:spacing w:after="0" w:line="240" w:lineRule="auto"/>
      </w:pPr>
      <w:r>
        <w:separator/>
      </w:r>
    </w:p>
  </w:endnote>
  <w:endnote w:type="continuationSeparator" w:id="0">
    <w:p w14:paraId="7FB47597" w14:textId="77777777" w:rsidR="00F46181" w:rsidRDefault="00F46181" w:rsidP="003E6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92C69" w14:textId="77777777" w:rsidR="00F46181" w:rsidRDefault="00F46181" w:rsidP="003E6C42">
      <w:pPr>
        <w:spacing w:after="0" w:line="240" w:lineRule="auto"/>
      </w:pPr>
      <w:r>
        <w:separator/>
      </w:r>
    </w:p>
  </w:footnote>
  <w:footnote w:type="continuationSeparator" w:id="0">
    <w:p w14:paraId="4C71B55C" w14:textId="77777777" w:rsidR="00F46181" w:rsidRDefault="00F46181" w:rsidP="003E6C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9823586"/>
      <w:docPartObj>
        <w:docPartGallery w:val="Page Numbers (Top of Page)"/>
        <w:docPartUnique/>
      </w:docPartObj>
    </w:sdtPr>
    <w:sdtEndPr>
      <w:rPr>
        <w:color w:val="7F7F7F" w:themeColor="background1" w:themeShade="7F"/>
        <w:spacing w:val="60"/>
      </w:rPr>
    </w:sdtEndPr>
    <w:sdtContent>
      <w:p w14:paraId="71DC9D4E" w14:textId="0BC9433C" w:rsidR="003E6C42" w:rsidRDefault="003E6C42" w:rsidP="003E6C42">
        <w:pPr>
          <w:pStyle w:val="Header"/>
          <w:pBdr>
            <w:bottom w:val="single" w:sz="4" w:space="1" w:color="D9D9D9" w:themeColor="background1" w:themeShade="D9"/>
          </w:pBdr>
          <w:ind w:left="3240" w:firstLine="4680"/>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1520E0C" w14:textId="77777777" w:rsidR="003E6C42" w:rsidRDefault="003E6C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23CCDC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C277DE"/>
    <w:multiLevelType w:val="hybridMultilevel"/>
    <w:tmpl w:val="2F228A5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F9C7AC3"/>
    <w:multiLevelType w:val="hybridMultilevel"/>
    <w:tmpl w:val="2532789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1A564F9"/>
    <w:multiLevelType w:val="hybridMultilevel"/>
    <w:tmpl w:val="C19ADA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3BE7AC2"/>
    <w:multiLevelType w:val="hybridMultilevel"/>
    <w:tmpl w:val="9088465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4772FDB"/>
    <w:multiLevelType w:val="hybridMultilevel"/>
    <w:tmpl w:val="2438D8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75805FF"/>
    <w:multiLevelType w:val="hybridMultilevel"/>
    <w:tmpl w:val="5A70F9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A331534"/>
    <w:multiLevelType w:val="hybridMultilevel"/>
    <w:tmpl w:val="21F2B43C"/>
    <w:lvl w:ilvl="0" w:tplc="9A82D2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9187F0E"/>
    <w:multiLevelType w:val="hybridMultilevel"/>
    <w:tmpl w:val="2708E7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06E4A72"/>
    <w:multiLevelType w:val="hybridMultilevel"/>
    <w:tmpl w:val="623AD5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5DC27CE"/>
    <w:multiLevelType w:val="hybridMultilevel"/>
    <w:tmpl w:val="873818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B4122B4"/>
    <w:multiLevelType w:val="hybridMultilevel"/>
    <w:tmpl w:val="06FC5F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7CA0D16"/>
    <w:multiLevelType w:val="hybridMultilevel"/>
    <w:tmpl w:val="1DEE9DA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7F975F8"/>
    <w:multiLevelType w:val="hybridMultilevel"/>
    <w:tmpl w:val="3C5E414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AE35A12"/>
    <w:multiLevelType w:val="hybridMultilevel"/>
    <w:tmpl w:val="B45A826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791025BF"/>
    <w:multiLevelType w:val="hybridMultilevel"/>
    <w:tmpl w:val="78D62A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64908518">
    <w:abstractNumId w:val="7"/>
  </w:num>
  <w:num w:numId="2" w16cid:durableId="1819683984">
    <w:abstractNumId w:val="9"/>
  </w:num>
  <w:num w:numId="3" w16cid:durableId="1937596148">
    <w:abstractNumId w:val="0"/>
  </w:num>
  <w:num w:numId="4" w16cid:durableId="1911304085">
    <w:abstractNumId w:val="6"/>
  </w:num>
  <w:num w:numId="5" w16cid:durableId="179702699">
    <w:abstractNumId w:val="10"/>
  </w:num>
  <w:num w:numId="6" w16cid:durableId="712118112">
    <w:abstractNumId w:val="1"/>
  </w:num>
  <w:num w:numId="7" w16cid:durableId="154565571">
    <w:abstractNumId w:val="8"/>
  </w:num>
  <w:num w:numId="8" w16cid:durableId="387190279">
    <w:abstractNumId w:val="4"/>
  </w:num>
  <w:num w:numId="9" w16cid:durableId="1239171987">
    <w:abstractNumId w:val="3"/>
  </w:num>
  <w:num w:numId="10" w16cid:durableId="1726947979">
    <w:abstractNumId w:val="14"/>
  </w:num>
  <w:num w:numId="11" w16cid:durableId="550927572">
    <w:abstractNumId w:val="5"/>
  </w:num>
  <w:num w:numId="12" w16cid:durableId="19792232">
    <w:abstractNumId w:val="2"/>
  </w:num>
  <w:num w:numId="13" w16cid:durableId="1040008932">
    <w:abstractNumId w:val="11"/>
  </w:num>
  <w:num w:numId="14" w16cid:durableId="1185244083">
    <w:abstractNumId w:val="13"/>
  </w:num>
  <w:num w:numId="15" w16cid:durableId="1157453595">
    <w:abstractNumId w:val="15"/>
  </w:num>
  <w:num w:numId="16" w16cid:durableId="64918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0A"/>
    <w:rsid w:val="0002316E"/>
    <w:rsid w:val="00050692"/>
    <w:rsid w:val="00053510"/>
    <w:rsid w:val="000841E1"/>
    <w:rsid w:val="000919F7"/>
    <w:rsid w:val="000A0614"/>
    <w:rsid w:val="000A1570"/>
    <w:rsid w:val="000E49D7"/>
    <w:rsid w:val="000F15C4"/>
    <w:rsid w:val="000F2389"/>
    <w:rsid w:val="001469D3"/>
    <w:rsid w:val="00180CC6"/>
    <w:rsid w:val="001A0B7A"/>
    <w:rsid w:val="001F48F7"/>
    <w:rsid w:val="00223783"/>
    <w:rsid w:val="00282A0A"/>
    <w:rsid w:val="002B36A7"/>
    <w:rsid w:val="002B3A12"/>
    <w:rsid w:val="00300A1C"/>
    <w:rsid w:val="003D4330"/>
    <w:rsid w:val="003E6C42"/>
    <w:rsid w:val="00440CC8"/>
    <w:rsid w:val="0048679B"/>
    <w:rsid w:val="004867E3"/>
    <w:rsid w:val="004E2962"/>
    <w:rsid w:val="0052520A"/>
    <w:rsid w:val="00536FDE"/>
    <w:rsid w:val="005574D2"/>
    <w:rsid w:val="00561ACD"/>
    <w:rsid w:val="00583E7B"/>
    <w:rsid w:val="005C4759"/>
    <w:rsid w:val="006138B0"/>
    <w:rsid w:val="00625FDA"/>
    <w:rsid w:val="0063461E"/>
    <w:rsid w:val="006B4414"/>
    <w:rsid w:val="007228BB"/>
    <w:rsid w:val="00764FDF"/>
    <w:rsid w:val="00772646"/>
    <w:rsid w:val="00783E19"/>
    <w:rsid w:val="007B77A1"/>
    <w:rsid w:val="00801FB2"/>
    <w:rsid w:val="00836E68"/>
    <w:rsid w:val="00842973"/>
    <w:rsid w:val="0088407B"/>
    <w:rsid w:val="008A3D6A"/>
    <w:rsid w:val="008B7F3A"/>
    <w:rsid w:val="00990627"/>
    <w:rsid w:val="00B56291"/>
    <w:rsid w:val="00B85459"/>
    <w:rsid w:val="00B93E0E"/>
    <w:rsid w:val="00BB1913"/>
    <w:rsid w:val="00C25092"/>
    <w:rsid w:val="00C50573"/>
    <w:rsid w:val="00D0791A"/>
    <w:rsid w:val="00D13D1B"/>
    <w:rsid w:val="00D211F2"/>
    <w:rsid w:val="00D37150"/>
    <w:rsid w:val="00D63577"/>
    <w:rsid w:val="00DA25A3"/>
    <w:rsid w:val="00DB4BFD"/>
    <w:rsid w:val="00E3650F"/>
    <w:rsid w:val="00E52D09"/>
    <w:rsid w:val="00E55745"/>
    <w:rsid w:val="00E566B8"/>
    <w:rsid w:val="00E66650"/>
    <w:rsid w:val="00EB6445"/>
    <w:rsid w:val="00ED74DB"/>
    <w:rsid w:val="00F41A9E"/>
    <w:rsid w:val="00F44539"/>
    <w:rsid w:val="00F46181"/>
    <w:rsid w:val="00FA3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9ACB9E"/>
  <w15:chartTrackingRefBased/>
  <w15:docId w15:val="{18825B84-C347-4CD2-8129-8936C8EE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8F7"/>
  </w:style>
  <w:style w:type="paragraph" w:styleId="Heading1">
    <w:name w:val="heading 1"/>
    <w:basedOn w:val="Normal"/>
    <w:next w:val="Normal"/>
    <w:link w:val="Heading1Char"/>
    <w:uiPriority w:val="9"/>
    <w:qFormat/>
    <w:rsid w:val="007B77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B77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7A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B77A1"/>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E55745"/>
    <w:pPr>
      <w:ind w:left="720"/>
      <w:contextualSpacing/>
    </w:pPr>
  </w:style>
  <w:style w:type="paragraph" w:styleId="Header">
    <w:name w:val="header"/>
    <w:basedOn w:val="Normal"/>
    <w:link w:val="HeaderChar"/>
    <w:uiPriority w:val="99"/>
    <w:unhideWhenUsed/>
    <w:rsid w:val="003E6C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C42"/>
  </w:style>
  <w:style w:type="paragraph" w:styleId="Footer">
    <w:name w:val="footer"/>
    <w:basedOn w:val="Normal"/>
    <w:link w:val="FooterChar"/>
    <w:uiPriority w:val="99"/>
    <w:unhideWhenUsed/>
    <w:rsid w:val="003E6C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C42"/>
  </w:style>
  <w:style w:type="paragraph" w:styleId="TOCHeading">
    <w:name w:val="TOC Heading"/>
    <w:basedOn w:val="Heading1"/>
    <w:next w:val="Normal"/>
    <w:uiPriority w:val="39"/>
    <w:unhideWhenUsed/>
    <w:qFormat/>
    <w:rsid w:val="00FA356E"/>
    <w:pPr>
      <w:spacing w:line="259" w:lineRule="auto"/>
      <w:outlineLvl w:val="9"/>
    </w:pPr>
    <w:rPr>
      <w:kern w:val="0"/>
      <w14:ligatures w14:val="none"/>
    </w:rPr>
  </w:style>
  <w:style w:type="paragraph" w:styleId="TOC1">
    <w:name w:val="toc 1"/>
    <w:basedOn w:val="Normal"/>
    <w:next w:val="Normal"/>
    <w:autoRedefine/>
    <w:uiPriority w:val="39"/>
    <w:unhideWhenUsed/>
    <w:rsid w:val="00FA356E"/>
    <w:pPr>
      <w:spacing w:after="100"/>
    </w:pPr>
  </w:style>
  <w:style w:type="paragraph" w:styleId="TOC2">
    <w:name w:val="toc 2"/>
    <w:basedOn w:val="Normal"/>
    <w:next w:val="Normal"/>
    <w:autoRedefine/>
    <w:uiPriority w:val="39"/>
    <w:unhideWhenUsed/>
    <w:rsid w:val="00FA356E"/>
    <w:pPr>
      <w:spacing w:after="100"/>
      <w:ind w:left="220"/>
    </w:pPr>
  </w:style>
  <w:style w:type="character" w:styleId="Hyperlink">
    <w:name w:val="Hyperlink"/>
    <w:basedOn w:val="DefaultParagraphFont"/>
    <w:uiPriority w:val="99"/>
    <w:unhideWhenUsed/>
    <w:rsid w:val="00FA356E"/>
    <w:rPr>
      <w:color w:val="0000FF" w:themeColor="hyperlink"/>
      <w:u w:val="single"/>
    </w:rPr>
  </w:style>
  <w:style w:type="paragraph" w:styleId="ListBullet">
    <w:name w:val="List Bullet"/>
    <w:basedOn w:val="Normal"/>
    <w:uiPriority w:val="99"/>
    <w:unhideWhenUsed/>
    <w:rsid w:val="00FA356E"/>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51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C2_GreenMed_Healthcare_2023%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wnloads\C2_GreenMed_Healthcare_2023%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ownloads\C2_GreenMed_Healthcare_2023%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wnloads\C2_GreenMed_Healthcare_2023%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ownloads\C2_GreenMed_Healthcare_2023%2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ownloads\C2_GreenMed_Healthcare_2023%20(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ownloads\C2_GreenMed_Healthcare_2023%20(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ownloads\C2_GreenMed_Healthcare_2023%20(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Dataset!$A$56</c:f>
              <c:strCache>
                <c:ptCount val="1"/>
                <c:pt idx="0">
                  <c:v>Average Processing Times</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Dataset!$B$55:$F$55</c:f>
              <c:strCache>
                <c:ptCount val="5"/>
                <c:pt idx="0">
                  <c:v>Hadoop_ProcessingTime</c:v>
                </c:pt>
                <c:pt idx="1">
                  <c:v>Spark_ProcessingTime</c:v>
                </c:pt>
                <c:pt idx="2">
                  <c:v>R_ProcessingTime</c:v>
                </c:pt>
                <c:pt idx="3">
                  <c:v>Python_ProcessingTime</c:v>
                </c:pt>
                <c:pt idx="4">
                  <c:v>Tableau_ProcessingTime</c:v>
                </c:pt>
              </c:strCache>
            </c:strRef>
          </c:cat>
          <c:val>
            <c:numRef>
              <c:f>Dataset!$B$56:$F$56</c:f>
              <c:numCache>
                <c:formatCode>General</c:formatCode>
                <c:ptCount val="5"/>
                <c:pt idx="0">
                  <c:v>2.7768892079624852</c:v>
                </c:pt>
                <c:pt idx="1">
                  <c:v>2.9322188489315311</c:v>
                </c:pt>
                <c:pt idx="2">
                  <c:v>2.75478432065829</c:v>
                </c:pt>
                <c:pt idx="3">
                  <c:v>2.5731810962804387</c:v>
                </c:pt>
                <c:pt idx="4">
                  <c:v>2.8302786275151179</c:v>
                </c:pt>
              </c:numCache>
            </c:numRef>
          </c:val>
          <c:extLst>
            <c:ext xmlns:c16="http://schemas.microsoft.com/office/drawing/2014/chart" uri="{C3380CC4-5D6E-409C-BE32-E72D297353CC}">
              <c16:uniqueId val="{00000000-8BDA-4870-8FE1-4C54A92638D2}"/>
            </c:ext>
          </c:extLst>
        </c:ser>
        <c:dLbls>
          <c:dLblPos val="outEnd"/>
          <c:showLegendKey val="0"/>
          <c:showVal val="1"/>
          <c:showCatName val="0"/>
          <c:showSerName val="0"/>
          <c:showPercent val="0"/>
          <c:showBubbleSize val="0"/>
        </c:dLbls>
        <c:gapWidth val="100"/>
        <c:overlap val="-24"/>
        <c:axId val="696107448"/>
        <c:axId val="696109248"/>
      </c:barChart>
      <c:catAx>
        <c:axId val="69610744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IN" b="1"/>
                  <a:t>Different tools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696109248"/>
        <c:crosses val="autoZero"/>
        <c:auto val="1"/>
        <c:lblAlgn val="ctr"/>
        <c:lblOffset val="100"/>
        <c:noMultiLvlLbl val="0"/>
      </c:catAx>
      <c:valAx>
        <c:axId val="696109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IN" b="1"/>
                  <a:t>average Process time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696107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[C2_GreenMed_Healthcare_2023 (2).xlsx]Pivot!PivotTable1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Line Chart for Hadoop Processing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Pivot!$B$3</c:f>
              <c:strCache>
                <c:ptCount val="1"/>
                <c:pt idx="0">
                  <c:v>Total</c:v>
                </c:pt>
              </c:strCache>
            </c:strRef>
          </c:tx>
          <c:spPr>
            <a:ln w="28575" cap="rnd">
              <a:solidFill>
                <a:schemeClr val="accent1"/>
              </a:solidFill>
              <a:round/>
            </a:ln>
            <a:effectLst/>
          </c:spPr>
          <c:marker>
            <c:symbol val="none"/>
          </c:marker>
          <c:cat>
            <c:strRef>
              <c:f>Pivot!$A$4:$A$54</c:f>
              <c:strCache>
                <c:ptCount val="50"/>
                <c:pt idx="0">
                  <c:v>01-Jan</c:v>
                </c:pt>
                <c:pt idx="1">
                  <c:v>02-Jan</c:v>
                </c:pt>
                <c:pt idx="2">
                  <c:v>03-Jan</c:v>
                </c:pt>
                <c:pt idx="3">
                  <c:v>04-Jan</c:v>
                </c:pt>
                <c:pt idx="4">
                  <c:v>05-Jan</c:v>
                </c:pt>
                <c:pt idx="5">
                  <c:v>06-Jan</c:v>
                </c:pt>
                <c:pt idx="6">
                  <c:v>07-Jan</c:v>
                </c:pt>
                <c:pt idx="7">
                  <c:v>08-Jan</c:v>
                </c:pt>
                <c:pt idx="8">
                  <c:v>09-Jan</c:v>
                </c:pt>
                <c:pt idx="9">
                  <c:v>10-Jan</c:v>
                </c:pt>
                <c:pt idx="10">
                  <c:v>11-Jan</c:v>
                </c:pt>
                <c:pt idx="11">
                  <c:v>12-Jan</c:v>
                </c:pt>
                <c:pt idx="12">
                  <c:v>13-Jan</c:v>
                </c:pt>
                <c:pt idx="13">
                  <c:v>14-Jan</c:v>
                </c:pt>
                <c:pt idx="14">
                  <c:v>15-Jan</c:v>
                </c:pt>
                <c:pt idx="15">
                  <c:v>16-Jan</c:v>
                </c:pt>
                <c:pt idx="16">
                  <c:v>17-Jan</c:v>
                </c:pt>
                <c:pt idx="17">
                  <c:v>18-Jan</c:v>
                </c:pt>
                <c:pt idx="18">
                  <c:v>19-Jan</c:v>
                </c:pt>
                <c:pt idx="19">
                  <c:v>20-Jan</c:v>
                </c:pt>
                <c:pt idx="20">
                  <c:v>21-Jan</c:v>
                </c:pt>
                <c:pt idx="21">
                  <c:v>22-Jan</c:v>
                </c:pt>
                <c:pt idx="22">
                  <c:v>23-Jan</c:v>
                </c:pt>
                <c:pt idx="23">
                  <c:v>24-Jan</c:v>
                </c:pt>
                <c:pt idx="24">
                  <c:v>25-Jan</c:v>
                </c:pt>
                <c:pt idx="25">
                  <c:v>26-Jan</c:v>
                </c:pt>
                <c:pt idx="26">
                  <c:v>27-Jan</c:v>
                </c:pt>
                <c:pt idx="27">
                  <c:v>28-Jan</c:v>
                </c:pt>
                <c:pt idx="28">
                  <c:v>29-Jan</c:v>
                </c:pt>
                <c:pt idx="29">
                  <c:v>30-Jan</c:v>
                </c:pt>
                <c:pt idx="30">
                  <c:v>31-Jan</c:v>
                </c:pt>
                <c:pt idx="31">
                  <c:v>01-Feb</c:v>
                </c:pt>
                <c:pt idx="32">
                  <c:v>02-Feb</c:v>
                </c:pt>
                <c:pt idx="33">
                  <c:v>03-Feb</c:v>
                </c:pt>
                <c:pt idx="34">
                  <c:v>04-Feb</c:v>
                </c:pt>
                <c:pt idx="35">
                  <c:v>05-Feb</c:v>
                </c:pt>
                <c:pt idx="36">
                  <c:v>06-Feb</c:v>
                </c:pt>
                <c:pt idx="37">
                  <c:v>07-Feb</c:v>
                </c:pt>
                <c:pt idx="38">
                  <c:v>08-Feb</c:v>
                </c:pt>
                <c:pt idx="39">
                  <c:v>09-Feb</c:v>
                </c:pt>
                <c:pt idx="40">
                  <c:v>10-Feb</c:v>
                </c:pt>
                <c:pt idx="41">
                  <c:v>11-Feb</c:v>
                </c:pt>
                <c:pt idx="42">
                  <c:v>12-Feb</c:v>
                </c:pt>
                <c:pt idx="43">
                  <c:v>13-Feb</c:v>
                </c:pt>
                <c:pt idx="44">
                  <c:v>14-Feb</c:v>
                </c:pt>
                <c:pt idx="45">
                  <c:v>15-Feb</c:v>
                </c:pt>
                <c:pt idx="46">
                  <c:v>16-Feb</c:v>
                </c:pt>
                <c:pt idx="47">
                  <c:v>17-Feb</c:v>
                </c:pt>
                <c:pt idx="48">
                  <c:v>18-Feb</c:v>
                </c:pt>
                <c:pt idx="49">
                  <c:v>19-Feb</c:v>
                </c:pt>
              </c:strCache>
            </c:strRef>
          </c:cat>
          <c:val>
            <c:numRef>
              <c:f>Pivot!$B$4:$B$54</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val>
          <c:smooth val="0"/>
          <c:extLst>
            <c:ext xmlns:c16="http://schemas.microsoft.com/office/drawing/2014/chart" uri="{C3380CC4-5D6E-409C-BE32-E72D297353CC}">
              <c16:uniqueId val="{00000000-2112-49B4-A01F-67A854845FFA}"/>
            </c:ext>
          </c:extLst>
        </c:ser>
        <c:dLbls>
          <c:showLegendKey val="0"/>
          <c:showVal val="0"/>
          <c:showCatName val="0"/>
          <c:showSerName val="0"/>
          <c:showPercent val="0"/>
          <c:showBubbleSize val="0"/>
        </c:dLbls>
        <c:smooth val="0"/>
        <c:axId val="617679600"/>
        <c:axId val="617676360"/>
      </c:lineChart>
      <c:catAx>
        <c:axId val="61767960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676360"/>
        <c:crosses val="autoZero"/>
        <c:auto val="1"/>
        <c:lblAlgn val="ctr"/>
        <c:lblOffset val="100"/>
        <c:noMultiLvlLbl val="0"/>
      </c:catAx>
      <c:valAx>
        <c:axId val="617676360"/>
        <c:scaling>
          <c:orientation val="minMax"/>
        </c:scaling>
        <c:delete val="0"/>
        <c:axPos val="l"/>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679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pivotSource>
    <c:name>[C2_GreenMed_Healthcare_2023 (2).xlsx]Pivot!PivotTable2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Line Chart for Spark</a:t>
            </a:r>
            <a:r>
              <a:rPr lang="en-US" baseline="0"/>
              <a:t> Processing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3"/>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3"/>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3"/>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Pivot!$B$57</c:f>
              <c:strCache>
                <c:ptCount val="1"/>
                <c:pt idx="0">
                  <c:v>Total</c:v>
                </c:pt>
              </c:strCache>
            </c:strRef>
          </c:tx>
          <c:spPr>
            <a:ln w="28575" cap="rnd">
              <a:solidFill>
                <a:schemeClr val="accent3"/>
              </a:solidFill>
              <a:round/>
            </a:ln>
            <a:effectLst/>
          </c:spPr>
          <c:marker>
            <c:symbol val="none"/>
          </c:marker>
          <c:cat>
            <c:strRef>
              <c:f>Pivot!$A$58:$A$108</c:f>
              <c:strCache>
                <c:ptCount val="50"/>
                <c:pt idx="0">
                  <c:v>01-Jan</c:v>
                </c:pt>
                <c:pt idx="1">
                  <c:v>02-Jan</c:v>
                </c:pt>
                <c:pt idx="2">
                  <c:v>03-Jan</c:v>
                </c:pt>
                <c:pt idx="3">
                  <c:v>04-Jan</c:v>
                </c:pt>
                <c:pt idx="4">
                  <c:v>05-Jan</c:v>
                </c:pt>
                <c:pt idx="5">
                  <c:v>06-Jan</c:v>
                </c:pt>
                <c:pt idx="6">
                  <c:v>07-Jan</c:v>
                </c:pt>
                <c:pt idx="7">
                  <c:v>08-Jan</c:v>
                </c:pt>
                <c:pt idx="8">
                  <c:v>09-Jan</c:v>
                </c:pt>
                <c:pt idx="9">
                  <c:v>10-Jan</c:v>
                </c:pt>
                <c:pt idx="10">
                  <c:v>11-Jan</c:v>
                </c:pt>
                <c:pt idx="11">
                  <c:v>12-Jan</c:v>
                </c:pt>
                <c:pt idx="12">
                  <c:v>13-Jan</c:v>
                </c:pt>
                <c:pt idx="13">
                  <c:v>14-Jan</c:v>
                </c:pt>
                <c:pt idx="14">
                  <c:v>15-Jan</c:v>
                </c:pt>
                <c:pt idx="15">
                  <c:v>16-Jan</c:v>
                </c:pt>
                <c:pt idx="16">
                  <c:v>17-Jan</c:v>
                </c:pt>
                <c:pt idx="17">
                  <c:v>18-Jan</c:v>
                </c:pt>
                <c:pt idx="18">
                  <c:v>19-Jan</c:v>
                </c:pt>
                <c:pt idx="19">
                  <c:v>20-Jan</c:v>
                </c:pt>
                <c:pt idx="20">
                  <c:v>21-Jan</c:v>
                </c:pt>
                <c:pt idx="21">
                  <c:v>22-Jan</c:v>
                </c:pt>
                <c:pt idx="22">
                  <c:v>23-Jan</c:v>
                </c:pt>
                <c:pt idx="23">
                  <c:v>24-Jan</c:v>
                </c:pt>
                <c:pt idx="24">
                  <c:v>25-Jan</c:v>
                </c:pt>
                <c:pt idx="25">
                  <c:v>26-Jan</c:v>
                </c:pt>
                <c:pt idx="26">
                  <c:v>27-Jan</c:v>
                </c:pt>
                <c:pt idx="27">
                  <c:v>28-Jan</c:v>
                </c:pt>
                <c:pt idx="28">
                  <c:v>29-Jan</c:v>
                </c:pt>
                <c:pt idx="29">
                  <c:v>30-Jan</c:v>
                </c:pt>
                <c:pt idx="30">
                  <c:v>31-Jan</c:v>
                </c:pt>
                <c:pt idx="31">
                  <c:v>01-Feb</c:v>
                </c:pt>
                <c:pt idx="32">
                  <c:v>02-Feb</c:v>
                </c:pt>
                <c:pt idx="33">
                  <c:v>03-Feb</c:v>
                </c:pt>
                <c:pt idx="34">
                  <c:v>04-Feb</c:v>
                </c:pt>
                <c:pt idx="35">
                  <c:v>05-Feb</c:v>
                </c:pt>
                <c:pt idx="36">
                  <c:v>06-Feb</c:v>
                </c:pt>
                <c:pt idx="37">
                  <c:v>07-Feb</c:v>
                </c:pt>
                <c:pt idx="38">
                  <c:v>08-Feb</c:v>
                </c:pt>
                <c:pt idx="39">
                  <c:v>09-Feb</c:v>
                </c:pt>
                <c:pt idx="40">
                  <c:v>10-Feb</c:v>
                </c:pt>
                <c:pt idx="41">
                  <c:v>11-Feb</c:v>
                </c:pt>
                <c:pt idx="42">
                  <c:v>12-Feb</c:v>
                </c:pt>
                <c:pt idx="43">
                  <c:v>13-Feb</c:v>
                </c:pt>
                <c:pt idx="44">
                  <c:v>14-Feb</c:v>
                </c:pt>
                <c:pt idx="45">
                  <c:v>15-Feb</c:v>
                </c:pt>
                <c:pt idx="46">
                  <c:v>16-Feb</c:v>
                </c:pt>
                <c:pt idx="47">
                  <c:v>17-Feb</c:v>
                </c:pt>
                <c:pt idx="48">
                  <c:v>18-Feb</c:v>
                </c:pt>
                <c:pt idx="49">
                  <c:v>19-Feb</c:v>
                </c:pt>
              </c:strCache>
            </c:strRef>
          </c:cat>
          <c:val>
            <c:numRef>
              <c:f>Pivot!$B$58:$B$108</c:f>
              <c:numCache>
                <c:formatCode>General</c:formatCode>
                <c:ptCount val="50"/>
                <c:pt idx="0">
                  <c:v>2.0184395862358029</c:v>
                </c:pt>
                <c:pt idx="1">
                  <c:v>0.92240508543644983</c:v>
                </c:pt>
                <c:pt idx="2">
                  <c:v>1.843993791774617</c:v>
                </c:pt>
                <c:pt idx="3">
                  <c:v>3.3475388567939648</c:v>
                </c:pt>
                <c:pt idx="4">
                  <c:v>2.751179646976559</c:v>
                </c:pt>
                <c:pt idx="5">
                  <c:v>2.2277536812817869</c:v>
                </c:pt>
                <c:pt idx="6">
                  <c:v>2.0754193860496941</c:v>
                </c:pt>
                <c:pt idx="7">
                  <c:v>1.132140737593414</c:v>
                </c:pt>
                <c:pt idx="8">
                  <c:v>4.3433542855370462</c:v>
                </c:pt>
                <c:pt idx="9">
                  <c:v>2.9164525521946638</c:v>
                </c:pt>
                <c:pt idx="10">
                  <c:v>4.7001444478624341</c:v>
                </c:pt>
                <c:pt idx="11">
                  <c:v>3.1967620756120758</c:v>
                </c:pt>
                <c:pt idx="12">
                  <c:v>4.4529928015496463</c:v>
                </c:pt>
                <c:pt idx="13">
                  <c:v>3.2123748418465432</c:v>
                </c:pt>
                <c:pt idx="14">
                  <c:v>2.59598527714228</c:v>
                </c:pt>
                <c:pt idx="15">
                  <c:v>1.1261036172923651</c:v>
                </c:pt>
                <c:pt idx="16">
                  <c:v>4.2678416849156768</c:v>
                </c:pt>
                <c:pt idx="17">
                  <c:v>4.9228482003966576</c:v>
                </c:pt>
                <c:pt idx="18">
                  <c:v>1.306268252611049</c:v>
                </c:pt>
                <c:pt idx="19">
                  <c:v>2.6606830778606749</c:v>
                </c:pt>
                <c:pt idx="20">
                  <c:v>2.556471354484553</c:v>
                </c:pt>
                <c:pt idx="21">
                  <c:v>4.8635378797051478</c:v>
                </c:pt>
                <c:pt idx="22">
                  <c:v>1.196902516203739</c:v>
                </c:pt>
                <c:pt idx="23">
                  <c:v>3.8205680863897209</c:v>
                </c:pt>
                <c:pt idx="24">
                  <c:v>2.719321348547993</c:v>
                </c:pt>
                <c:pt idx="25">
                  <c:v>0.87357536671652802</c:v>
                </c:pt>
                <c:pt idx="26">
                  <c:v>3.4396380863872982</c:v>
                </c:pt>
                <c:pt idx="27">
                  <c:v>2.4603172018134498</c:v>
                </c:pt>
                <c:pt idx="28">
                  <c:v>4.815070853621112</c:v>
                </c:pt>
                <c:pt idx="29">
                  <c:v>3.3964692399347172</c:v>
                </c:pt>
                <c:pt idx="30">
                  <c:v>1.4389746879484799</c:v>
                </c:pt>
                <c:pt idx="31">
                  <c:v>4.2815434509972867</c:v>
                </c:pt>
                <c:pt idx="32">
                  <c:v>2.7753174980618098</c:v>
                </c:pt>
                <c:pt idx="33">
                  <c:v>2.7426410841137621</c:v>
                </c:pt>
                <c:pt idx="34">
                  <c:v>1.4295280019481229</c:v>
                </c:pt>
                <c:pt idx="35">
                  <c:v>3.949908479913725</c:v>
                </c:pt>
                <c:pt idx="36">
                  <c:v>4.7232290248561926</c:v>
                </c:pt>
                <c:pt idx="37">
                  <c:v>3.9879844402287619</c:v>
                </c:pt>
                <c:pt idx="38">
                  <c:v>4.6196316514071798</c:v>
                </c:pt>
                <c:pt idx="39">
                  <c:v>0.68393960384043584</c:v>
                </c:pt>
                <c:pt idx="40">
                  <c:v>2.315944766963506</c:v>
                </c:pt>
                <c:pt idx="41">
                  <c:v>4.9791412880022294</c:v>
                </c:pt>
                <c:pt idx="42">
                  <c:v>0.84280975202102226</c:v>
                </c:pt>
                <c:pt idx="43">
                  <c:v>4.6714151419528909</c:v>
                </c:pt>
                <c:pt idx="44">
                  <c:v>2.6195366603280301</c:v>
                </c:pt>
                <c:pt idx="45">
                  <c:v>1.8753941010506701</c:v>
                </c:pt>
                <c:pt idx="46">
                  <c:v>4.7831548750711201</c:v>
                </c:pt>
                <c:pt idx="47">
                  <c:v>3.5555196814233669</c:v>
                </c:pt>
                <c:pt idx="48">
                  <c:v>1.519074409040766</c:v>
                </c:pt>
                <c:pt idx="49">
                  <c:v>2.6537000266395392</c:v>
                </c:pt>
              </c:numCache>
            </c:numRef>
          </c:val>
          <c:smooth val="0"/>
          <c:extLst>
            <c:ext xmlns:c16="http://schemas.microsoft.com/office/drawing/2014/chart" uri="{C3380CC4-5D6E-409C-BE32-E72D297353CC}">
              <c16:uniqueId val="{00000000-E708-4DB9-9729-8971203FDA6D}"/>
            </c:ext>
          </c:extLst>
        </c:ser>
        <c:dLbls>
          <c:showLegendKey val="0"/>
          <c:showVal val="0"/>
          <c:showCatName val="0"/>
          <c:showSerName val="0"/>
          <c:showPercent val="0"/>
          <c:showBubbleSize val="0"/>
        </c:dLbls>
        <c:smooth val="0"/>
        <c:axId val="617682120"/>
        <c:axId val="617683920"/>
      </c:lineChart>
      <c:catAx>
        <c:axId val="617682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683920"/>
        <c:crosses val="autoZero"/>
        <c:auto val="1"/>
        <c:lblAlgn val="ctr"/>
        <c:lblOffset val="100"/>
        <c:noMultiLvlLbl val="0"/>
      </c:catAx>
      <c:valAx>
        <c:axId val="6176839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6821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[C2_GreenMed_Healthcare_2023 (2).xlsx]Pivot!PivotTable3</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Area</a:t>
            </a:r>
            <a:r>
              <a:rPr lang="en-US" baseline="0"/>
              <a:t> Plot for R Processing Time</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areaChart>
        <c:grouping val="standard"/>
        <c:varyColors val="0"/>
        <c:ser>
          <c:idx val="0"/>
          <c:order val="0"/>
          <c:tx>
            <c:strRef>
              <c:f>Pivot!$B$112</c:f>
              <c:strCache>
                <c:ptCount val="1"/>
                <c:pt idx="0">
                  <c:v>Total</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cat>
            <c:strRef>
              <c:f>Pivot!$A$113:$A$163</c:f>
              <c:strCache>
                <c:ptCount val="50"/>
                <c:pt idx="0">
                  <c:v>01-Jan</c:v>
                </c:pt>
                <c:pt idx="1">
                  <c:v>02-Jan</c:v>
                </c:pt>
                <c:pt idx="2">
                  <c:v>03-Jan</c:v>
                </c:pt>
                <c:pt idx="3">
                  <c:v>04-Jan</c:v>
                </c:pt>
                <c:pt idx="4">
                  <c:v>05-Jan</c:v>
                </c:pt>
                <c:pt idx="5">
                  <c:v>06-Jan</c:v>
                </c:pt>
                <c:pt idx="6">
                  <c:v>07-Jan</c:v>
                </c:pt>
                <c:pt idx="7">
                  <c:v>08-Jan</c:v>
                </c:pt>
                <c:pt idx="8">
                  <c:v>09-Jan</c:v>
                </c:pt>
                <c:pt idx="9">
                  <c:v>10-Jan</c:v>
                </c:pt>
                <c:pt idx="10">
                  <c:v>11-Jan</c:v>
                </c:pt>
                <c:pt idx="11">
                  <c:v>12-Jan</c:v>
                </c:pt>
                <c:pt idx="12">
                  <c:v>13-Jan</c:v>
                </c:pt>
                <c:pt idx="13">
                  <c:v>14-Jan</c:v>
                </c:pt>
                <c:pt idx="14">
                  <c:v>15-Jan</c:v>
                </c:pt>
                <c:pt idx="15">
                  <c:v>16-Jan</c:v>
                </c:pt>
                <c:pt idx="16">
                  <c:v>17-Jan</c:v>
                </c:pt>
                <c:pt idx="17">
                  <c:v>18-Jan</c:v>
                </c:pt>
                <c:pt idx="18">
                  <c:v>19-Jan</c:v>
                </c:pt>
                <c:pt idx="19">
                  <c:v>20-Jan</c:v>
                </c:pt>
                <c:pt idx="20">
                  <c:v>21-Jan</c:v>
                </c:pt>
                <c:pt idx="21">
                  <c:v>22-Jan</c:v>
                </c:pt>
                <c:pt idx="22">
                  <c:v>23-Jan</c:v>
                </c:pt>
                <c:pt idx="23">
                  <c:v>24-Jan</c:v>
                </c:pt>
                <c:pt idx="24">
                  <c:v>25-Jan</c:v>
                </c:pt>
                <c:pt idx="25">
                  <c:v>26-Jan</c:v>
                </c:pt>
                <c:pt idx="26">
                  <c:v>27-Jan</c:v>
                </c:pt>
                <c:pt idx="27">
                  <c:v>28-Jan</c:v>
                </c:pt>
                <c:pt idx="28">
                  <c:v>29-Jan</c:v>
                </c:pt>
                <c:pt idx="29">
                  <c:v>30-Jan</c:v>
                </c:pt>
                <c:pt idx="30">
                  <c:v>31-Jan</c:v>
                </c:pt>
                <c:pt idx="31">
                  <c:v>01-Feb</c:v>
                </c:pt>
                <c:pt idx="32">
                  <c:v>02-Feb</c:v>
                </c:pt>
                <c:pt idx="33">
                  <c:v>03-Feb</c:v>
                </c:pt>
                <c:pt idx="34">
                  <c:v>04-Feb</c:v>
                </c:pt>
                <c:pt idx="35">
                  <c:v>05-Feb</c:v>
                </c:pt>
                <c:pt idx="36">
                  <c:v>06-Feb</c:v>
                </c:pt>
                <c:pt idx="37">
                  <c:v>07-Feb</c:v>
                </c:pt>
                <c:pt idx="38">
                  <c:v>08-Feb</c:v>
                </c:pt>
                <c:pt idx="39">
                  <c:v>09-Feb</c:v>
                </c:pt>
                <c:pt idx="40">
                  <c:v>10-Feb</c:v>
                </c:pt>
                <c:pt idx="41">
                  <c:v>11-Feb</c:v>
                </c:pt>
                <c:pt idx="42">
                  <c:v>12-Feb</c:v>
                </c:pt>
                <c:pt idx="43">
                  <c:v>13-Feb</c:v>
                </c:pt>
                <c:pt idx="44">
                  <c:v>14-Feb</c:v>
                </c:pt>
                <c:pt idx="45">
                  <c:v>15-Feb</c:v>
                </c:pt>
                <c:pt idx="46">
                  <c:v>16-Feb</c:v>
                </c:pt>
                <c:pt idx="47">
                  <c:v>17-Feb</c:v>
                </c:pt>
                <c:pt idx="48">
                  <c:v>18-Feb</c:v>
                </c:pt>
                <c:pt idx="49">
                  <c:v>19-Feb</c:v>
                </c:pt>
              </c:strCache>
            </c:strRef>
          </c:cat>
          <c:val>
            <c:numRef>
              <c:f>Pivot!$B$113:$B$163</c:f>
              <c:numCache>
                <c:formatCode>General</c:formatCode>
                <c:ptCount val="50"/>
                <c:pt idx="0">
                  <c:v>2.4867112509903642</c:v>
                </c:pt>
                <c:pt idx="1">
                  <c:v>1.8644620727557051</c:v>
                </c:pt>
                <c:pt idx="2">
                  <c:v>3.380302382635342</c:v>
                </c:pt>
                <c:pt idx="3">
                  <c:v>2.2600152416718728</c:v>
                </c:pt>
                <c:pt idx="4">
                  <c:v>2.606585689034425</c:v>
                </c:pt>
                <c:pt idx="5">
                  <c:v>0.9709529665814538</c:v>
                </c:pt>
                <c:pt idx="6">
                  <c:v>3.7068075002241989</c:v>
                </c:pt>
                <c:pt idx="7">
                  <c:v>3.113446462874716</c:v>
                </c:pt>
                <c:pt idx="8">
                  <c:v>1.2663354035951999</c:v>
                </c:pt>
                <c:pt idx="9">
                  <c:v>1.861532269916472</c:v>
                </c:pt>
                <c:pt idx="10">
                  <c:v>0.77342699560661166</c:v>
                </c:pt>
                <c:pt idx="11">
                  <c:v>3.4834902932881362</c:v>
                </c:pt>
                <c:pt idx="12">
                  <c:v>3.7238866261825909</c:v>
                </c:pt>
                <c:pt idx="13">
                  <c:v>2.6589958542853238</c:v>
                </c:pt>
                <c:pt idx="14">
                  <c:v>0.66433712351625585</c:v>
                </c:pt>
                <c:pt idx="15">
                  <c:v>4.8674517150910646</c:v>
                </c:pt>
                <c:pt idx="16">
                  <c:v>1.6799504589652601</c:v>
                </c:pt>
                <c:pt idx="17">
                  <c:v>0.88448913767870052</c:v>
                </c:pt>
                <c:pt idx="18">
                  <c:v>3.469964391350683</c:v>
                </c:pt>
                <c:pt idx="19">
                  <c:v>0.6947534268159794</c:v>
                </c:pt>
                <c:pt idx="20">
                  <c:v>4.32995060644609</c:v>
                </c:pt>
                <c:pt idx="21">
                  <c:v>1.8424605941600869</c:v>
                </c:pt>
                <c:pt idx="22">
                  <c:v>1.8537008758454041</c:v>
                </c:pt>
                <c:pt idx="23">
                  <c:v>4.6495453120695416</c:v>
                </c:pt>
                <c:pt idx="24">
                  <c:v>3.9283659056405802</c:v>
                </c:pt>
                <c:pt idx="25">
                  <c:v>2.5389763951707138</c:v>
                </c:pt>
                <c:pt idx="26">
                  <c:v>1.2394235933287281</c:v>
                </c:pt>
                <c:pt idx="27">
                  <c:v>4.6752976674327638</c:v>
                </c:pt>
                <c:pt idx="28">
                  <c:v>3.5045909693123818</c:v>
                </c:pt>
                <c:pt idx="29">
                  <c:v>1.414875531502223</c:v>
                </c:pt>
                <c:pt idx="30">
                  <c:v>2.3350056042524749</c:v>
                </c:pt>
                <c:pt idx="31">
                  <c:v>0.82910126791674033</c:v>
                </c:pt>
                <c:pt idx="32">
                  <c:v>2.724856752457482</c:v>
                </c:pt>
                <c:pt idx="33">
                  <c:v>2.890685793574864</c:v>
                </c:pt>
                <c:pt idx="34">
                  <c:v>3.3426670626015058</c:v>
                </c:pt>
                <c:pt idx="35">
                  <c:v>2.8467277622670828</c:v>
                </c:pt>
                <c:pt idx="36">
                  <c:v>2.606046777513038</c:v>
                </c:pt>
                <c:pt idx="37">
                  <c:v>4.1185905986782876</c:v>
                </c:pt>
                <c:pt idx="38">
                  <c:v>4.5975972289404794</c:v>
                </c:pt>
                <c:pt idx="39">
                  <c:v>1.246977744297582</c:v>
                </c:pt>
                <c:pt idx="40">
                  <c:v>0.71882983137164391</c:v>
                </c:pt>
                <c:pt idx="41">
                  <c:v>3.3403889710180632</c:v>
                </c:pt>
                <c:pt idx="42">
                  <c:v>4.7591395287252274</c:v>
                </c:pt>
                <c:pt idx="43">
                  <c:v>2.3531152346739761</c:v>
                </c:pt>
                <c:pt idx="44">
                  <c:v>4.5027923893861281</c:v>
                </c:pt>
                <c:pt idx="45">
                  <c:v>2.8897713608098621</c:v>
                </c:pt>
                <c:pt idx="46">
                  <c:v>2.970652495663328</c:v>
                </c:pt>
                <c:pt idx="47">
                  <c:v>3.725938393620825</c:v>
                </c:pt>
                <c:pt idx="48">
                  <c:v>4.7743018516645046</c:v>
                </c:pt>
                <c:pt idx="49">
                  <c:v>3.7709446695125122</c:v>
                </c:pt>
              </c:numCache>
            </c:numRef>
          </c:val>
          <c:extLst>
            <c:ext xmlns:c16="http://schemas.microsoft.com/office/drawing/2014/chart" uri="{C3380CC4-5D6E-409C-BE32-E72D297353CC}">
              <c16:uniqueId val="{00000000-09CA-4446-AA5C-841D27083286}"/>
            </c:ext>
          </c:extLst>
        </c:ser>
        <c:dLbls>
          <c:showLegendKey val="0"/>
          <c:showVal val="0"/>
          <c:showCatName val="0"/>
          <c:showSerName val="0"/>
          <c:showPercent val="0"/>
          <c:showBubbleSize val="0"/>
        </c:dLbls>
        <c:axId val="676809280"/>
        <c:axId val="676810720"/>
      </c:areaChart>
      <c:catAx>
        <c:axId val="676809280"/>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76810720"/>
        <c:crosses val="autoZero"/>
        <c:auto val="1"/>
        <c:lblAlgn val="ctr"/>
        <c:lblOffset val="100"/>
        <c:noMultiLvlLbl val="0"/>
      </c:catAx>
      <c:valAx>
        <c:axId val="6768107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76809280"/>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[C2_GreenMed_Healthcare_2023 (2).xlsx]Pivot!PivotTable12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Bar Plot for</a:t>
            </a:r>
            <a:r>
              <a:rPr lang="en-US" baseline="0"/>
              <a:t> Python Processing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Pivot!$B$167</c:f>
              <c:strCache>
                <c:ptCount val="1"/>
                <c:pt idx="0">
                  <c:v>Total</c:v>
                </c:pt>
              </c:strCache>
            </c:strRef>
          </c:tx>
          <c:spPr>
            <a:solidFill>
              <a:schemeClr val="accent1"/>
            </a:solidFill>
            <a:ln>
              <a:noFill/>
            </a:ln>
            <a:effectLst/>
          </c:spPr>
          <c:invertIfNegative val="0"/>
          <c:cat>
            <c:strRef>
              <c:f>Pivot!$A$168:$A$218</c:f>
              <c:strCache>
                <c:ptCount val="50"/>
                <c:pt idx="0">
                  <c:v>01-Jan</c:v>
                </c:pt>
                <c:pt idx="1">
                  <c:v>02-Jan</c:v>
                </c:pt>
                <c:pt idx="2">
                  <c:v>03-Jan</c:v>
                </c:pt>
                <c:pt idx="3">
                  <c:v>04-Jan</c:v>
                </c:pt>
                <c:pt idx="4">
                  <c:v>05-Jan</c:v>
                </c:pt>
                <c:pt idx="5">
                  <c:v>06-Jan</c:v>
                </c:pt>
                <c:pt idx="6">
                  <c:v>07-Jan</c:v>
                </c:pt>
                <c:pt idx="7">
                  <c:v>08-Jan</c:v>
                </c:pt>
                <c:pt idx="8">
                  <c:v>09-Jan</c:v>
                </c:pt>
                <c:pt idx="9">
                  <c:v>10-Jan</c:v>
                </c:pt>
                <c:pt idx="10">
                  <c:v>11-Jan</c:v>
                </c:pt>
                <c:pt idx="11">
                  <c:v>12-Jan</c:v>
                </c:pt>
                <c:pt idx="12">
                  <c:v>13-Jan</c:v>
                </c:pt>
                <c:pt idx="13">
                  <c:v>14-Jan</c:v>
                </c:pt>
                <c:pt idx="14">
                  <c:v>15-Jan</c:v>
                </c:pt>
                <c:pt idx="15">
                  <c:v>16-Jan</c:v>
                </c:pt>
                <c:pt idx="16">
                  <c:v>17-Jan</c:v>
                </c:pt>
                <c:pt idx="17">
                  <c:v>18-Jan</c:v>
                </c:pt>
                <c:pt idx="18">
                  <c:v>19-Jan</c:v>
                </c:pt>
                <c:pt idx="19">
                  <c:v>20-Jan</c:v>
                </c:pt>
                <c:pt idx="20">
                  <c:v>21-Jan</c:v>
                </c:pt>
                <c:pt idx="21">
                  <c:v>22-Jan</c:v>
                </c:pt>
                <c:pt idx="22">
                  <c:v>23-Jan</c:v>
                </c:pt>
                <c:pt idx="23">
                  <c:v>24-Jan</c:v>
                </c:pt>
                <c:pt idx="24">
                  <c:v>25-Jan</c:v>
                </c:pt>
                <c:pt idx="25">
                  <c:v>26-Jan</c:v>
                </c:pt>
                <c:pt idx="26">
                  <c:v>27-Jan</c:v>
                </c:pt>
                <c:pt idx="27">
                  <c:v>28-Jan</c:v>
                </c:pt>
                <c:pt idx="28">
                  <c:v>29-Jan</c:v>
                </c:pt>
                <c:pt idx="29">
                  <c:v>30-Jan</c:v>
                </c:pt>
                <c:pt idx="30">
                  <c:v>31-Jan</c:v>
                </c:pt>
                <c:pt idx="31">
                  <c:v>01-Feb</c:v>
                </c:pt>
                <c:pt idx="32">
                  <c:v>02-Feb</c:v>
                </c:pt>
                <c:pt idx="33">
                  <c:v>03-Feb</c:v>
                </c:pt>
                <c:pt idx="34">
                  <c:v>04-Feb</c:v>
                </c:pt>
                <c:pt idx="35">
                  <c:v>05-Feb</c:v>
                </c:pt>
                <c:pt idx="36">
                  <c:v>06-Feb</c:v>
                </c:pt>
                <c:pt idx="37">
                  <c:v>07-Feb</c:v>
                </c:pt>
                <c:pt idx="38">
                  <c:v>08-Feb</c:v>
                </c:pt>
                <c:pt idx="39">
                  <c:v>09-Feb</c:v>
                </c:pt>
                <c:pt idx="40">
                  <c:v>10-Feb</c:v>
                </c:pt>
                <c:pt idx="41">
                  <c:v>11-Feb</c:v>
                </c:pt>
                <c:pt idx="42">
                  <c:v>12-Feb</c:v>
                </c:pt>
                <c:pt idx="43">
                  <c:v>13-Feb</c:v>
                </c:pt>
                <c:pt idx="44">
                  <c:v>14-Feb</c:v>
                </c:pt>
                <c:pt idx="45">
                  <c:v>15-Feb</c:v>
                </c:pt>
                <c:pt idx="46">
                  <c:v>16-Feb</c:v>
                </c:pt>
                <c:pt idx="47">
                  <c:v>17-Feb</c:v>
                </c:pt>
                <c:pt idx="48">
                  <c:v>18-Feb</c:v>
                </c:pt>
                <c:pt idx="49">
                  <c:v>19-Feb</c:v>
                </c:pt>
              </c:strCache>
            </c:strRef>
          </c:cat>
          <c:val>
            <c:numRef>
              <c:f>Pivot!$B$168:$B$218</c:f>
              <c:numCache>
                <c:formatCode>General</c:formatCode>
                <c:ptCount val="50"/>
                <c:pt idx="0">
                  <c:v>3.9851498643291712</c:v>
                </c:pt>
                <c:pt idx="1">
                  <c:v>1.1445638693969209</c:v>
                </c:pt>
                <c:pt idx="2">
                  <c:v>0.56914740310110645</c:v>
                </c:pt>
                <c:pt idx="3">
                  <c:v>2.5590386865790191</c:v>
                </c:pt>
                <c:pt idx="4">
                  <c:v>2.7873232466355851</c:v>
                </c:pt>
                <c:pt idx="5">
                  <c:v>3.7219559656152841</c:v>
                </c:pt>
                <c:pt idx="6">
                  <c:v>2.701854874648864</c:v>
                </c:pt>
                <c:pt idx="7">
                  <c:v>1.183454924997472</c:v>
                </c:pt>
                <c:pt idx="8">
                  <c:v>4.7561811434151293</c:v>
                </c:pt>
                <c:pt idx="9">
                  <c:v>4.0190160066288838</c:v>
                </c:pt>
                <c:pt idx="10">
                  <c:v>1.4907384894948561</c:v>
                </c:pt>
                <c:pt idx="11">
                  <c:v>2.2086115073944552</c:v>
                </c:pt>
                <c:pt idx="12">
                  <c:v>3.4850538420048829</c:v>
                </c:pt>
                <c:pt idx="13">
                  <c:v>1.9306875262090031</c:v>
                </c:pt>
                <c:pt idx="14">
                  <c:v>1.273347813156402</c:v>
                </c:pt>
                <c:pt idx="15">
                  <c:v>3.0200106264003002</c:v>
                </c:pt>
                <c:pt idx="16">
                  <c:v>0.78849647473614914</c:v>
                </c:pt>
                <c:pt idx="17">
                  <c:v>0.98618610764431691</c:v>
                </c:pt>
                <c:pt idx="18">
                  <c:v>1.2712008360046589</c:v>
                </c:pt>
                <c:pt idx="19">
                  <c:v>0.72006237481283764</c:v>
                </c:pt>
                <c:pt idx="20">
                  <c:v>2.6091309462126571</c:v>
                </c:pt>
                <c:pt idx="21">
                  <c:v>2.7545690643457141</c:v>
                </c:pt>
                <c:pt idx="22">
                  <c:v>0.96334842844567481</c:v>
                </c:pt>
                <c:pt idx="23">
                  <c:v>4.1146672147212513</c:v>
                </c:pt>
                <c:pt idx="24">
                  <c:v>3.701173925524226</c:v>
                </c:pt>
                <c:pt idx="25">
                  <c:v>1.1124823383215341</c:v>
                </c:pt>
                <c:pt idx="26">
                  <c:v>4.7902196121576388</c:v>
                </c:pt>
                <c:pt idx="27">
                  <c:v>0.64284960362313126</c:v>
                </c:pt>
                <c:pt idx="28">
                  <c:v>4.3433119993678613</c:v>
                </c:pt>
                <c:pt idx="29">
                  <c:v>3.5944828029436091</c:v>
                </c:pt>
                <c:pt idx="30">
                  <c:v>2.8971875436750958</c:v>
                </c:pt>
                <c:pt idx="31">
                  <c:v>1.6058382435608869</c:v>
                </c:pt>
                <c:pt idx="32">
                  <c:v>1.796358531243635</c:v>
                </c:pt>
                <c:pt idx="33">
                  <c:v>1.246618179272269</c:v>
                </c:pt>
                <c:pt idx="34">
                  <c:v>2.187414731618754</c:v>
                </c:pt>
                <c:pt idx="35">
                  <c:v>4.2088013290260964</c:v>
                </c:pt>
                <c:pt idx="36">
                  <c:v>4.4897038306943511</c:v>
                </c:pt>
                <c:pt idx="37">
                  <c:v>3.9404972566351582</c:v>
                </c:pt>
                <c:pt idx="38">
                  <c:v>0.6347026412740856</c:v>
                </c:pt>
                <c:pt idx="39">
                  <c:v>4.3296436767765636</c:v>
                </c:pt>
                <c:pt idx="40">
                  <c:v>2.357420970352516</c:v>
                </c:pt>
                <c:pt idx="41">
                  <c:v>0.8166427369609689</c:v>
                </c:pt>
                <c:pt idx="42">
                  <c:v>3.6473361307292711</c:v>
                </c:pt>
                <c:pt idx="43">
                  <c:v>2.4479172616252929</c:v>
                </c:pt>
                <c:pt idx="44">
                  <c:v>4.2685758901060664</c:v>
                </c:pt>
                <c:pt idx="45">
                  <c:v>3.5052926618765552</c:v>
                </c:pt>
                <c:pt idx="46">
                  <c:v>2.2066413896916268</c:v>
                </c:pt>
                <c:pt idx="47">
                  <c:v>3.3332675205900508</c:v>
                </c:pt>
                <c:pt idx="48">
                  <c:v>2.3677515804380018</c:v>
                </c:pt>
                <c:pt idx="49">
                  <c:v>3.1431251890060841</c:v>
                </c:pt>
              </c:numCache>
            </c:numRef>
          </c:val>
          <c:extLst>
            <c:ext xmlns:c16="http://schemas.microsoft.com/office/drawing/2014/chart" uri="{C3380CC4-5D6E-409C-BE32-E72D297353CC}">
              <c16:uniqueId val="{00000000-E1AC-4AE7-B16E-A579CC329C0C}"/>
            </c:ext>
          </c:extLst>
        </c:ser>
        <c:dLbls>
          <c:showLegendKey val="0"/>
          <c:showVal val="0"/>
          <c:showCatName val="0"/>
          <c:showSerName val="0"/>
          <c:showPercent val="0"/>
          <c:showBubbleSize val="0"/>
        </c:dLbls>
        <c:gapWidth val="219"/>
        <c:overlap val="-27"/>
        <c:axId val="685304512"/>
        <c:axId val="685301272"/>
      </c:barChart>
      <c:catAx>
        <c:axId val="685304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301272"/>
        <c:crosses val="autoZero"/>
        <c:auto val="1"/>
        <c:lblAlgn val="ctr"/>
        <c:lblOffset val="100"/>
        <c:noMultiLvlLbl val="0"/>
      </c:catAx>
      <c:valAx>
        <c:axId val="6853012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53045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[C2_GreenMed_Healthcare_2023 (2).xlsx]Pivot!PivotTable14</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Area Plot for Tableau Processing Time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pivotFmt>
      <c:pivotFmt>
        <c:idx val="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areaChart>
        <c:grouping val="standard"/>
        <c:varyColors val="0"/>
        <c:ser>
          <c:idx val="0"/>
          <c:order val="0"/>
          <c:tx>
            <c:strRef>
              <c:f>Pivot!$B$222</c:f>
              <c:strCache>
                <c:ptCount val="1"/>
                <c:pt idx="0">
                  <c:v>Total</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dLbls>
            <c:delete val="1"/>
          </c:dLbls>
          <c:cat>
            <c:strRef>
              <c:f>Pivot!$A$223:$A$273</c:f>
              <c:strCache>
                <c:ptCount val="50"/>
                <c:pt idx="0">
                  <c:v>01-Jan</c:v>
                </c:pt>
                <c:pt idx="1">
                  <c:v>02-Jan</c:v>
                </c:pt>
                <c:pt idx="2">
                  <c:v>03-Jan</c:v>
                </c:pt>
                <c:pt idx="3">
                  <c:v>04-Jan</c:v>
                </c:pt>
                <c:pt idx="4">
                  <c:v>05-Jan</c:v>
                </c:pt>
                <c:pt idx="5">
                  <c:v>06-Jan</c:v>
                </c:pt>
                <c:pt idx="6">
                  <c:v>07-Jan</c:v>
                </c:pt>
                <c:pt idx="7">
                  <c:v>08-Jan</c:v>
                </c:pt>
                <c:pt idx="8">
                  <c:v>09-Jan</c:v>
                </c:pt>
                <c:pt idx="9">
                  <c:v>10-Jan</c:v>
                </c:pt>
                <c:pt idx="10">
                  <c:v>11-Jan</c:v>
                </c:pt>
                <c:pt idx="11">
                  <c:v>12-Jan</c:v>
                </c:pt>
                <c:pt idx="12">
                  <c:v>13-Jan</c:v>
                </c:pt>
                <c:pt idx="13">
                  <c:v>14-Jan</c:v>
                </c:pt>
                <c:pt idx="14">
                  <c:v>15-Jan</c:v>
                </c:pt>
                <c:pt idx="15">
                  <c:v>16-Jan</c:v>
                </c:pt>
                <c:pt idx="16">
                  <c:v>17-Jan</c:v>
                </c:pt>
                <c:pt idx="17">
                  <c:v>18-Jan</c:v>
                </c:pt>
                <c:pt idx="18">
                  <c:v>19-Jan</c:v>
                </c:pt>
                <c:pt idx="19">
                  <c:v>20-Jan</c:v>
                </c:pt>
                <c:pt idx="20">
                  <c:v>21-Jan</c:v>
                </c:pt>
                <c:pt idx="21">
                  <c:v>22-Jan</c:v>
                </c:pt>
                <c:pt idx="22">
                  <c:v>23-Jan</c:v>
                </c:pt>
                <c:pt idx="23">
                  <c:v>24-Jan</c:v>
                </c:pt>
                <c:pt idx="24">
                  <c:v>25-Jan</c:v>
                </c:pt>
                <c:pt idx="25">
                  <c:v>26-Jan</c:v>
                </c:pt>
                <c:pt idx="26">
                  <c:v>27-Jan</c:v>
                </c:pt>
                <c:pt idx="27">
                  <c:v>28-Jan</c:v>
                </c:pt>
                <c:pt idx="28">
                  <c:v>29-Jan</c:v>
                </c:pt>
                <c:pt idx="29">
                  <c:v>30-Jan</c:v>
                </c:pt>
                <c:pt idx="30">
                  <c:v>31-Jan</c:v>
                </c:pt>
                <c:pt idx="31">
                  <c:v>01-Feb</c:v>
                </c:pt>
                <c:pt idx="32">
                  <c:v>02-Feb</c:v>
                </c:pt>
                <c:pt idx="33">
                  <c:v>03-Feb</c:v>
                </c:pt>
                <c:pt idx="34">
                  <c:v>04-Feb</c:v>
                </c:pt>
                <c:pt idx="35">
                  <c:v>05-Feb</c:v>
                </c:pt>
                <c:pt idx="36">
                  <c:v>06-Feb</c:v>
                </c:pt>
                <c:pt idx="37">
                  <c:v>07-Feb</c:v>
                </c:pt>
                <c:pt idx="38">
                  <c:v>08-Feb</c:v>
                </c:pt>
                <c:pt idx="39">
                  <c:v>09-Feb</c:v>
                </c:pt>
                <c:pt idx="40">
                  <c:v>10-Feb</c:v>
                </c:pt>
                <c:pt idx="41">
                  <c:v>11-Feb</c:v>
                </c:pt>
                <c:pt idx="42">
                  <c:v>12-Feb</c:v>
                </c:pt>
                <c:pt idx="43">
                  <c:v>13-Feb</c:v>
                </c:pt>
                <c:pt idx="44">
                  <c:v>14-Feb</c:v>
                </c:pt>
                <c:pt idx="45">
                  <c:v>15-Feb</c:v>
                </c:pt>
                <c:pt idx="46">
                  <c:v>16-Feb</c:v>
                </c:pt>
                <c:pt idx="47">
                  <c:v>17-Feb</c:v>
                </c:pt>
                <c:pt idx="48">
                  <c:v>18-Feb</c:v>
                </c:pt>
                <c:pt idx="49">
                  <c:v>19-Feb</c:v>
                </c:pt>
              </c:strCache>
            </c:strRef>
          </c:cat>
          <c:val>
            <c:numRef>
              <c:f>Pivot!$B$223:$B$273</c:f>
              <c:numCache>
                <c:formatCode>General</c:formatCode>
                <c:ptCount val="50"/>
                <c:pt idx="0">
                  <c:v>2.268954171632009</c:v>
                </c:pt>
                <c:pt idx="1">
                  <c:v>2.5261128726743798</c:v>
                </c:pt>
                <c:pt idx="2">
                  <c:v>1.1554779065256</c:v>
                </c:pt>
                <c:pt idx="3">
                  <c:v>2.835981413219971</c:v>
                </c:pt>
                <c:pt idx="4">
                  <c:v>0.7925723743049744</c:v>
                </c:pt>
                <c:pt idx="5">
                  <c:v>3.1390610866247508</c:v>
                </c:pt>
                <c:pt idx="6">
                  <c:v>3.1803418471554612</c:v>
                </c:pt>
                <c:pt idx="7">
                  <c:v>3.8491111812283938</c:v>
                </c:pt>
                <c:pt idx="8">
                  <c:v>3.0083973565233362</c:v>
                </c:pt>
                <c:pt idx="9">
                  <c:v>2.988376574120799</c:v>
                </c:pt>
                <c:pt idx="10">
                  <c:v>3.8857224667843671</c:v>
                </c:pt>
                <c:pt idx="11">
                  <c:v>4.2497817305423506</c:v>
                </c:pt>
                <c:pt idx="12">
                  <c:v>2.2612807184739121</c:v>
                </c:pt>
                <c:pt idx="13">
                  <c:v>3.1579667755419831</c:v>
                </c:pt>
                <c:pt idx="14">
                  <c:v>1.163643085576691</c:v>
                </c:pt>
                <c:pt idx="15">
                  <c:v>3.4280347283769541</c:v>
                </c:pt>
                <c:pt idx="16">
                  <c:v>1.8650377349657039</c:v>
                </c:pt>
                <c:pt idx="17">
                  <c:v>2.6869849120674321</c:v>
                </c:pt>
                <c:pt idx="18">
                  <c:v>0.75317903234662897</c:v>
                </c:pt>
                <c:pt idx="19">
                  <c:v>4.1094108786444403</c:v>
                </c:pt>
                <c:pt idx="20">
                  <c:v>2.3959943598295679</c:v>
                </c:pt>
                <c:pt idx="21">
                  <c:v>2.1625126086525741</c:v>
                </c:pt>
                <c:pt idx="22">
                  <c:v>4.5941277167557839</c:v>
                </c:pt>
                <c:pt idx="23">
                  <c:v>2.8206208560764172</c:v>
                </c:pt>
                <c:pt idx="24">
                  <c:v>2.6843604865495059</c:v>
                </c:pt>
                <c:pt idx="25">
                  <c:v>0.75132715590032451</c:v>
                </c:pt>
                <c:pt idx="26">
                  <c:v>4.4380554659067677</c:v>
                </c:pt>
                <c:pt idx="27">
                  <c:v>3.9974487469564979</c:v>
                </c:pt>
                <c:pt idx="28">
                  <c:v>1.8929445198859061</c:v>
                </c:pt>
                <c:pt idx="29">
                  <c:v>3.2249350380800901</c:v>
                </c:pt>
                <c:pt idx="30">
                  <c:v>1.625230841773682</c:v>
                </c:pt>
                <c:pt idx="31">
                  <c:v>3.0690055279214699</c:v>
                </c:pt>
                <c:pt idx="32">
                  <c:v>0.7528903795358044</c:v>
                </c:pt>
                <c:pt idx="33">
                  <c:v>2.9860931844520091</c:v>
                </c:pt>
                <c:pt idx="34">
                  <c:v>3.9074161154025839</c:v>
                </c:pt>
                <c:pt idx="35">
                  <c:v>0.88977815039254793</c:v>
                </c:pt>
                <c:pt idx="36">
                  <c:v>2.8232516526332549</c:v>
                </c:pt>
                <c:pt idx="37">
                  <c:v>2.719609549844384</c:v>
                </c:pt>
                <c:pt idx="38">
                  <c:v>2.363791084103386</c:v>
                </c:pt>
                <c:pt idx="39">
                  <c:v>1.9430588600357861</c:v>
                </c:pt>
                <c:pt idx="40">
                  <c:v>3.7814754049693819</c:v>
                </c:pt>
                <c:pt idx="41">
                  <c:v>2.0121766659368312</c:v>
                </c:pt>
                <c:pt idx="42">
                  <c:v>3.6821306404264211</c:v>
                </c:pt>
                <c:pt idx="43">
                  <c:v>4.4717734349059128</c:v>
                </c:pt>
                <c:pt idx="44">
                  <c:v>3.106261276489775</c:v>
                </c:pt>
                <c:pt idx="45">
                  <c:v>4.5868365482903251</c:v>
                </c:pt>
                <c:pt idx="46">
                  <c:v>1.8964072160769929</c:v>
                </c:pt>
                <c:pt idx="47">
                  <c:v>4.9372338457498479</c:v>
                </c:pt>
                <c:pt idx="48">
                  <c:v>3.4990808876304529</c:v>
                </c:pt>
                <c:pt idx="49">
                  <c:v>4.1926743072614929</c:v>
                </c:pt>
              </c:numCache>
            </c:numRef>
          </c:val>
          <c:extLst>
            <c:ext xmlns:c16="http://schemas.microsoft.com/office/drawing/2014/chart" uri="{C3380CC4-5D6E-409C-BE32-E72D297353CC}">
              <c16:uniqueId val="{00000000-2DE9-45BB-A506-59F1081773BF}"/>
            </c:ext>
          </c:extLst>
        </c:ser>
        <c:dLbls>
          <c:showLegendKey val="0"/>
          <c:showVal val="1"/>
          <c:showCatName val="0"/>
          <c:showSerName val="0"/>
          <c:showPercent val="0"/>
          <c:showBubbleSize val="0"/>
        </c:dLbls>
        <c:axId val="685063976"/>
        <c:axId val="685065056"/>
      </c:areaChart>
      <c:catAx>
        <c:axId val="68506397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685065056"/>
        <c:crosses val="autoZero"/>
        <c:auto val="1"/>
        <c:lblAlgn val="ctr"/>
        <c:lblOffset val="100"/>
        <c:noMultiLvlLbl val="0"/>
      </c:catAx>
      <c:valAx>
        <c:axId val="68506505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685063976"/>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Scatter Plot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strRef>
              <c:f>Dataset!$C$1</c:f>
              <c:strCache>
                <c:ptCount val="1"/>
                <c:pt idx="0">
                  <c:v>Spark_ProcessingTime</c:v>
                </c:pt>
              </c:strCache>
            </c:strRef>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Dataset!$B$2:$B$51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Dataset!$C$2:$C$51</c:f>
              <c:numCache>
                <c:formatCode>General</c:formatCode>
                <c:ptCount val="50"/>
                <c:pt idx="0">
                  <c:v>2.0184395862358029</c:v>
                </c:pt>
                <c:pt idx="1">
                  <c:v>0.92240508543644983</c:v>
                </c:pt>
                <c:pt idx="2">
                  <c:v>1.843993791774617</c:v>
                </c:pt>
                <c:pt idx="3">
                  <c:v>3.3475388567939648</c:v>
                </c:pt>
                <c:pt idx="4">
                  <c:v>2.751179646976559</c:v>
                </c:pt>
                <c:pt idx="5">
                  <c:v>2.2277536812817869</c:v>
                </c:pt>
                <c:pt idx="6">
                  <c:v>2.0754193860496941</c:v>
                </c:pt>
                <c:pt idx="7">
                  <c:v>1.132140737593414</c:v>
                </c:pt>
                <c:pt idx="8">
                  <c:v>4.3433542855370462</c:v>
                </c:pt>
                <c:pt idx="9">
                  <c:v>2.9164525521946638</c:v>
                </c:pt>
                <c:pt idx="10">
                  <c:v>4.7001444478624341</c:v>
                </c:pt>
                <c:pt idx="11">
                  <c:v>3.1967620756120758</c:v>
                </c:pt>
                <c:pt idx="12">
                  <c:v>4.4529928015496463</c:v>
                </c:pt>
                <c:pt idx="13">
                  <c:v>3.2123748418465432</c:v>
                </c:pt>
                <c:pt idx="14">
                  <c:v>2.59598527714228</c:v>
                </c:pt>
                <c:pt idx="15">
                  <c:v>1.1261036172923651</c:v>
                </c:pt>
                <c:pt idx="16">
                  <c:v>4.2678416849156768</c:v>
                </c:pt>
                <c:pt idx="17">
                  <c:v>4.9228482003966576</c:v>
                </c:pt>
                <c:pt idx="18">
                  <c:v>1.306268252611049</c:v>
                </c:pt>
                <c:pt idx="19">
                  <c:v>2.6606830778606749</c:v>
                </c:pt>
                <c:pt idx="20">
                  <c:v>2.556471354484553</c:v>
                </c:pt>
                <c:pt idx="21">
                  <c:v>4.8635378797051478</c:v>
                </c:pt>
                <c:pt idx="22">
                  <c:v>1.196902516203739</c:v>
                </c:pt>
                <c:pt idx="23">
                  <c:v>3.8205680863897209</c:v>
                </c:pt>
                <c:pt idx="24">
                  <c:v>2.719321348547993</c:v>
                </c:pt>
                <c:pt idx="25">
                  <c:v>0.87357536671652802</c:v>
                </c:pt>
                <c:pt idx="26">
                  <c:v>3.4396380863872982</c:v>
                </c:pt>
                <c:pt idx="27">
                  <c:v>2.4603172018134498</c:v>
                </c:pt>
                <c:pt idx="28">
                  <c:v>4.815070853621112</c:v>
                </c:pt>
                <c:pt idx="29">
                  <c:v>3.3964692399347172</c:v>
                </c:pt>
                <c:pt idx="30">
                  <c:v>1.4389746879484799</c:v>
                </c:pt>
                <c:pt idx="31">
                  <c:v>4.2815434509972867</c:v>
                </c:pt>
                <c:pt idx="32">
                  <c:v>2.7753174980618098</c:v>
                </c:pt>
                <c:pt idx="33">
                  <c:v>2.7426410841137621</c:v>
                </c:pt>
                <c:pt idx="34">
                  <c:v>1.4295280019481229</c:v>
                </c:pt>
                <c:pt idx="35">
                  <c:v>3.949908479913725</c:v>
                </c:pt>
                <c:pt idx="36">
                  <c:v>4.7232290248561926</c:v>
                </c:pt>
                <c:pt idx="37">
                  <c:v>3.9879844402287619</c:v>
                </c:pt>
                <c:pt idx="38">
                  <c:v>4.6196316514071798</c:v>
                </c:pt>
                <c:pt idx="39">
                  <c:v>0.68393960384043584</c:v>
                </c:pt>
                <c:pt idx="40">
                  <c:v>2.315944766963506</c:v>
                </c:pt>
                <c:pt idx="41">
                  <c:v>4.9791412880022294</c:v>
                </c:pt>
                <c:pt idx="42">
                  <c:v>0.84280975202102226</c:v>
                </c:pt>
                <c:pt idx="43">
                  <c:v>4.6714151419528909</c:v>
                </c:pt>
                <c:pt idx="44">
                  <c:v>2.6195366603280301</c:v>
                </c:pt>
                <c:pt idx="45">
                  <c:v>1.8753941010506701</c:v>
                </c:pt>
                <c:pt idx="46">
                  <c:v>4.7831548750711201</c:v>
                </c:pt>
                <c:pt idx="47">
                  <c:v>3.5555196814233669</c:v>
                </c:pt>
                <c:pt idx="48">
                  <c:v>1.519074409040766</c:v>
                </c:pt>
                <c:pt idx="49">
                  <c:v>2.6537000266395392</c:v>
                </c:pt>
              </c:numCache>
            </c:numRef>
          </c:yVal>
          <c:smooth val="0"/>
          <c:extLst>
            <c:ext xmlns:c16="http://schemas.microsoft.com/office/drawing/2014/chart" uri="{C3380CC4-5D6E-409C-BE32-E72D297353CC}">
              <c16:uniqueId val="{00000000-53D1-4260-BDB9-998C0EB33351}"/>
            </c:ext>
          </c:extLst>
        </c:ser>
        <c:ser>
          <c:idx val="1"/>
          <c:order val="1"/>
          <c:tx>
            <c:strRef>
              <c:f>Dataset!$D$1</c:f>
              <c:strCache>
                <c:ptCount val="1"/>
                <c:pt idx="0">
                  <c:v>R_ProcessingTime</c:v>
                </c:pt>
              </c:strCache>
            </c:strRef>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cap="rnd">
                <a:solidFill>
                  <a:schemeClr val="accent2"/>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Dataset!$B$2:$B$51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Dataset!$D$2:$D$51</c:f>
              <c:numCache>
                <c:formatCode>General</c:formatCode>
                <c:ptCount val="50"/>
                <c:pt idx="0">
                  <c:v>2.4867112509903642</c:v>
                </c:pt>
                <c:pt idx="1">
                  <c:v>1.8644620727557051</c:v>
                </c:pt>
                <c:pt idx="2">
                  <c:v>3.380302382635342</c:v>
                </c:pt>
                <c:pt idx="3">
                  <c:v>2.2600152416718728</c:v>
                </c:pt>
                <c:pt idx="4">
                  <c:v>2.606585689034425</c:v>
                </c:pt>
                <c:pt idx="5">
                  <c:v>0.9709529665814538</c:v>
                </c:pt>
                <c:pt idx="6">
                  <c:v>3.7068075002241989</c:v>
                </c:pt>
                <c:pt idx="7">
                  <c:v>3.113446462874716</c:v>
                </c:pt>
                <c:pt idx="8">
                  <c:v>1.2663354035951999</c:v>
                </c:pt>
                <c:pt idx="9">
                  <c:v>1.861532269916472</c:v>
                </c:pt>
                <c:pt idx="10">
                  <c:v>0.77342699560661166</c:v>
                </c:pt>
                <c:pt idx="11">
                  <c:v>3.4834902932881362</c:v>
                </c:pt>
                <c:pt idx="12">
                  <c:v>3.7238866261825909</c:v>
                </c:pt>
                <c:pt idx="13">
                  <c:v>2.6589958542853238</c:v>
                </c:pt>
                <c:pt idx="14">
                  <c:v>0.66433712351625585</c:v>
                </c:pt>
                <c:pt idx="15">
                  <c:v>4.8674517150910646</c:v>
                </c:pt>
                <c:pt idx="16">
                  <c:v>1.6799504589652601</c:v>
                </c:pt>
                <c:pt idx="17">
                  <c:v>0.88448913767870052</c:v>
                </c:pt>
                <c:pt idx="18">
                  <c:v>3.469964391350683</c:v>
                </c:pt>
                <c:pt idx="19">
                  <c:v>0.6947534268159794</c:v>
                </c:pt>
                <c:pt idx="20">
                  <c:v>4.32995060644609</c:v>
                </c:pt>
                <c:pt idx="21">
                  <c:v>1.8424605941600869</c:v>
                </c:pt>
                <c:pt idx="22">
                  <c:v>1.8537008758454041</c:v>
                </c:pt>
                <c:pt idx="23">
                  <c:v>4.6495453120695416</c:v>
                </c:pt>
                <c:pt idx="24">
                  <c:v>3.9283659056405802</c:v>
                </c:pt>
                <c:pt idx="25">
                  <c:v>2.5389763951707138</c:v>
                </c:pt>
                <c:pt idx="26">
                  <c:v>1.2394235933287281</c:v>
                </c:pt>
                <c:pt idx="27">
                  <c:v>4.6752976674327638</c:v>
                </c:pt>
                <c:pt idx="28">
                  <c:v>3.5045909693123818</c:v>
                </c:pt>
                <c:pt idx="29">
                  <c:v>1.414875531502223</c:v>
                </c:pt>
                <c:pt idx="30">
                  <c:v>2.3350056042524749</c:v>
                </c:pt>
                <c:pt idx="31">
                  <c:v>0.82910126791674033</c:v>
                </c:pt>
                <c:pt idx="32">
                  <c:v>2.724856752457482</c:v>
                </c:pt>
                <c:pt idx="33">
                  <c:v>2.890685793574864</c:v>
                </c:pt>
                <c:pt idx="34">
                  <c:v>3.3426670626015058</c:v>
                </c:pt>
                <c:pt idx="35">
                  <c:v>2.8467277622670828</c:v>
                </c:pt>
                <c:pt idx="36">
                  <c:v>2.606046777513038</c:v>
                </c:pt>
                <c:pt idx="37">
                  <c:v>4.1185905986782876</c:v>
                </c:pt>
                <c:pt idx="38">
                  <c:v>4.5975972289404794</c:v>
                </c:pt>
                <c:pt idx="39">
                  <c:v>1.246977744297582</c:v>
                </c:pt>
                <c:pt idx="40">
                  <c:v>0.71882983137164391</c:v>
                </c:pt>
                <c:pt idx="41">
                  <c:v>3.3403889710180632</c:v>
                </c:pt>
                <c:pt idx="42">
                  <c:v>4.7591395287252274</c:v>
                </c:pt>
                <c:pt idx="43">
                  <c:v>2.3531152346739761</c:v>
                </c:pt>
                <c:pt idx="44">
                  <c:v>4.5027923893861281</c:v>
                </c:pt>
                <c:pt idx="45">
                  <c:v>2.8897713608098621</c:v>
                </c:pt>
                <c:pt idx="46">
                  <c:v>2.970652495663328</c:v>
                </c:pt>
                <c:pt idx="47">
                  <c:v>3.725938393620825</c:v>
                </c:pt>
                <c:pt idx="48">
                  <c:v>4.7743018516645046</c:v>
                </c:pt>
                <c:pt idx="49">
                  <c:v>3.7709446695125122</c:v>
                </c:pt>
              </c:numCache>
            </c:numRef>
          </c:yVal>
          <c:smooth val="0"/>
          <c:extLst>
            <c:ext xmlns:c16="http://schemas.microsoft.com/office/drawing/2014/chart" uri="{C3380CC4-5D6E-409C-BE32-E72D297353CC}">
              <c16:uniqueId val="{00000001-53D1-4260-BDB9-998C0EB33351}"/>
            </c:ext>
          </c:extLst>
        </c:ser>
        <c:ser>
          <c:idx val="2"/>
          <c:order val="2"/>
          <c:tx>
            <c:strRef>
              <c:f>Dataset!$E$1</c:f>
              <c:strCache>
                <c:ptCount val="1"/>
                <c:pt idx="0">
                  <c:v>Python_ProcessingTime</c:v>
                </c:pt>
              </c:strCache>
            </c:strRef>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cap="rnd">
                <a:solidFill>
                  <a:schemeClr val="accent3"/>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Dataset!$B$2:$B$51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Dataset!$E$2:$E$51</c:f>
              <c:numCache>
                <c:formatCode>General</c:formatCode>
                <c:ptCount val="50"/>
                <c:pt idx="0">
                  <c:v>3.9851498643291712</c:v>
                </c:pt>
                <c:pt idx="1">
                  <c:v>1.1445638693969209</c:v>
                </c:pt>
                <c:pt idx="2">
                  <c:v>0.56914740310110645</c:v>
                </c:pt>
                <c:pt idx="3">
                  <c:v>2.5590386865790191</c:v>
                </c:pt>
                <c:pt idx="4">
                  <c:v>2.7873232466355851</c:v>
                </c:pt>
                <c:pt idx="5">
                  <c:v>3.7219559656152841</c:v>
                </c:pt>
                <c:pt idx="6">
                  <c:v>2.701854874648864</c:v>
                </c:pt>
                <c:pt idx="7">
                  <c:v>1.183454924997472</c:v>
                </c:pt>
                <c:pt idx="8">
                  <c:v>4.7561811434151293</c:v>
                </c:pt>
                <c:pt idx="9">
                  <c:v>4.0190160066288838</c:v>
                </c:pt>
                <c:pt idx="10">
                  <c:v>1.4907384894948561</c:v>
                </c:pt>
                <c:pt idx="11">
                  <c:v>2.2086115073944552</c:v>
                </c:pt>
                <c:pt idx="12">
                  <c:v>3.4850538420048829</c:v>
                </c:pt>
                <c:pt idx="13">
                  <c:v>1.9306875262090031</c:v>
                </c:pt>
                <c:pt idx="14">
                  <c:v>1.273347813156402</c:v>
                </c:pt>
                <c:pt idx="15">
                  <c:v>3.0200106264003002</c:v>
                </c:pt>
                <c:pt idx="16">
                  <c:v>0.78849647473614914</c:v>
                </c:pt>
                <c:pt idx="17">
                  <c:v>0.98618610764431691</c:v>
                </c:pt>
                <c:pt idx="18">
                  <c:v>1.2712008360046589</c:v>
                </c:pt>
                <c:pt idx="19">
                  <c:v>0.72006237481283764</c:v>
                </c:pt>
                <c:pt idx="20">
                  <c:v>2.6091309462126571</c:v>
                </c:pt>
                <c:pt idx="21">
                  <c:v>2.7545690643457141</c:v>
                </c:pt>
                <c:pt idx="22">
                  <c:v>0.96334842844567481</c:v>
                </c:pt>
                <c:pt idx="23">
                  <c:v>4.1146672147212513</c:v>
                </c:pt>
                <c:pt idx="24">
                  <c:v>3.701173925524226</c:v>
                </c:pt>
                <c:pt idx="25">
                  <c:v>1.1124823383215341</c:v>
                </c:pt>
                <c:pt idx="26">
                  <c:v>4.7902196121576388</c:v>
                </c:pt>
                <c:pt idx="27">
                  <c:v>0.64284960362313126</c:v>
                </c:pt>
                <c:pt idx="28">
                  <c:v>4.3433119993678613</c:v>
                </c:pt>
                <c:pt idx="29">
                  <c:v>3.5944828029436091</c:v>
                </c:pt>
                <c:pt idx="30">
                  <c:v>2.8971875436750958</c:v>
                </c:pt>
                <c:pt idx="31">
                  <c:v>1.6058382435608869</c:v>
                </c:pt>
                <c:pt idx="32">
                  <c:v>1.796358531243635</c:v>
                </c:pt>
                <c:pt idx="33">
                  <c:v>1.246618179272269</c:v>
                </c:pt>
                <c:pt idx="34">
                  <c:v>2.187414731618754</c:v>
                </c:pt>
                <c:pt idx="35">
                  <c:v>4.2088013290260964</c:v>
                </c:pt>
                <c:pt idx="36">
                  <c:v>4.4897038306943511</c:v>
                </c:pt>
                <c:pt idx="37">
                  <c:v>3.9404972566351582</c:v>
                </c:pt>
                <c:pt idx="38">
                  <c:v>0.6347026412740856</c:v>
                </c:pt>
                <c:pt idx="39">
                  <c:v>4.3296436767765636</c:v>
                </c:pt>
                <c:pt idx="40">
                  <c:v>2.357420970352516</c:v>
                </c:pt>
                <c:pt idx="41">
                  <c:v>0.8166427369609689</c:v>
                </c:pt>
                <c:pt idx="42">
                  <c:v>3.6473361307292711</c:v>
                </c:pt>
                <c:pt idx="43">
                  <c:v>2.4479172616252929</c:v>
                </c:pt>
                <c:pt idx="44">
                  <c:v>4.2685758901060664</c:v>
                </c:pt>
                <c:pt idx="45">
                  <c:v>3.5052926618765552</c:v>
                </c:pt>
                <c:pt idx="46">
                  <c:v>2.2066413896916268</c:v>
                </c:pt>
                <c:pt idx="47">
                  <c:v>3.3332675205900508</c:v>
                </c:pt>
                <c:pt idx="48">
                  <c:v>2.3677515804380018</c:v>
                </c:pt>
                <c:pt idx="49">
                  <c:v>3.1431251890060841</c:v>
                </c:pt>
              </c:numCache>
            </c:numRef>
          </c:yVal>
          <c:smooth val="0"/>
          <c:extLst>
            <c:ext xmlns:c16="http://schemas.microsoft.com/office/drawing/2014/chart" uri="{C3380CC4-5D6E-409C-BE32-E72D297353CC}">
              <c16:uniqueId val="{00000002-53D1-4260-BDB9-998C0EB33351}"/>
            </c:ext>
          </c:extLst>
        </c:ser>
        <c:ser>
          <c:idx val="3"/>
          <c:order val="3"/>
          <c:tx>
            <c:strRef>
              <c:f>Dataset!$F$1</c:f>
              <c:strCache>
                <c:ptCount val="1"/>
                <c:pt idx="0">
                  <c:v>Tableau_ProcessingTime</c:v>
                </c:pt>
              </c:strCache>
            </c:strRef>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w="9525" cap="rnd">
                <a:solidFill>
                  <a:schemeClr val="accent4"/>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Dataset!$B$2:$B$51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Dataset!$F$2:$F$51</c:f>
              <c:numCache>
                <c:formatCode>General</c:formatCode>
                <c:ptCount val="50"/>
                <c:pt idx="0">
                  <c:v>2.268954171632009</c:v>
                </c:pt>
                <c:pt idx="1">
                  <c:v>2.5261128726743798</c:v>
                </c:pt>
                <c:pt idx="2">
                  <c:v>1.1554779065256</c:v>
                </c:pt>
                <c:pt idx="3">
                  <c:v>2.835981413219971</c:v>
                </c:pt>
                <c:pt idx="4">
                  <c:v>0.7925723743049744</c:v>
                </c:pt>
                <c:pt idx="5">
                  <c:v>3.1390610866247508</c:v>
                </c:pt>
                <c:pt idx="6">
                  <c:v>3.1803418471554612</c:v>
                </c:pt>
                <c:pt idx="7">
                  <c:v>3.8491111812283938</c:v>
                </c:pt>
                <c:pt idx="8">
                  <c:v>3.0083973565233362</c:v>
                </c:pt>
                <c:pt idx="9">
                  <c:v>2.988376574120799</c:v>
                </c:pt>
                <c:pt idx="10">
                  <c:v>3.8857224667843671</c:v>
                </c:pt>
                <c:pt idx="11">
                  <c:v>4.2497817305423506</c:v>
                </c:pt>
                <c:pt idx="12">
                  <c:v>2.2612807184739121</c:v>
                </c:pt>
                <c:pt idx="13">
                  <c:v>3.1579667755419831</c:v>
                </c:pt>
                <c:pt idx="14">
                  <c:v>1.163643085576691</c:v>
                </c:pt>
                <c:pt idx="15">
                  <c:v>3.4280347283769541</c:v>
                </c:pt>
                <c:pt idx="16">
                  <c:v>1.8650377349657039</c:v>
                </c:pt>
                <c:pt idx="17">
                  <c:v>2.6869849120674321</c:v>
                </c:pt>
                <c:pt idx="18">
                  <c:v>0.75317903234662897</c:v>
                </c:pt>
                <c:pt idx="19">
                  <c:v>4.1094108786444403</c:v>
                </c:pt>
                <c:pt idx="20">
                  <c:v>2.3959943598295679</c:v>
                </c:pt>
                <c:pt idx="21">
                  <c:v>2.1625126086525741</c:v>
                </c:pt>
                <c:pt idx="22">
                  <c:v>4.5941277167557839</c:v>
                </c:pt>
                <c:pt idx="23">
                  <c:v>2.8206208560764172</c:v>
                </c:pt>
                <c:pt idx="24">
                  <c:v>2.6843604865495059</c:v>
                </c:pt>
                <c:pt idx="25">
                  <c:v>0.75132715590032451</c:v>
                </c:pt>
                <c:pt idx="26">
                  <c:v>4.4380554659067677</c:v>
                </c:pt>
                <c:pt idx="27">
                  <c:v>3.9974487469564979</c:v>
                </c:pt>
                <c:pt idx="28">
                  <c:v>1.8929445198859061</c:v>
                </c:pt>
                <c:pt idx="29">
                  <c:v>3.2249350380800901</c:v>
                </c:pt>
                <c:pt idx="30">
                  <c:v>1.625230841773682</c:v>
                </c:pt>
                <c:pt idx="31">
                  <c:v>3.0690055279214699</c:v>
                </c:pt>
                <c:pt idx="32">
                  <c:v>0.7528903795358044</c:v>
                </c:pt>
                <c:pt idx="33">
                  <c:v>2.9860931844520091</c:v>
                </c:pt>
                <c:pt idx="34">
                  <c:v>3.9074161154025839</c:v>
                </c:pt>
                <c:pt idx="35">
                  <c:v>0.88977815039254793</c:v>
                </c:pt>
                <c:pt idx="36">
                  <c:v>2.8232516526332549</c:v>
                </c:pt>
                <c:pt idx="37">
                  <c:v>2.719609549844384</c:v>
                </c:pt>
                <c:pt idx="38">
                  <c:v>2.363791084103386</c:v>
                </c:pt>
                <c:pt idx="39">
                  <c:v>1.9430588600357861</c:v>
                </c:pt>
                <c:pt idx="40">
                  <c:v>3.7814754049693819</c:v>
                </c:pt>
                <c:pt idx="41">
                  <c:v>2.0121766659368312</c:v>
                </c:pt>
                <c:pt idx="42">
                  <c:v>3.6821306404264211</c:v>
                </c:pt>
                <c:pt idx="43">
                  <c:v>4.4717734349059128</c:v>
                </c:pt>
                <c:pt idx="44">
                  <c:v>3.106261276489775</c:v>
                </c:pt>
                <c:pt idx="45">
                  <c:v>4.5868365482903251</c:v>
                </c:pt>
                <c:pt idx="46">
                  <c:v>1.8964072160769929</c:v>
                </c:pt>
                <c:pt idx="47">
                  <c:v>4.9372338457498479</c:v>
                </c:pt>
                <c:pt idx="48">
                  <c:v>3.4990808876304529</c:v>
                </c:pt>
                <c:pt idx="49">
                  <c:v>4.1926743072614929</c:v>
                </c:pt>
              </c:numCache>
            </c:numRef>
          </c:yVal>
          <c:smooth val="0"/>
          <c:extLst>
            <c:ext xmlns:c16="http://schemas.microsoft.com/office/drawing/2014/chart" uri="{C3380CC4-5D6E-409C-BE32-E72D297353CC}">
              <c16:uniqueId val="{00000003-53D1-4260-BDB9-998C0EB33351}"/>
            </c:ext>
          </c:extLst>
        </c:ser>
        <c:dLbls>
          <c:showLegendKey val="0"/>
          <c:showVal val="0"/>
          <c:showCatName val="0"/>
          <c:showSerName val="0"/>
          <c:showPercent val="0"/>
          <c:showBubbleSize val="0"/>
        </c:dLbls>
        <c:axId val="616991496"/>
        <c:axId val="616991136"/>
      </c:scatterChart>
      <c:valAx>
        <c:axId val="61699149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IN"/>
                  <a:t>Different Tools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16991136"/>
        <c:crosses val="autoZero"/>
        <c:crossBetween val="midCat"/>
      </c:valAx>
      <c:valAx>
        <c:axId val="61699113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IN"/>
                  <a:t>Processing Time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1699149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Scatter Plot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ScatterPlot!$B$1</c:f>
              <c:strCache>
                <c:ptCount val="1"/>
                <c:pt idx="0">
                  <c:v>Tableau_ProcessingTime</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ScatterPlot!$A$2:$A$51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ScatterPlot!$B$2:$B$51</c:f>
              <c:numCache>
                <c:formatCode>General</c:formatCode>
                <c:ptCount val="50"/>
                <c:pt idx="0">
                  <c:v>2.268954171632009</c:v>
                </c:pt>
                <c:pt idx="1">
                  <c:v>2.5261128726743798</c:v>
                </c:pt>
                <c:pt idx="2">
                  <c:v>1.1554779065256</c:v>
                </c:pt>
                <c:pt idx="3">
                  <c:v>2.835981413219971</c:v>
                </c:pt>
                <c:pt idx="4">
                  <c:v>0.7925723743049744</c:v>
                </c:pt>
                <c:pt idx="5">
                  <c:v>3.1390610866247508</c:v>
                </c:pt>
                <c:pt idx="6">
                  <c:v>3.1803418471554612</c:v>
                </c:pt>
                <c:pt idx="7">
                  <c:v>3.8491111812283938</c:v>
                </c:pt>
                <c:pt idx="8">
                  <c:v>3.0083973565233362</c:v>
                </c:pt>
                <c:pt idx="9">
                  <c:v>2.988376574120799</c:v>
                </c:pt>
                <c:pt idx="10">
                  <c:v>3.8857224667843671</c:v>
                </c:pt>
                <c:pt idx="11">
                  <c:v>4.2497817305423506</c:v>
                </c:pt>
                <c:pt idx="12">
                  <c:v>2.2612807184739121</c:v>
                </c:pt>
                <c:pt idx="13">
                  <c:v>3.1579667755419831</c:v>
                </c:pt>
                <c:pt idx="14">
                  <c:v>1.163643085576691</c:v>
                </c:pt>
                <c:pt idx="15">
                  <c:v>3.4280347283769541</c:v>
                </c:pt>
                <c:pt idx="16">
                  <c:v>1.8650377349657039</c:v>
                </c:pt>
                <c:pt idx="17">
                  <c:v>2.6869849120674321</c:v>
                </c:pt>
                <c:pt idx="18">
                  <c:v>0.75317903234662897</c:v>
                </c:pt>
                <c:pt idx="19">
                  <c:v>4.1094108786444403</c:v>
                </c:pt>
                <c:pt idx="20">
                  <c:v>2.3959943598295679</c:v>
                </c:pt>
                <c:pt idx="21">
                  <c:v>2.1625126086525741</c:v>
                </c:pt>
                <c:pt idx="22">
                  <c:v>4.5941277167557839</c:v>
                </c:pt>
                <c:pt idx="23">
                  <c:v>2.8206208560764172</c:v>
                </c:pt>
                <c:pt idx="24">
                  <c:v>2.6843604865495059</c:v>
                </c:pt>
                <c:pt idx="25">
                  <c:v>0.75132715590032451</c:v>
                </c:pt>
                <c:pt idx="26">
                  <c:v>4.4380554659067677</c:v>
                </c:pt>
                <c:pt idx="27">
                  <c:v>3.9974487469564979</c:v>
                </c:pt>
                <c:pt idx="28">
                  <c:v>1.8929445198859061</c:v>
                </c:pt>
                <c:pt idx="29">
                  <c:v>3.2249350380800901</c:v>
                </c:pt>
                <c:pt idx="30">
                  <c:v>1.625230841773682</c:v>
                </c:pt>
                <c:pt idx="31">
                  <c:v>3.0690055279214699</c:v>
                </c:pt>
                <c:pt idx="32">
                  <c:v>0.7528903795358044</c:v>
                </c:pt>
                <c:pt idx="33">
                  <c:v>2.9860931844520091</c:v>
                </c:pt>
                <c:pt idx="34">
                  <c:v>3.9074161154025839</c:v>
                </c:pt>
                <c:pt idx="35">
                  <c:v>0.88977815039254793</c:v>
                </c:pt>
                <c:pt idx="36">
                  <c:v>2.8232516526332549</c:v>
                </c:pt>
                <c:pt idx="37">
                  <c:v>2.719609549844384</c:v>
                </c:pt>
                <c:pt idx="38">
                  <c:v>2.363791084103386</c:v>
                </c:pt>
                <c:pt idx="39">
                  <c:v>1.9430588600357861</c:v>
                </c:pt>
                <c:pt idx="40">
                  <c:v>3.7814754049693819</c:v>
                </c:pt>
                <c:pt idx="41">
                  <c:v>2.0121766659368312</c:v>
                </c:pt>
                <c:pt idx="42">
                  <c:v>3.6821306404264211</c:v>
                </c:pt>
                <c:pt idx="43">
                  <c:v>4.4717734349059128</c:v>
                </c:pt>
                <c:pt idx="44">
                  <c:v>3.106261276489775</c:v>
                </c:pt>
                <c:pt idx="45">
                  <c:v>4.5868365482903251</c:v>
                </c:pt>
                <c:pt idx="46">
                  <c:v>1.8964072160769929</c:v>
                </c:pt>
                <c:pt idx="47">
                  <c:v>4.9372338457498479</c:v>
                </c:pt>
                <c:pt idx="48">
                  <c:v>3.4990808876304529</c:v>
                </c:pt>
                <c:pt idx="49">
                  <c:v>4.1926743072614929</c:v>
                </c:pt>
              </c:numCache>
            </c:numRef>
          </c:yVal>
          <c:smooth val="0"/>
          <c:extLst>
            <c:ext xmlns:c16="http://schemas.microsoft.com/office/drawing/2014/chart" uri="{C3380CC4-5D6E-409C-BE32-E72D297353CC}">
              <c16:uniqueId val="{00000001-F3A3-4709-A7D4-4B09EF332FC0}"/>
            </c:ext>
          </c:extLst>
        </c:ser>
        <c:dLbls>
          <c:showLegendKey val="0"/>
          <c:showVal val="0"/>
          <c:showCatName val="0"/>
          <c:showSerName val="0"/>
          <c:showPercent val="0"/>
          <c:showBubbleSize val="0"/>
        </c:dLbls>
        <c:axId val="537494520"/>
        <c:axId val="537494160"/>
      </c:scatterChart>
      <c:valAx>
        <c:axId val="5374945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Hadoop</a:t>
                </a:r>
                <a:r>
                  <a:rPr lang="en-IN" baseline="0"/>
                  <a:t> Processing Time</a:t>
                </a:r>
                <a:endParaRPr lang="en-IN"/>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7494160"/>
        <c:crosses val="autoZero"/>
        <c:crossBetween val="midCat"/>
      </c:valAx>
      <c:valAx>
        <c:axId val="537494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Tableau Processing Time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749452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6">
  <a:schemeClr val="accent3"/>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0">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A3B32-893C-4C42-B548-63E2A61E9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16</Pages>
  <Words>3270</Words>
  <Characters>19785</Characters>
  <Application>Microsoft Office Word</Application>
  <DocSecurity>0</DocSecurity>
  <Lines>319</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70</cp:revision>
  <dcterms:created xsi:type="dcterms:W3CDTF">2023-11-20T10:05:00Z</dcterms:created>
  <dcterms:modified xsi:type="dcterms:W3CDTF">2023-11-20T11:59:00Z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f06da78d-520c-420f-8404-09c3470d67e6</vt:lpwstr>
  </property>
</Properties>
</file>