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71469" w14:textId="70E286DB" w:rsidR="00D47D8A" w:rsidRPr="00C365F6" w:rsidRDefault="00D47D8A">
      <w:pPr>
        <w:rPr>
          <w:rFonts w:cs="Arial"/>
        </w:rPr>
      </w:pPr>
    </w:p>
    <w:p w14:paraId="1640C8AC" w14:textId="40FC084A" w:rsidR="00D47D8A" w:rsidRPr="00C365F6" w:rsidRDefault="008F1C67">
      <w:pPr>
        <w:rPr>
          <w:rFonts w:cs="Arial"/>
        </w:rPr>
      </w:pPr>
      <w:r>
        <w:rPr>
          <w:rFonts w:cs="Arial"/>
          <w:noProof/>
        </w:rPr>
        <w:drawing>
          <wp:inline distT="0" distB="0" distL="0" distR="0" wp14:anchorId="366F2881" wp14:editId="3C37BA8A">
            <wp:extent cx="5864860" cy="1518285"/>
            <wp:effectExtent l="0" t="0" r="2540" b="5715"/>
            <wp:docPr id="1926666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4860" cy="1518285"/>
                    </a:xfrm>
                    <a:prstGeom prst="rect">
                      <a:avLst/>
                    </a:prstGeom>
                    <a:noFill/>
                  </pic:spPr>
                </pic:pic>
              </a:graphicData>
            </a:graphic>
          </wp:inline>
        </w:drawing>
      </w:r>
    </w:p>
    <w:p w14:paraId="34083C22" w14:textId="77777777" w:rsidR="00D47D8A" w:rsidRPr="00C365F6" w:rsidRDefault="00D47D8A">
      <w:pPr>
        <w:rPr>
          <w:rFonts w:cs="Arial"/>
        </w:rPr>
      </w:pPr>
    </w:p>
    <w:p w14:paraId="4BFD9E58" w14:textId="77777777" w:rsidR="00D47D8A" w:rsidRPr="00C365F6" w:rsidRDefault="00D47D8A">
      <w:pPr>
        <w:rPr>
          <w:rFonts w:cs="Arial"/>
        </w:rPr>
      </w:pPr>
    </w:p>
    <w:p w14:paraId="024991E5" w14:textId="77777777" w:rsidR="00127257" w:rsidRPr="00C365F6" w:rsidRDefault="00127257">
      <w:pPr>
        <w:rPr>
          <w:rFonts w:cs="Arial"/>
        </w:rPr>
      </w:pPr>
    </w:p>
    <w:p w14:paraId="12F6A8CE" w14:textId="3D15A9D7" w:rsidR="00F709A7" w:rsidRPr="00C365F6" w:rsidRDefault="0027060A" w:rsidP="00F709A7">
      <w:pPr>
        <w:rPr>
          <w:rFonts w:cs="Arial"/>
          <w:b/>
          <w:bCs/>
        </w:rPr>
      </w:pPr>
      <w:r w:rsidRPr="00C365F6">
        <w:rPr>
          <w:rFonts w:cs="Arial"/>
          <w:b/>
          <w:bCs/>
        </w:rPr>
        <w:t xml:space="preserve">Module: </w:t>
      </w:r>
      <w:r w:rsidR="00F709A7" w:rsidRPr="00C365F6">
        <w:rPr>
          <w:rFonts w:cs="Arial"/>
          <w:b/>
          <w:bCs/>
        </w:rPr>
        <w:t xml:space="preserve">Developing </w:t>
      </w:r>
      <w:r w:rsidR="001D3850">
        <w:rPr>
          <w:rFonts w:cs="Arial"/>
          <w:b/>
          <w:bCs/>
        </w:rPr>
        <w:t>A</w:t>
      </w:r>
      <w:r w:rsidR="00F709A7" w:rsidRPr="00C365F6">
        <w:rPr>
          <w:rFonts w:cs="Arial"/>
          <w:b/>
          <w:bCs/>
        </w:rPr>
        <w:t xml:space="preserve">nd Managing Individuals </w:t>
      </w:r>
      <w:r w:rsidR="001D3850">
        <w:rPr>
          <w:rFonts w:cs="Arial"/>
          <w:b/>
          <w:bCs/>
        </w:rPr>
        <w:t>A</w:t>
      </w:r>
      <w:r w:rsidR="00F709A7" w:rsidRPr="00C365F6">
        <w:rPr>
          <w:rFonts w:cs="Arial"/>
          <w:b/>
          <w:bCs/>
        </w:rPr>
        <w:t>nd Teams</w:t>
      </w:r>
    </w:p>
    <w:p w14:paraId="3691BB90" w14:textId="77777777" w:rsidR="00F709A7" w:rsidRPr="00C365F6" w:rsidRDefault="00F709A7" w:rsidP="00F709A7">
      <w:pPr>
        <w:rPr>
          <w:rFonts w:cs="Arial"/>
          <w:b/>
          <w:bCs/>
        </w:rPr>
      </w:pPr>
      <w:r w:rsidRPr="00C365F6">
        <w:rPr>
          <w:rFonts w:cs="Arial"/>
          <w:b/>
          <w:bCs/>
        </w:rPr>
        <w:t>Module Code: LCLM5002</w:t>
      </w:r>
    </w:p>
    <w:p w14:paraId="5EA7F5AA" w14:textId="77777777" w:rsidR="0027060A" w:rsidRPr="00C365F6" w:rsidRDefault="00F709A7" w:rsidP="0027060A">
      <w:pPr>
        <w:rPr>
          <w:rFonts w:cs="Arial"/>
          <w:b/>
          <w:bCs/>
        </w:rPr>
      </w:pPr>
      <w:r w:rsidRPr="00C365F6">
        <w:rPr>
          <w:rFonts w:cs="Arial"/>
          <w:b/>
          <w:bCs/>
        </w:rPr>
        <w:t>Assignment Title: Component 2- Individual Rep -</w:t>
      </w:r>
      <w:r w:rsidR="0027060A" w:rsidRPr="00C365F6">
        <w:rPr>
          <w:rFonts w:cs="Arial"/>
          <w:b/>
          <w:bCs/>
        </w:rPr>
        <w:t xml:space="preserve"> HR Report – Contemporary HR Challenges and Practices</w:t>
      </w:r>
    </w:p>
    <w:p w14:paraId="5D5CB71C" w14:textId="77777777" w:rsidR="00B254F0" w:rsidRPr="00C365F6" w:rsidRDefault="00FC3546">
      <w:pPr>
        <w:rPr>
          <w:rFonts w:cs="Arial"/>
          <w:b/>
          <w:bCs/>
        </w:rPr>
      </w:pPr>
      <w:r w:rsidRPr="00C365F6">
        <w:rPr>
          <w:rFonts w:cs="Arial"/>
          <w:b/>
          <w:bCs/>
        </w:rPr>
        <w:t>Student Name: Huguette Dora Edjangue</w:t>
      </w:r>
    </w:p>
    <w:p w14:paraId="48E987D6" w14:textId="77777777" w:rsidR="00B254F0" w:rsidRPr="00C365F6" w:rsidRDefault="00FC3546">
      <w:pPr>
        <w:rPr>
          <w:rFonts w:cs="Arial"/>
          <w:b/>
          <w:bCs/>
        </w:rPr>
      </w:pPr>
      <w:r w:rsidRPr="00C365F6">
        <w:rPr>
          <w:rFonts w:cs="Arial"/>
          <w:b/>
          <w:bCs/>
        </w:rPr>
        <w:t>Student Number: 2429780</w:t>
      </w:r>
    </w:p>
    <w:p w14:paraId="43F7A8E4" w14:textId="77777777" w:rsidR="00B254F0" w:rsidRPr="00C365F6" w:rsidRDefault="00FC3546">
      <w:pPr>
        <w:rPr>
          <w:rFonts w:cs="Arial"/>
          <w:b/>
          <w:bCs/>
        </w:rPr>
      </w:pPr>
      <w:r w:rsidRPr="00C365F6">
        <w:rPr>
          <w:rFonts w:cs="Arial"/>
          <w:b/>
          <w:bCs/>
        </w:rPr>
        <w:t>Lecturer: Sukhpreet Grewal</w:t>
      </w:r>
    </w:p>
    <w:p w14:paraId="0F16FE36" w14:textId="77777777" w:rsidR="00B254F0" w:rsidRPr="00C365F6" w:rsidRDefault="00FC3546">
      <w:pPr>
        <w:rPr>
          <w:rFonts w:cs="Arial"/>
          <w:b/>
          <w:bCs/>
        </w:rPr>
      </w:pPr>
      <w:r w:rsidRPr="00C365F6">
        <w:rPr>
          <w:rFonts w:cs="Arial"/>
          <w:b/>
          <w:bCs/>
        </w:rPr>
        <w:t>Company: Marks &amp; Spencer plc</w:t>
      </w:r>
    </w:p>
    <w:p w14:paraId="002306C2" w14:textId="77777777" w:rsidR="00B254F0" w:rsidRPr="00C365F6" w:rsidRDefault="00FC3546">
      <w:pPr>
        <w:rPr>
          <w:rFonts w:cs="Arial"/>
        </w:rPr>
      </w:pPr>
      <w:r w:rsidRPr="00C365F6">
        <w:rPr>
          <w:rFonts w:cs="Arial"/>
        </w:rPr>
        <w:br w:type="page"/>
      </w:r>
    </w:p>
    <w:p w14:paraId="5742C090" w14:textId="77777777" w:rsidR="00496C1B" w:rsidRPr="00C365F6" w:rsidRDefault="00496C1B">
      <w:pPr>
        <w:rPr>
          <w:rFonts w:cs="Arial"/>
          <w:b/>
          <w:bCs/>
        </w:rPr>
      </w:pPr>
    </w:p>
    <w:p w14:paraId="21B795D0" w14:textId="77777777" w:rsidR="00496C1B" w:rsidRPr="00C365F6" w:rsidRDefault="00496C1B">
      <w:pPr>
        <w:rPr>
          <w:rFonts w:cs="Arial"/>
          <w:b/>
          <w:bCs/>
        </w:rPr>
      </w:pPr>
    </w:p>
    <w:p w14:paraId="5AC6E93C" w14:textId="36E24681" w:rsidR="00B254F0" w:rsidRPr="00C365F6" w:rsidRDefault="00FC3546">
      <w:pPr>
        <w:rPr>
          <w:rFonts w:cs="Arial"/>
          <w:b/>
          <w:bCs/>
        </w:rPr>
      </w:pPr>
      <w:r w:rsidRPr="00C365F6">
        <w:rPr>
          <w:rFonts w:cs="Arial"/>
          <w:b/>
          <w:bCs/>
        </w:rPr>
        <w:t>Contents</w:t>
      </w:r>
    </w:p>
    <w:p w14:paraId="1BEE9BCF" w14:textId="22C0DE45" w:rsidR="00B254F0" w:rsidRPr="00C365F6" w:rsidRDefault="00FC3546">
      <w:pPr>
        <w:rPr>
          <w:rFonts w:cs="Arial"/>
          <w:b/>
          <w:bCs/>
        </w:rPr>
      </w:pPr>
      <w:r w:rsidRPr="00C365F6">
        <w:rPr>
          <w:rFonts w:cs="Arial"/>
          <w:b/>
          <w:bCs/>
        </w:rPr>
        <w:t>1. Introduction ....................................................</w:t>
      </w:r>
      <w:r w:rsidR="00FC4179">
        <w:rPr>
          <w:rFonts w:cs="Arial"/>
          <w:b/>
          <w:bCs/>
        </w:rPr>
        <w:t>.</w:t>
      </w:r>
      <w:r w:rsidRPr="00C365F6">
        <w:rPr>
          <w:rFonts w:cs="Arial"/>
          <w:b/>
          <w:bCs/>
        </w:rPr>
        <w:t>3</w:t>
      </w:r>
    </w:p>
    <w:p w14:paraId="2BDC237A" w14:textId="2F925C0E" w:rsidR="00B254F0" w:rsidRPr="00C365F6" w:rsidRDefault="00FC3546">
      <w:pPr>
        <w:rPr>
          <w:rFonts w:cs="Arial"/>
          <w:b/>
          <w:bCs/>
        </w:rPr>
      </w:pPr>
      <w:r w:rsidRPr="00C365F6">
        <w:rPr>
          <w:rFonts w:cs="Arial"/>
          <w:b/>
          <w:bCs/>
        </w:rPr>
        <w:t>2. Factors Affecting HR Challenges .................</w:t>
      </w:r>
      <w:r w:rsidR="00FC4179">
        <w:rPr>
          <w:rFonts w:cs="Arial"/>
          <w:b/>
          <w:bCs/>
        </w:rPr>
        <w:t>.</w:t>
      </w:r>
      <w:r w:rsidR="001C1654">
        <w:rPr>
          <w:rFonts w:cs="Arial"/>
          <w:b/>
          <w:bCs/>
        </w:rPr>
        <w:t>3-5</w:t>
      </w:r>
    </w:p>
    <w:p w14:paraId="3749B98A" w14:textId="0FA46EED" w:rsidR="00B254F0" w:rsidRPr="00C365F6" w:rsidRDefault="00FC3546">
      <w:pPr>
        <w:rPr>
          <w:rFonts w:cs="Arial"/>
          <w:b/>
          <w:bCs/>
        </w:rPr>
      </w:pPr>
      <w:r w:rsidRPr="00C365F6">
        <w:rPr>
          <w:rFonts w:cs="Arial"/>
          <w:b/>
          <w:bCs/>
        </w:rPr>
        <w:t>3. Contemporary HR Practices .........................</w:t>
      </w:r>
      <w:r w:rsidR="00FC4179">
        <w:rPr>
          <w:rFonts w:cs="Arial"/>
          <w:b/>
          <w:bCs/>
        </w:rPr>
        <w:t>.</w:t>
      </w:r>
      <w:r w:rsidR="004514B0">
        <w:rPr>
          <w:rFonts w:cs="Arial"/>
          <w:b/>
          <w:bCs/>
        </w:rPr>
        <w:t>5</w:t>
      </w:r>
      <w:r w:rsidR="001C1654">
        <w:rPr>
          <w:rFonts w:cs="Arial"/>
          <w:b/>
          <w:bCs/>
        </w:rPr>
        <w:t>-</w:t>
      </w:r>
      <w:r w:rsidR="00256D95">
        <w:rPr>
          <w:rFonts w:cs="Arial"/>
          <w:b/>
          <w:bCs/>
        </w:rPr>
        <w:t>7</w:t>
      </w:r>
    </w:p>
    <w:p w14:paraId="225FC225" w14:textId="5C1BD10F" w:rsidR="00B254F0" w:rsidRPr="00C365F6" w:rsidRDefault="00FC3546">
      <w:pPr>
        <w:rPr>
          <w:rFonts w:cs="Arial"/>
          <w:b/>
          <w:bCs/>
        </w:rPr>
      </w:pPr>
      <w:r w:rsidRPr="00C365F6">
        <w:rPr>
          <w:rFonts w:cs="Arial"/>
          <w:b/>
          <w:bCs/>
        </w:rPr>
        <w:t>4. Managerial Implementation .........................</w:t>
      </w:r>
      <w:r w:rsidR="007100D1">
        <w:rPr>
          <w:rFonts w:cs="Arial"/>
          <w:b/>
          <w:bCs/>
        </w:rPr>
        <w:t>..</w:t>
      </w:r>
      <w:r w:rsidR="00FC4179">
        <w:rPr>
          <w:rFonts w:cs="Arial"/>
          <w:b/>
          <w:bCs/>
        </w:rPr>
        <w:t>.</w:t>
      </w:r>
      <w:r w:rsidR="00E9275F">
        <w:rPr>
          <w:rFonts w:cs="Arial"/>
          <w:b/>
          <w:bCs/>
        </w:rPr>
        <w:t>7</w:t>
      </w:r>
    </w:p>
    <w:p w14:paraId="4EA7C534" w14:textId="32301E0B" w:rsidR="00B254F0" w:rsidRPr="00C365F6" w:rsidRDefault="00FC3546">
      <w:pPr>
        <w:rPr>
          <w:rFonts w:cs="Arial"/>
          <w:b/>
          <w:bCs/>
        </w:rPr>
      </w:pPr>
      <w:r w:rsidRPr="00C365F6">
        <w:rPr>
          <w:rFonts w:cs="Arial"/>
          <w:b/>
          <w:bCs/>
        </w:rPr>
        <w:t>5. Conclusion and Recommendations ..........</w:t>
      </w:r>
      <w:r w:rsidR="00E9275F">
        <w:rPr>
          <w:rFonts w:cs="Arial"/>
          <w:b/>
          <w:bCs/>
        </w:rPr>
        <w:t>..</w:t>
      </w:r>
      <w:r w:rsidR="007100D1">
        <w:rPr>
          <w:rFonts w:cs="Arial"/>
          <w:b/>
          <w:bCs/>
        </w:rPr>
        <w:t>.</w:t>
      </w:r>
      <w:r w:rsidR="00FC4179">
        <w:rPr>
          <w:rFonts w:cs="Arial"/>
          <w:b/>
          <w:bCs/>
        </w:rPr>
        <w:t>.</w:t>
      </w:r>
      <w:r w:rsidR="00E9275F">
        <w:rPr>
          <w:rFonts w:cs="Arial"/>
          <w:b/>
          <w:bCs/>
        </w:rPr>
        <w:t>8</w:t>
      </w:r>
    </w:p>
    <w:p w14:paraId="15454BD6" w14:textId="7AFD4D8E" w:rsidR="00B254F0" w:rsidRPr="00C365F6" w:rsidRDefault="00FC3546">
      <w:pPr>
        <w:rPr>
          <w:rFonts w:cs="Arial"/>
          <w:b/>
          <w:bCs/>
        </w:rPr>
      </w:pPr>
      <w:r w:rsidRPr="00C365F6">
        <w:rPr>
          <w:rFonts w:cs="Arial"/>
          <w:b/>
          <w:bCs/>
        </w:rPr>
        <w:t>Reference List ....................................................</w:t>
      </w:r>
      <w:r w:rsidR="007100D1">
        <w:rPr>
          <w:rFonts w:cs="Arial"/>
          <w:b/>
          <w:bCs/>
        </w:rPr>
        <w:t>.</w:t>
      </w:r>
      <w:r w:rsidR="00FC4179">
        <w:rPr>
          <w:rFonts w:cs="Arial"/>
          <w:b/>
          <w:bCs/>
        </w:rPr>
        <w:t>.</w:t>
      </w:r>
      <w:r w:rsidR="00E9275F">
        <w:rPr>
          <w:rFonts w:cs="Arial"/>
          <w:b/>
          <w:bCs/>
        </w:rPr>
        <w:t>9</w:t>
      </w:r>
    </w:p>
    <w:p w14:paraId="1E7B1275" w14:textId="77777777" w:rsidR="00B254F0" w:rsidRPr="00C365F6" w:rsidRDefault="00FC3546">
      <w:pPr>
        <w:rPr>
          <w:rFonts w:cs="Arial"/>
        </w:rPr>
      </w:pPr>
      <w:r w:rsidRPr="00C365F6">
        <w:rPr>
          <w:rFonts w:cs="Arial"/>
        </w:rPr>
        <w:br w:type="page"/>
      </w:r>
    </w:p>
    <w:p w14:paraId="727FD171" w14:textId="77777777" w:rsidR="00B254F0" w:rsidRPr="00C365F6" w:rsidRDefault="00FC3546">
      <w:pPr>
        <w:rPr>
          <w:rFonts w:cs="Arial"/>
        </w:rPr>
      </w:pPr>
      <w:r w:rsidRPr="00C365F6">
        <w:rPr>
          <w:rFonts w:cs="Arial"/>
          <w:b/>
        </w:rPr>
        <w:lastRenderedPageBreak/>
        <w:t>1. Introduction</w:t>
      </w:r>
    </w:p>
    <w:p w14:paraId="10EC63C7" w14:textId="075342A6" w:rsidR="00E75C74" w:rsidRPr="00E75C74" w:rsidRDefault="00E75C74" w:rsidP="00E75C74">
      <w:pPr>
        <w:jc w:val="both"/>
        <w:rPr>
          <w:rFonts w:cs="Arial"/>
        </w:rPr>
      </w:pPr>
      <w:r w:rsidRPr="00E75C74">
        <w:rPr>
          <w:rFonts w:cs="Arial"/>
        </w:rPr>
        <w:t xml:space="preserve">Human Resource Management (HRM) has evolved into a strategic function that directly influences organisational performance, competitiveness, and long-term sustainability. In the UK retail sector, organisations such as </w:t>
      </w:r>
      <w:r w:rsidR="00B52079">
        <w:t xml:space="preserve">Marks &amp; Spencer plc (M&amp;S) </w:t>
      </w:r>
      <w:r w:rsidRPr="00E75C74">
        <w:rPr>
          <w:rFonts w:cs="Arial"/>
        </w:rPr>
        <w:t>operate in a dynamic environment shaped by technological change, labour market pressures, and shifting societal expectations. Consequently, HR practices must be flexible, strategic, and evidence-based.</w:t>
      </w:r>
    </w:p>
    <w:p w14:paraId="57BC73A0" w14:textId="0B052681" w:rsidR="00E75C74" w:rsidRDefault="00254665" w:rsidP="00E75C74">
      <w:pPr>
        <w:jc w:val="both"/>
        <w:rPr>
          <w:rFonts w:cs="Arial"/>
        </w:rPr>
      </w:pPr>
      <w:r w:rsidRPr="00254665">
        <w:rPr>
          <w:rFonts w:cs="Arial"/>
        </w:rPr>
        <w:t xml:space="preserve">The introduction of automation and digital systems has significantly reshaped job roles, requiring continuous upskilling to ensure employees can </w:t>
      </w:r>
      <w:r w:rsidR="006743F2">
        <w:rPr>
          <w:rFonts w:cs="Arial"/>
        </w:rPr>
        <w:t>operate effectively and adapt to</w:t>
      </w:r>
      <w:r w:rsidRPr="00254665">
        <w:rPr>
          <w:rFonts w:cs="Arial"/>
        </w:rPr>
        <w:t xml:space="preserve"> the evolving workforce (CIPD, 2025).</w:t>
      </w:r>
      <w:r>
        <w:rPr>
          <w:rFonts w:cs="Arial"/>
        </w:rPr>
        <w:t xml:space="preserve"> </w:t>
      </w:r>
      <w:r w:rsidR="00E75C74" w:rsidRPr="00E75C74">
        <w:rPr>
          <w:rFonts w:cs="Arial"/>
        </w:rPr>
        <w:t>At the same time, talent management has become more complex due to skills shortages and increased competition for qualified employees (CIPD, 2024). In addition, diversity, equity, and inclusion (DEI) has emerged as a key priority, driven by legal, ethical, and performance-related factors.</w:t>
      </w:r>
    </w:p>
    <w:p w14:paraId="73ACB303" w14:textId="6656995F" w:rsidR="00E75C74" w:rsidRPr="00E75C74" w:rsidRDefault="00E75C74" w:rsidP="00E75C74">
      <w:pPr>
        <w:jc w:val="both"/>
        <w:rPr>
          <w:rFonts w:cs="Arial"/>
        </w:rPr>
      </w:pPr>
      <w:r w:rsidRPr="00E75C74">
        <w:rPr>
          <w:rFonts w:cs="Arial"/>
        </w:rPr>
        <w:t xml:space="preserve">Building on earlier analysis of recruitment and learning and development practices within </w:t>
      </w:r>
      <w:r w:rsidR="00AE333C">
        <w:t>M&amp;S</w:t>
      </w:r>
      <w:r w:rsidR="002578A8" w:rsidRPr="00FD5B13">
        <w:rPr>
          <w:rFonts w:cs="Arial"/>
        </w:rPr>
        <w:t>,</w:t>
      </w:r>
      <w:r w:rsidRPr="00E75C74">
        <w:rPr>
          <w:rFonts w:cs="Arial"/>
        </w:rPr>
        <w:t xml:space="preserve"> including structured recruitment and key learning theories, this study examines three main HR challenges: technological advancement, talent acquisition and retention, and DEI.</w:t>
      </w:r>
    </w:p>
    <w:p w14:paraId="435C7DE4" w14:textId="491711F9" w:rsidR="00E75C74" w:rsidRPr="00E75C74" w:rsidRDefault="00E75C74" w:rsidP="00E75C74">
      <w:pPr>
        <w:jc w:val="both"/>
        <w:rPr>
          <w:rFonts w:cs="Arial"/>
        </w:rPr>
      </w:pPr>
      <w:r w:rsidRPr="00E75C74">
        <w:rPr>
          <w:rFonts w:cs="Arial"/>
        </w:rPr>
        <w:t xml:space="preserve">The discussion is organised into three sections. First, it explores the factors influencing these challenges. Second, it evaluates contemporary HR practices </w:t>
      </w:r>
      <w:r>
        <w:rPr>
          <w:rFonts w:cs="Arial"/>
        </w:rPr>
        <w:t>for addressing</w:t>
      </w:r>
      <w:r w:rsidRPr="00E75C74">
        <w:rPr>
          <w:rFonts w:cs="Arial"/>
        </w:rPr>
        <w:t xml:space="preserve"> them. Third, it critically assesses the role of departmental managers in ensuring effective implementation. Overall, the analysis combines theoretical and practical perspectives to provide a critical discussion aligned with best practices in HRM.</w:t>
      </w:r>
    </w:p>
    <w:p w14:paraId="16AB974C" w14:textId="77777777" w:rsidR="00B254F0" w:rsidRPr="00C365F6" w:rsidRDefault="00FC3546">
      <w:pPr>
        <w:rPr>
          <w:rFonts w:cs="Arial"/>
        </w:rPr>
      </w:pPr>
      <w:r w:rsidRPr="00C365F6">
        <w:rPr>
          <w:rFonts w:cs="Arial"/>
          <w:b/>
        </w:rPr>
        <w:t>2. Factors Affecting HR Challenges</w:t>
      </w:r>
    </w:p>
    <w:p w14:paraId="01360B86" w14:textId="77777777" w:rsidR="00E46F70" w:rsidRPr="00C365F6" w:rsidRDefault="00E46F70" w:rsidP="00E46F70">
      <w:pPr>
        <w:rPr>
          <w:rFonts w:cs="Arial"/>
          <w:b/>
          <w:bCs/>
        </w:rPr>
      </w:pPr>
      <w:r w:rsidRPr="00C365F6">
        <w:rPr>
          <w:rFonts w:cs="Arial"/>
          <w:b/>
          <w:bCs/>
        </w:rPr>
        <w:t>2.1 Technological Advancement</w:t>
      </w:r>
    </w:p>
    <w:p w14:paraId="46654529" w14:textId="48F306BD" w:rsidR="009516CB" w:rsidRDefault="009516CB" w:rsidP="009571E7">
      <w:pPr>
        <w:jc w:val="both"/>
        <w:rPr>
          <w:rFonts w:cs="Arial"/>
        </w:rPr>
      </w:pPr>
      <w:r w:rsidRPr="009516CB">
        <w:rPr>
          <w:rFonts w:cs="Arial"/>
        </w:rPr>
        <w:t xml:space="preserve">In the retail sector, the increasing use of artificial intelligence (AI) and data-driven systems has transformed key functions such as demand forecasting, stock management, and workforce planning, leading to </w:t>
      </w:r>
      <w:r>
        <w:rPr>
          <w:rFonts w:cs="Arial"/>
        </w:rPr>
        <w:t>improved</w:t>
      </w:r>
      <w:r w:rsidRPr="009516CB">
        <w:rPr>
          <w:rFonts w:cs="Arial"/>
        </w:rPr>
        <w:t xml:space="preserve"> efficiency and more strategic decision-making (Davenport and Ronanki, 2018). This shift has had a direct impact on HRM practices within </w:t>
      </w:r>
      <w:r w:rsidR="00924199">
        <w:t>M&amp;S</w:t>
      </w:r>
      <w:r w:rsidRPr="009516CB">
        <w:rPr>
          <w:rFonts w:cs="Arial"/>
        </w:rPr>
        <w:t>.</w:t>
      </w:r>
    </w:p>
    <w:p w14:paraId="1A34F1E5" w14:textId="35892414" w:rsidR="006A62BF" w:rsidRPr="006A62BF" w:rsidRDefault="006A62BF" w:rsidP="009571E7">
      <w:pPr>
        <w:jc w:val="both"/>
        <w:rPr>
          <w:rFonts w:cs="Arial"/>
        </w:rPr>
      </w:pPr>
      <w:r w:rsidRPr="006A62BF">
        <w:rPr>
          <w:rFonts w:cs="Arial"/>
        </w:rPr>
        <w:t>A key issue linked to this shift is the increasing demand for digital and analytical skills. Employees are expected to use advanced systems, yet rapid technological adoption has created a skills gap, as many lack the required capabilities (Brynjolfsson and McAfee, 2017). This is particularly challenging in retail, where frontline staff must adapt quickly while maintaining customer service standards.</w:t>
      </w:r>
    </w:p>
    <w:p w14:paraId="7C30AD8A" w14:textId="77777777" w:rsidR="006A62BF" w:rsidRPr="006A62BF" w:rsidRDefault="006A62BF" w:rsidP="009571E7">
      <w:pPr>
        <w:jc w:val="both"/>
        <w:rPr>
          <w:rFonts w:cs="Arial"/>
        </w:rPr>
      </w:pPr>
      <w:r w:rsidRPr="006A62BF">
        <w:rPr>
          <w:rFonts w:cs="Arial"/>
        </w:rPr>
        <w:t>Technology has also reshaped job roles, reducing routine tasks and increasing the need for problem-solving and adaptability. This requires HR to redesign roles and provide targeted training, although such changes may create uncertainty and resistance among employees (Autor, 2015).</w:t>
      </w:r>
    </w:p>
    <w:p w14:paraId="727E6EAE" w14:textId="77777777" w:rsidR="006A62BF" w:rsidRPr="006A62BF" w:rsidRDefault="006A62BF" w:rsidP="009571E7">
      <w:pPr>
        <w:jc w:val="both"/>
        <w:rPr>
          <w:rFonts w:cs="Arial"/>
        </w:rPr>
      </w:pPr>
      <w:r w:rsidRPr="006A62BF">
        <w:rPr>
          <w:rFonts w:cs="Arial"/>
        </w:rPr>
        <w:lastRenderedPageBreak/>
        <w:t>In addition, HR analytics supports data-driven decision-making, enabling organisations to monitor performance and predict workforce trends (Marler and Boudreau, 2017). However, it raises ethical concerns around privacy and data use.</w:t>
      </w:r>
    </w:p>
    <w:p w14:paraId="77690A9C" w14:textId="77777777" w:rsidR="006A62BF" w:rsidRPr="006A62BF" w:rsidRDefault="006A62BF" w:rsidP="009571E7">
      <w:pPr>
        <w:jc w:val="both"/>
        <w:rPr>
          <w:rFonts w:cs="Arial"/>
        </w:rPr>
      </w:pPr>
      <w:r w:rsidRPr="006A62BF">
        <w:rPr>
          <w:rFonts w:cs="Arial"/>
        </w:rPr>
        <w:t>Overall, while digital technologies improve efficiency and competitiveness, their success depends on effective reskilling and managing the human impact of change.</w:t>
      </w:r>
    </w:p>
    <w:p w14:paraId="03E5ACC2" w14:textId="77777777" w:rsidR="00E46F70" w:rsidRPr="00C365F6" w:rsidRDefault="00E46F70" w:rsidP="00E46F70">
      <w:pPr>
        <w:rPr>
          <w:rFonts w:cs="Arial"/>
          <w:b/>
          <w:bCs/>
        </w:rPr>
      </w:pPr>
      <w:r w:rsidRPr="00C365F6">
        <w:rPr>
          <w:rFonts w:cs="Arial"/>
          <w:b/>
          <w:bCs/>
        </w:rPr>
        <w:t>2.2 Talent Acquisition and Retention</w:t>
      </w:r>
    </w:p>
    <w:p w14:paraId="544D76E6" w14:textId="2D6F83E8" w:rsidR="00BF56BD" w:rsidRPr="00C365F6" w:rsidRDefault="00BF56BD" w:rsidP="00BF56BD">
      <w:pPr>
        <w:jc w:val="both"/>
        <w:rPr>
          <w:rFonts w:cs="Arial"/>
        </w:rPr>
      </w:pPr>
      <w:r w:rsidRPr="00C365F6">
        <w:rPr>
          <w:rFonts w:cs="Arial"/>
        </w:rPr>
        <w:t xml:space="preserve">Talent acquisition and retention remain significant challenges for organisations across the United Kingdom, particularly in competitive sectors such as retail. Skills shortages and increasing labour market competition mean organisations must compete for a limited pool of candidates, especially those with digital and leadership capabilities. This is particularly relevant for organisations such as </w:t>
      </w:r>
      <w:r w:rsidR="00682FBC">
        <w:t>M&amp;S</w:t>
      </w:r>
      <w:r w:rsidRPr="00C365F6">
        <w:rPr>
          <w:rFonts w:cs="Arial"/>
        </w:rPr>
        <w:t>, where ongoing digital transformation has increased demand for technologically skilled employees.</w:t>
      </w:r>
    </w:p>
    <w:p w14:paraId="3AD74041" w14:textId="77777777" w:rsidR="00BF56BD" w:rsidRPr="00C365F6" w:rsidRDefault="00BF56BD" w:rsidP="00BF56BD">
      <w:pPr>
        <w:jc w:val="both"/>
        <w:rPr>
          <w:rFonts w:cs="Arial"/>
        </w:rPr>
      </w:pPr>
      <w:r w:rsidRPr="00C365F6">
        <w:rPr>
          <w:rFonts w:cs="Arial"/>
        </w:rPr>
        <w:t>In addition, changing employee expectations have reshaped both recruitment and retention strategies. Modern employees increasingly value flexibility, career progression, and work–life balance. This aligns with the concept of Agile Working, which emphasises flexibility, autonomy, and employee empowerment. Organisations that fail to offer such conditions risk losing talent to competitors that better meet these expectations.</w:t>
      </w:r>
    </w:p>
    <w:p w14:paraId="6EC8CA43" w14:textId="7A6C57F0" w:rsidR="00BF56BD" w:rsidRPr="00C365F6" w:rsidRDefault="00BF56BD" w:rsidP="00BF56BD">
      <w:pPr>
        <w:jc w:val="both"/>
        <w:rPr>
          <w:rFonts w:cs="Arial"/>
        </w:rPr>
      </w:pPr>
      <w:r w:rsidRPr="00C365F6">
        <w:rPr>
          <w:rFonts w:cs="Arial"/>
        </w:rPr>
        <w:t>From a theoretical perspective, Abraham Maslow’s Hierarchy of Needs helps explain employee motivation, suggesting that individuals seek not only financial security but also psychological fulfilment, belonging, and self-actualisation.</w:t>
      </w:r>
      <w:r w:rsidR="00305373" w:rsidRPr="00C365F6">
        <w:rPr>
          <w:rFonts w:cs="Arial"/>
        </w:rPr>
        <w:t xml:space="preserve"> </w:t>
      </w:r>
      <w:r w:rsidRPr="00C365F6">
        <w:rPr>
          <w:rFonts w:cs="Arial"/>
        </w:rPr>
        <w:t>This highlights why organisations must go beyond pay to retain employees.</w:t>
      </w:r>
    </w:p>
    <w:p w14:paraId="28046593" w14:textId="240ACEA6" w:rsidR="00BF56BD" w:rsidRPr="00C365F6" w:rsidRDefault="00BF56BD" w:rsidP="00BF56BD">
      <w:pPr>
        <w:jc w:val="both"/>
        <w:rPr>
          <w:rFonts w:cs="Arial"/>
        </w:rPr>
      </w:pPr>
      <w:r w:rsidRPr="00C365F6">
        <w:rPr>
          <w:rFonts w:cs="Arial"/>
        </w:rPr>
        <w:t xml:space="preserve">Furthermore, job design plays a critical role in retention. The Hackman and Oldham Job Characteristics Model (1974) </w:t>
      </w:r>
      <w:r w:rsidR="000D68FD" w:rsidRPr="00C365F6">
        <w:rPr>
          <w:rFonts w:cs="Arial"/>
        </w:rPr>
        <w:t>emphasise</w:t>
      </w:r>
      <w:r w:rsidR="007F57FC">
        <w:rPr>
          <w:rFonts w:cs="Arial"/>
        </w:rPr>
        <w:t>s</w:t>
      </w:r>
      <w:r w:rsidRPr="00C365F6">
        <w:rPr>
          <w:rFonts w:cs="Arial"/>
        </w:rPr>
        <w:t xml:space="preserve"> factors such as skill variety, autonomy, and task significance as key drivers of motivation and job satisfaction. Roles that are meaningful and engaging are more likely to retain employees, whereas repetitive or poorly designed jobs can increase turnover.</w:t>
      </w:r>
    </w:p>
    <w:p w14:paraId="4BB98E58" w14:textId="77777777" w:rsidR="00BF56BD" w:rsidRPr="00C365F6" w:rsidRDefault="00BF56BD" w:rsidP="00BF56BD">
      <w:pPr>
        <w:jc w:val="both"/>
        <w:rPr>
          <w:rFonts w:cs="Arial"/>
        </w:rPr>
      </w:pPr>
      <w:r w:rsidRPr="00C365F6">
        <w:rPr>
          <w:rFonts w:cs="Arial"/>
        </w:rPr>
        <w:t>Additionally, organisational culture and leadership remain central to retention outcomes. Supportive leadership, recognition, and development opportunities enhance employee commitment, while poor management practices can drive disengagement and turnover (Armstrong and Taylor, 2020).</w:t>
      </w:r>
    </w:p>
    <w:p w14:paraId="2896ACEC" w14:textId="77777777" w:rsidR="00BF56BD" w:rsidRPr="00C365F6" w:rsidRDefault="00BF56BD" w:rsidP="00BF56BD">
      <w:pPr>
        <w:jc w:val="both"/>
        <w:rPr>
          <w:rFonts w:cs="Arial"/>
        </w:rPr>
      </w:pPr>
      <w:r w:rsidRPr="00C365F6">
        <w:rPr>
          <w:rFonts w:cs="Arial"/>
        </w:rPr>
        <w:t>Critically, retention is influenced by a combination of financial and non-financial factors. While competitive pay remains important, research shows that job satisfaction, meaningful work, and wellbeing are equally significant in shaping employee decisions to stay or leave (Costa et al., 2024).</w:t>
      </w:r>
    </w:p>
    <w:p w14:paraId="3774A33D" w14:textId="77777777" w:rsidR="00BF56BD" w:rsidRPr="00C365F6" w:rsidRDefault="00BF56BD" w:rsidP="00BF56BD">
      <w:pPr>
        <w:jc w:val="both"/>
        <w:rPr>
          <w:rFonts w:cs="Arial"/>
        </w:rPr>
      </w:pPr>
      <w:r w:rsidRPr="00C365F6">
        <w:rPr>
          <w:rFonts w:cs="Arial"/>
        </w:rPr>
        <w:t>Overall, talent acquisition and retention require a holistic approach that integrates flexible working practices, effective job design, and strong leadership to meet evolving employee expectations.</w:t>
      </w:r>
    </w:p>
    <w:p w14:paraId="2004BE05" w14:textId="77777777" w:rsidR="00E46F70" w:rsidRPr="00C365F6" w:rsidRDefault="00E46F70" w:rsidP="00E46F70">
      <w:pPr>
        <w:rPr>
          <w:rFonts w:cs="Arial"/>
          <w:b/>
          <w:bCs/>
        </w:rPr>
      </w:pPr>
      <w:r w:rsidRPr="00C365F6">
        <w:rPr>
          <w:rFonts w:cs="Arial"/>
          <w:b/>
          <w:bCs/>
        </w:rPr>
        <w:lastRenderedPageBreak/>
        <w:t>2.3 Diversity, Equity and Inclusion (DEI)</w:t>
      </w:r>
    </w:p>
    <w:p w14:paraId="7FD9F653" w14:textId="77777777" w:rsidR="00BB4451" w:rsidRPr="00C365F6" w:rsidRDefault="00BB4451" w:rsidP="00BB4451">
      <w:pPr>
        <w:jc w:val="both"/>
        <w:rPr>
          <w:rFonts w:cs="Arial"/>
        </w:rPr>
      </w:pPr>
      <w:r w:rsidRPr="00C365F6">
        <w:rPr>
          <w:rFonts w:cs="Arial"/>
        </w:rPr>
        <w:t>Diversity, equity, and inclusion (DEI) is widely recognised as a strategic priority for organisations, influenced by legal frameworks such as the Equality Act 2010, as well as social expectations and organisational values. However, despite the adoption of DEI policies, their effectiveness often remains limited in practice (Griffen, 2022).</w:t>
      </w:r>
    </w:p>
    <w:p w14:paraId="67CBC03B" w14:textId="5C8DA11A" w:rsidR="00BB4451" w:rsidRPr="00C365F6" w:rsidRDefault="00BB4451" w:rsidP="00BB4451">
      <w:pPr>
        <w:jc w:val="both"/>
        <w:rPr>
          <w:rFonts w:cs="Arial"/>
        </w:rPr>
      </w:pPr>
      <w:r w:rsidRPr="00C365F6">
        <w:rPr>
          <w:rFonts w:cs="Arial"/>
        </w:rPr>
        <w:t xml:space="preserve">A key factor affecting DEI is unconscious bias, which can influence recruitment, promotion, and performance evaluation. </w:t>
      </w:r>
      <w:r w:rsidR="00900DA8">
        <w:t xml:space="preserve">This highlights that policies alone are insufficient </w:t>
      </w:r>
      <w:r w:rsidRPr="00C365F6">
        <w:rPr>
          <w:rFonts w:cs="Arial"/>
        </w:rPr>
        <w:t xml:space="preserve">without </w:t>
      </w:r>
      <w:r w:rsidR="00194D99">
        <w:rPr>
          <w:rFonts w:cs="Arial"/>
        </w:rPr>
        <w:t>de</w:t>
      </w:r>
      <w:r w:rsidR="00EF216E">
        <w:rPr>
          <w:rFonts w:cs="Arial"/>
        </w:rPr>
        <w:t>eper</w:t>
      </w:r>
      <w:r w:rsidRPr="00C365F6">
        <w:rPr>
          <w:rFonts w:cs="Arial"/>
        </w:rPr>
        <w:t xml:space="preserve"> cultural and behavioural change.</w:t>
      </w:r>
    </w:p>
    <w:p w14:paraId="0E9A7339" w14:textId="77777777" w:rsidR="00BB4451" w:rsidRPr="00C365F6" w:rsidRDefault="00BB4451" w:rsidP="00BB4451">
      <w:pPr>
        <w:jc w:val="both"/>
        <w:rPr>
          <w:rFonts w:cs="Arial"/>
        </w:rPr>
      </w:pPr>
      <w:r w:rsidRPr="00C365F6">
        <w:rPr>
          <w:rFonts w:cs="Arial"/>
        </w:rPr>
        <w:t>Another challenge is the gap between DEI strategy and implementation, as many organisations lack clear targets and accountability, leading to symbolic rather than meaningful outcomes (Griffen, 2022).</w:t>
      </w:r>
    </w:p>
    <w:p w14:paraId="564318BD" w14:textId="27F25FA6" w:rsidR="00BB4451" w:rsidRPr="00C365F6" w:rsidRDefault="00BB4451" w:rsidP="00BB4451">
      <w:pPr>
        <w:jc w:val="both"/>
        <w:rPr>
          <w:rFonts w:cs="Arial"/>
        </w:rPr>
      </w:pPr>
      <w:r w:rsidRPr="00C365F6">
        <w:rPr>
          <w:rFonts w:cs="Arial"/>
        </w:rPr>
        <w:t xml:space="preserve">The rise of hybrid working adds further complexity, as it can create inequalities in visibility and access to opportunities. This requires organisations </w:t>
      </w:r>
      <w:r w:rsidR="00C64911">
        <w:rPr>
          <w:rFonts w:cs="Arial"/>
        </w:rPr>
        <w:t>to manage inclusion across different working environments actively</w:t>
      </w:r>
      <w:r w:rsidRPr="00C365F6">
        <w:rPr>
          <w:rFonts w:cs="Arial"/>
        </w:rPr>
        <w:t>.</w:t>
      </w:r>
    </w:p>
    <w:p w14:paraId="6718EBFD" w14:textId="77777777" w:rsidR="00BB4451" w:rsidRPr="00C365F6" w:rsidRDefault="00BB4451" w:rsidP="00BB4451">
      <w:pPr>
        <w:jc w:val="both"/>
        <w:rPr>
          <w:rFonts w:cs="Arial"/>
        </w:rPr>
      </w:pPr>
      <w:r w:rsidRPr="00C365F6">
        <w:rPr>
          <w:rFonts w:cs="Arial"/>
        </w:rPr>
        <w:t>Critically, DEI should not be treated only as a compliance requirement. While diversity can enhance innovation, this depends on how well inclusion is embedded in organisational culture. Without this, diversity may lead to disengagement rather than improved performance.</w:t>
      </w:r>
    </w:p>
    <w:p w14:paraId="4222473D" w14:textId="77777777" w:rsidR="00BB4451" w:rsidRPr="00C365F6" w:rsidRDefault="00BB4451" w:rsidP="00BB4451">
      <w:pPr>
        <w:jc w:val="both"/>
        <w:rPr>
          <w:rFonts w:cs="Arial"/>
        </w:rPr>
      </w:pPr>
      <w:r w:rsidRPr="00C365F6">
        <w:rPr>
          <w:rFonts w:cs="Arial"/>
        </w:rPr>
        <w:t>Overall, DEI requires strong leadership, cultural change, and measurable actions to achieve sustainable impact.</w:t>
      </w:r>
    </w:p>
    <w:p w14:paraId="7E0566F7" w14:textId="1773F1F5" w:rsidR="00C61853" w:rsidRPr="00C365F6" w:rsidRDefault="00C61853" w:rsidP="00C61853">
      <w:pPr>
        <w:jc w:val="both"/>
        <w:rPr>
          <w:rFonts w:cs="Arial"/>
        </w:rPr>
      </w:pPr>
    </w:p>
    <w:p w14:paraId="2C940EF7" w14:textId="77777777" w:rsidR="00B254F0" w:rsidRPr="00C365F6" w:rsidRDefault="00FC3546">
      <w:pPr>
        <w:rPr>
          <w:rFonts w:cs="Arial"/>
        </w:rPr>
      </w:pPr>
      <w:r w:rsidRPr="00C365F6">
        <w:rPr>
          <w:rFonts w:cs="Arial"/>
          <w:b/>
        </w:rPr>
        <w:t>3. Contemporary HR Practices</w:t>
      </w:r>
    </w:p>
    <w:p w14:paraId="091BEC75" w14:textId="77777777" w:rsidR="007F61BB" w:rsidRPr="00C365F6" w:rsidRDefault="007F61BB" w:rsidP="007F61BB">
      <w:pPr>
        <w:rPr>
          <w:rFonts w:cs="Arial"/>
          <w:b/>
          <w:bCs/>
        </w:rPr>
      </w:pPr>
      <w:r w:rsidRPr="00C365F6">
        <w:rPr>
          <w:rFonts w:cs="Arial"/>
          <w:b/>
          <w:bCs/>
        </w:rPr>
        <w:t>3.1 Addressing Technological Advancement</w:t>
      </w:r>
    </w:p>
    <w:p w14:paraId="0F4B0120" w14:textId="1F7BA60D" w:rsidR="007F61BB" w:rsidRPr="00C365F6" w:rsidRDefault="007F61BB" w:rsidP="000F10E1">
      <w:pPr>
        <w:jc w:val="both"/>
        <w:rPr>
          <w:rFonts w:cs="Arial"/>
        </w:rPr>
      </w:pPr>
      <w:r w:rsidRPr="00C365F6">
        <w:rPr>
          <w:rFonts w:cs="Arial"/>
        </w:rPr>
        <w:t xml:space="preserve">A key contemporary HR practice </w:t>
      </w:r>
      <w:r w:rsidR="00F140F1">
        <w:rPr>
          <w:rFonts w:cs="Arial"/>
        </w:rPr>
        <w:t>for addressing</w:t>
      </w:r>
      <w:r w:rsidRPr="00C365F6">
        <w:rPr>
          <w:rFonts w:cs="Arial"/>
        </w:rPr>
        <w:t xml:space="preserve"> technological change is digital learning and development (L&amp;D). E-learning platforms offer scalable, flexible, and cost-effective training solutions, particularly for compliance and technical skills (Noe, 2020). However, approaches based purely on behaviourist principles</w:t>
      </w:r>
      <w:r w:rsidR="004A1955" w:rsidRPr="00C365F6">
        <w:rPr>
          <w:rFonts w:cs="Arial"/>
        </w:rPr>
        <w:t xml:space="preserve">, </w:t>
      </w:r>
      <w:r w:rsidRPr="00C365F6">
        <w:rPr>
          <w:rFonts w:cs="Arial"/>
        </w:rPr>
        <w:t>such as repetition and reinforcement</w:t>
      </w:r>
      <w:r w:rsidR="004A1955" w:rsidRPr="00C365F6">
        <w:rPr>
          <w:rFonts w:cs="Arial"/>
        </w:rPr>
        <w:t xml:space="preserve">, </w:t>
      </w:r>
      <w:r w:rsidRPr="00C365F6">
        <w:rPr>
          <w:rFonts w:cs="Arial"/>
        </w:rPr>
        <w:t xml:space="preserve">may be limited in </w:t>
      </w:r>
      <w:r w:rsidR="00F140F1">
        <w:rPr>
          <w:rFonts w:cs="Arial"/>
        </w:rPr>
        <w:t>their ability to develop</w:t>
      </w:r>
      <w:r w:rsidRPr="00C365F6">
        <w:rPr>
          <w:rFonts w:cs="Arial"/>
        </w:rPr>
        <w:t xml:space="preserve"> higher-order cognitive and problem-solving skills required in digitally advanced environments.</w:t>
      </w:r>
    </w:p>
    <w:p w14:paraId="4B76DA14" w14:textId="77777777" w:rsidR="007F61BB" w:rsidRPr="00C365F6" w:rsidRDefault="007F61BB" w:rsidP="000F10E1">
      <w:pPr>
        <w:jc w:val="both"/>
        <w:rPr>
          <w:rFonts w:cs="Arial"/>
        </w:rPr>
      </w:pPr>
      <w:r w:rsidRPr="00C365F6">
        <w:rPr>
          <w:rFonts w:cs="Arial"/>
        </w:rPr>
        <w:t>To address this limitation, many organisations are adopting blended learning approaches, which combine behaviourist, cognitivist, and experiential learning theories. This integrated approach enables employees not only to acquire technical knowledge but also to develop critical thinking and adaptability. For example, experiential learning allows employees to apply knowledge in real work contexts, improving both retention and performance (Kolb, 1984). This is particularly relevant in retail settings, where employees must quickly adapt to new digital systems while maintaining service quality.</w:t>
      </w:r>
    </w:p>
    <w:p w14:paraId="2999069C" w14:textId="5CD5B1C3" w:rsidR="007F61BB" w:rsidRPr="00C365F6" w:rsidRDefault="007F61BB" w:rsidP="000F10E1">
      <w:pPr>
        <w:jc w:val="both"/>
        <w:rPr>
          <w:rFonts w:cs="Arial"/>
        </w:rPr>
      </w:pPr>
      <w:r w:rsidRPr="00C365F6">
        <w:rPr>
          <w:rFonts w:cs="Arial"/>
        </w:rPr>
        <w:lastRenderedPageBreak/>
        <w:t xml:space="preserve">Another important practice is the use of HR analytics and data-driven decision-making. These tools allow organisations to identify skill gaps, forecast workforce needs, and support strategic planning. However, an over-reliance on quantitative data may overlook qualitative factors such as employee </w:t>
      </w:r>
      <w:r w:rsidR="004A1955" w:rsidRPr="00C365F6">
        <w:rPr>
          <w:rFonts w:cs="Arial"/>
        </w:rPr>
        <w:t>well-being</w:t>
      </w:r>
      <w:r w:rsidRPr="00C365F6">
        <w:rPr>
          <w:rFonts w:cs="Arial"/>
        </w:rPr>
        <w:t>, motivation, and organisational culture, which are equally important for long-term performance.</w:t>
      </w:r>
    </w:p>
    <w:p w14:paraId="6E9F643D" w14:textId="77777777" w:rsidR="007F61BB" w:rsidRPr="00C365F6" w:rsidRDefault="007F61BB" w:rsidP="000F10E1">
      <w:pPr>
        <w:jc w:val="both"/>
        <w:rPr>
          <w:rFonts w:cs="Arial"/>
        </w:rPr>
      </w:pPr>
      <w:r w:rsidRPr="00C365F6">
        <w:rPr>
          <w:rFonts w:cs="Arial"/>
        </w:rPr>
        <w:t>Critically, while these practices improve efficiency and organisational capability, their success depends on employee engagement and organisational readiness. Without a supportive culture and continuous investment in development, technological initiatives may fail to deliver sustainable outcomes.</w:t>
      </w:r>
    </w:p>
    <w:p w14:paraId="65DD689E" w14:textId="77777777" w:rsidR="00873095" w:rsidRPr="00C365F6" w:rsidRDefault="00873095" w:rsidP="007F61BB">
      <w:pPr>
        <w:rPr>
          <w:rFonts w:cs="Arial"/>
        </w:rPr>
      </w:pPr>
    </w:p>
    <w:p w14:paraId="5C35BF09" w14:textId="77777777" w:rsidR="007F61BB" w:rsidRPr="00C365F6" w:rsidRDefault="007F61BB" w:rsidP="007F61BB">
      <w:pPr>
        <w:rPr>
          <w:rFonts w:cs="Arial"/>
          <w:b/>
          <w:bCs/>
        </w:rPr>
      </w:pPr>
      <w:r w:rsidRPr="00C365F6">
        <w:rPr>
          <w:rFonts w:cs="Arial"/>
          <w:b/>
          <w:bCs/>
        </w:rPr>
        <w:t>3.2 Addressing Talent Acquisition and Retention</w:t>
      </w:r>
    </w:p>
    <w:p w14:paraId="14EEA28D" w14:textId="77777777" w:rsidR="007F61BB" w:rsidRPr="00C365F6" w:rsidRDefault="007F61BB" w:rsidP="00BE5874">
      <w:pPr>
        <w:jc w:val="both"/>
        <w:rPr>
          <w:rFonts w:cs="Arial"/>
        </w:rPr>
      </w:pPr>
      <w:r w:rsidRPr="00C365F6">
        <w:rPr>
          <w:rFonts w:cs="Arial"/>
        </w:rPr>
        <w:t>Contemporary HR practices in talent acquisition increasingly emphasise structured and evidence-based recruitment. Techniques such as job analysis, clear person specifications, and competency-based interviews improve the quality and consistency of hiring decisions (Armstrong and Taylor, 2020). These methods help ensure alignment between organisational needs and candidate capabilities.</w:t>
      </w:r>
    </w:p>
    <w:p w14:paraId="21DEAC61" w14:textId="77777777" w:rsidR="007F61BB" w:rsidRPr="00C365F6" w:rsidRDefault="007F61BB" w:rsidP="00BE5874">
      <w:pPr>
        <w:jc w:val="both"/>
        <w:rPr>
          <w:rFonts w:cs="Arial"/>
        </w:rPr>
      </w:pPr>
      <w:r w:rsidRPr="00C365F6">
        <w:rPr>
          <w:rFonts w:cs="Arial"/>
        </w:rPr>
        <w:t>However, traditional recruitment approaches can unintentionally restrict diversity and innovation by focusing heavily on formal qualifications and previous experience. As a result, organisations are increasingly adopting skills-based hiring, which prioritises competencies and potential over credentials, thereby expanding the available talent pool and supporting more inclusive recruitment practices (Bone et al., 2023).</w:t>
      </w:r>
    </w:p>
    <w:p w14:paraId="7687BEB5" w14:textId="77777777" w:rsidR="007F61BB" w:rsidRPr="00C365F6" w:rsidRDefault="007F61BB" w:rsidP="00BE5874">
      <w:pPr>
        <w:jc w:val="both"/>
        <w:rPr>
          <w:rFonts w:cs="Arial"/>
        </w:rPr>
      </w:pPr>
      <w:r w:rsidRPr="00C365F6">
        <w:rPr>
          <w:rFonts w:cs="Arial"/>
        </w:rPr>
        <w:t>In terms of retention, organisations are implementing employee engagement strategies, including flexible working arrangements, career development opportunities, and wellbeing initiatives. Flexible or agile working practices have become particularly important in responding to changing employee expectations and improving retention outcomes.</w:t>
      </w:r>
    </w:p>
    <w:p w14:paraId="50AC0BCE" w14:textId="77777777" w:rsidR="007F61BB" w:rsidRPr="00C365F6" w:rsidRDefault="007F61BB" w:rsidP="00BE5874">
      <w:pPr>
        <w:jc w:val="both"/>
        <w:rPr>
          <w:rFonts w:cs="Arial"/>
        </w:rPr>
      </w:pPr>
      <w:r w:rsidRPr="00C365F6">
        <w:rPr>
          <w:rFonts w:cs="Arial"/>
        </w:rPr>
        <w:t>Nevertheless, a critical limitation of many retention strategies is their lack of personalisation. Employees have diverse needs and motivations, meaning that a standardised approach is unlikely to be effective. The application of theories such as Maslow’s hierarchy of needs highlights that individuals are motivated by different factors beyond financial rewards, including belonging, recognition, and self-development.</w:t>
      </w:r>
    </w:p>
    <w:p w14:paraId="734DC6F5" w14:textId="77777777" w:rsidR="007F61BB" w:rsidRPr="00C365F6" w:rsidRDefault="007F61BB" w:rsidP="00BE5874">
      <w:pPr>
        <w:jc w:val="both"/>
        <w:rPr>
          <w:rFonts w:cs="Arial"/>
        </w:rPr>
      </w:pPr>
      <w:r w:rsidRPr="00C365F6">
        <w:rPr>
          <w:rFonts w:cs="Arial"/>
        </w:rPr>
        <w:t>Overall, while contemporary HR practices have improved recruitment and retention outcomes, their effectiveness depends on how well they are tailored to individual needs and supported by organisational culture.</w:t>
      </w:r>
    </w:p>
    <w:p w14:paraId="09A3DE8E" w14:textId="77777777" w:rsidR="007F61BB" w:rsidRPr="00C365F6" w:rsidRDefault="007F61BB" w:rsidP="007F61BB">
      <w:pPr>
        <w:rPr>
          <w:rFonts w:cs="Arial"/>
          <w:b/>
          <w:bCs/>
        </w:rPr>
      </w:pPr>
      <w:r w:rsidRPr="00C365F6">
        <w:rPr>
          <w:rFonts w:cs="Arial"/>
          <w:b/>
          <w:bCs/>
        </w:rPr>
        <w:t>3.3 Addressing Diversity, Equity and Inclusion (DEI)</w:t>
      </w:r>
    </w:p>
    <w:p w14:paraId="06F31DFE" w14:textId="77777777" w:rsidR="00765A24" w:rsidRPr="00C365F6" w:rsidRDefault="00765A24" w:rsidP="00765A24">
      <w:pPr>
        <w:pStyle w:val="NormalWeb"/>
        <w:jc w:val="both"/>
        <w:rPr>
          <w:rFonts w:ascii="Arial" w:hAnsi="Arial" w:cs="Arial"/>
          <w:sz w:val="22"/>
          <w:szCs w:val="22"/>
        </w:rPr>
      </w:pPr>
      <w:r w:rsidRPr="00C365F6">
        <w:rPr>
          <w:rFonts w:ascii="Arial" w:hAnsi="Arial" w:cs="Arial"/>
          <w:sz w:val="22"/>
          <w:szCs w:val="22"/>
        </w:rPr>
        <w:t xml:space="preserve">To address DEI challenges, organisations have adopted a range of HR practices aimed at promoting fairness and inclusion. One key approach is </w:t>
      </w:r>
      <w:r w:rsidRPr="00C365F6">
        <w:rPr>
          <w:rStyle w:val="Strong"/>
          <w:rFonts w:ascii="Arial" w:hAnsi="Arial" w:cs="Arial"/>
          <w:b w:val="0"/>
          <w:bCs w:val="0"/>
          <w:sz w:val="22"/>
          <w:szCs w:val="22"/>
        </w:rPr>
        <w:t>inclusive recruitment</w:t>
      </w:r>
      <w:r w:rsidRPr="00C365F6">
        <w:rPr>
          <w:rFonts w:ascii="Arial" w:hAnsi="Arial" w:cs="Arial"/>
          <w:sz w:val="22"/>
          <w:szCs w:val="22"/>
        </w:rPr>
        <w:t xml:space="preserve">, including </w:t>
      </w:r>
      <w:r w:rsidRPr="00C365F6">
        <w:rPr>
          <w:rFonts w:ascii="Arial" w:hAnsi="Arial" w:cs="Arial"/>
          <w:sz w:val="22"/>
          <w:szCs w:val="22"/>
        </w:rPr>
        <w:lastRenderedPageBreak/>
        <w:t>anonymised CV screening, which helps reduce bias in early selection stages. However, such practices do not fully eliminate deeper structural inequalities within organisations.</w:t>
      </w:r>
    </w:p>
    <w:p w14:paraId="37D259DD" w14:textId="5E72C197" w:rsidR="00765A24" w:rsidRPr="00C365F6" w:rsidRDefault="00765A24" w:rsidP="00765A24">
      <w:pPr>
        <w:pStyle w:val="NormalWeb"/>
        <w:jc w:val="both"/>
        <w:rPr>
          <w:rFonts w:ascii="Arial" w:hAnsi="Arial" w:cs="Arial"/>
          <w:sz w:val="22"/>
          <w:szCs w:val="22"/>
        </w:rPr>
      </w:pPr>
      <w:r w:rsidRPr="00C365F6">
        <w:rPr>
          <w:rFonts w:ascii="Arial" w:hAnsi="Arial" w:cs="Arial"/>
          <w:sz w:val="22"/>
          <w:szCs w:val="22"/>
        </w:rPr>
        <w:t xml:space="preserve">Another widely used practice is </w:t>
      </w:r>
      <w:r w:rsidRPr="00C365F6">
        <w:rPr>
          <w:rStyle w:val="Strong"/>
          <w:rFonts w:ascii="Arial" w:hAnsi="Arial" w:cs="Arial"/>
          <w:b w:val="0"/>
          <w:bCs w:val="0"/>
          <w:sz w:val="22"/>
          <w:szCs w:val="22"/>
        </w:rPr>
        <w:t>DEI training</w:t>
      </w:r>
      <w:r w:rsidRPr="00C365F6">
        <w:rPr>
          <w:rFonts w:ascii="Arial" w:hAnsi="Arial" w:cs="Arial"/>
          <w:sz w:val="22"/>
          <w:szCs w:val="22"/>
        </w:rPr>
        <w:t>, which aims to increase awareness of unconscious bias and encourage inclusive behaviours. Nevertheless, evidence suggests that training alone has a limited long-term impact unless supported by broader organisational change, including leadership commitment and accountability (Hebl and King, 2024).</w:t>
      </w:r>
    </w:p>
    <w:p w14:paraId="1BCE3CCB" w14:textId="77777777" w:rsidR="00765A24" w:rsidRPr="00C365F6" w:rsidRDefault="00765A24" w:rsidP="00765A24">
      <w:pPr>
        <w:pStyle w:val="NormalWeb"/>
        <w:jc w:val="both"/>
        <w:rPr>
          <w:rFonts w:ascii="Arial" w:hAnsi="Arial" w:cs="Arial"/>
          <w:sz w:val="22"/>
          <w:szCs w:val="22"/>
        </w:rPr>
      </w:pPr>
      <w:r w:rsidRPr="00C365F6">
        <w:rPr>
          <w:rFonts w:ascii="Arial" w:hAnsi="Arial" w:cs="Arial"/>
          <w:sz w:val="22"/>
          <w:szCs w:val="22"/>
        </w:rPr>
        <w:t xml:space="preserve">Organisations are therefore increasingly focusing on </w:t>
      </w:r>
      <w:r w:rsidRPr="00C365F6">
        <w:rPr>
          <w:rStyle w:val="Strong"/>
          <w:rFonts w:ascii="Arial" w:hAnsi="Arial" w:cs="Arial"/>
          <w:b w:val="0"/>
          <w:bCs w:val="0"/>
          <w:sz w:val="22"/>
          <w:szCs w:val="22"/>
        </w:rPr>
        <w:t>inclusive leadership</w:t>
      </w:r>
      <w:r w:rsidRPr="00C365F6">
        <w:rPr>
          <w:rStyle w:val="Strong"/>
          <w:rFonts w:ascii="Arial" w:hAnsi="Arial" w:cs="Arial"/>
          <w:sz w:val="22"/>
          <w:szCs w:val="22"/>
        </w:rPr>
        <w:t xml:space="preserve"> </w:t>
      </w:r>
      <w:r w:rsidRPr="00C365F6">
        <w:rPr>
          <w:rStyle w:val="Strong"/>
          <w:rFonts w:ascii="Arial" w:hAnsi="Arial" w:cs="Arial"/>
          <w:b w:val="0"/>
          <w:bCs w:val="0"/>
          <w:sz w:val="22"/>
          <w:szCs w:val="22"/>
        </w:rPr>
        <w:t>development</w:t>
      </w:r>
      <w:r w:rsidRPr="00C365F6">
        <w:rPr>
          <w:rFonts w:ascii="Arial" w:hAnsi="Arial" w:cs="Arial"/>
          <w:b/>
          <w:bCs/>
          <w:sz w:val="22"/>
          <w:szCs w:val="22"/>
        </w:rPr>
        <w:t>,</w:t>
      </w:r>
      <w:r w:rsidRPr="00C365F6">
        <w:rPr>
          <w:rFonts w:ascii="Arial" w:hAnsi="Arial" w:cs="Arial"/>
          <w:sz w:val="22"/>
          <w:szCs w:val="22"/>
        </w:rPr>
        <w:t xml:space="preserve"> ensuring that managers have the skills to support diverse teams and foster inclusive environments. Leadership behaviour is critical in translating DEI policies into everyday practice.</w:t>
      </w:r>
    </w:p>
    <w:p w14:paraId="51FEF27D" w14:textId="77777777" w:rsidR="00765A24" w:rsidRPr="00C365F6" w:rsidRDefault="00765A24" w:rsidP="00765A24">
      <w:pPr>
        <w:pStyle w:val="NormalWeb"/>
        <w:jc w:val="both"/>
        <w:rPr>
          <w:rFonts w:ascii="Arial" w:hAnsi="Arial" w:cs="Arial"/>
          <w:sz w:val="22"/>
          <w:szCs w:val="22"/>
        </w:rPr>
      </w:pPr>
      <w:r w:rsidRPr="00C365F6">
        <w:rPr>
          <w:rFonts w:ascii="Arial" w:hAnsi="Arial" w:cs="Arial"/>
          <w:sz w:val="22"/>
          <w:szCs w:val="22"/>
        </w:rPr>
        <w:t xml:space="preserve">Critically, many organisations adopt DEI initiatives as symbolic actions rather than implementing meaningful change. Effective DEI requires </w:t>
      </w:r>
      <w:r w:rsidRPr="00C365F6">
        <w:rPr>
          <w:rStyle w:val="Strong"/>
          <w:rFonts w:ascii="Arial" w:hAnsi="Arial" w:cs="Arial"/>
          <w:b w:val="0"/>
          <w:bCs w:val="0"/>
          <w:sz w:val="22"/>
          <w:szCs w:val="22"/>
        </w:rPr>
        <w:t>measurable targets, transparent reporting, and continuous evaluation</w:t>
      </w:r>
      <w:r w:rsidRPr="00C365F6">
        <w:rPr>
          <w:rFonts w:ascii="Arial" w:hAnsi="Arial" w:cs="Arial"/>
          <w:sz w:val="22"/>
          <w:szCs w:val="22"/>
        </w:rPr>
        <w:t>, ensuring accountability at all levels (Hebl and King, 2024).</w:t>
      </w:r>
    </w:p>
    <w:p w14:paraId="3CA98ED6" w14:textId="77777777" w:rsidR="00765A24" w:rsidRPr="00C365F6" w:rsidRDefault="00765A24" w:rsidP="00765A24">
      <w:pPr>
        <w:pStyle w:val="NormalWeb"/>
        <w:jc w:val="both"/>
        <w:rPr>
          <w:rFonts w:ascii="Arial" w:hAnsi="Arial" w:cs="Arial"/>
          <w:sz w:val="22"/>
          <w:szCs w:val="22"/>
        </w:rPr>
      </w:pPr>
      <w:r w:rsidRPr="00C365F6">
        <w:rPr>
          <w:rFonts w:ascii="Arial" w:hAnsi="Arial" w:cs="Arial"/>
          <w:sz w:val="22"/>
          <w:szCs w:val="22"/>
        </w:rPr>
        <w:t>Overall, contemporary DEI practices highlight the need to move beyond compliance towards genuine cultural transformation, where inclusion is embedded in everyday organisational behaviour.</w:t>
      </w:r>
    </w:p>
    <w:p w14:paraId="2097FCC3" w14:textId="77777777" w:rsidR="00B254F0" w:rsidRPr="00C365F6" w:rsidRDefault="00FC3546">
      <w:pPr>
        <w:rPr>
          <w:rFonts w:cs="Arial"/>
        </w:rPr>
      </w:pPr>
      <w:r w:rsidRPr="00C365F6">
        <w:rPr>
          <w:rFonts w:cs="Arial"/>
          <w:b/>
        </w:rPr>
        <w:t>4. Managerial Implementation</w:t>
      </w:r>
    </w:p>
    <w:p w14:paraId="2A70722E" w14:textId="77777777" w:rsidR="008664EF" w:rsidRPr="00C365F6" w:rsidRDefault="008664EF" w:rsidP="008664EF">
      <w:pPr>
        <w:jc w:val="both"/>
        <w:rPr>
          <w:rFonts w:cs="Arial"/>
        </w:rPr>
      </w:pPr>
      <w:r w:rsidRPr="00C365F6">
        <w:rPr>
          <w:rFonts w:cs="Arial"/>
        </w:rPr>
        <w:t>Departmental managers play a key role in implementing HR practices, as they translate organisational strategies into everyday operations. Their actions directly influence employee behaviour, engagement, and performance.</w:t>
      </w:r>
    </w:p>
    <w:p w14:paraId="36D90F60" w14:textId="77777777" w:rsidR="008664EF" w:rsidRPr="00C365F6" w:rsidRDefault="008664EF" w:rsidP="008664EF">
      <w:pPr>
        <w:jc w:val="both"/>
        <w:rPr>
          <w:rFonts w:cs="Arial"/>
        </w:rPr>
      </w:pPr>
      <w:r w:rsidRPr="00C365F6">
        <w:rPr>
          <w:rFonts w:cs="Arial"/>
        </w:rPr>
        <w:t>Firstly, managers must demonstrate inclusive leadership, particularly in relation to DEI, by modelling fair behaviour and addressing bias. However, without adequate training and organisational support, their ability to implement DEI effectively may be limited.</w:t>
      </w:r>
    </w:p>
    <w:p w14:paraId="402FA659" w14:textId="77777777" w:rsidR="008664EF" w:rsidRPr="00C365F6" w:rsidRDefault="008664EF" w:rsidP="008664EF">
      <w:pPr>
        <w:jc w:val="both"/>
        <w:rPr>
          <w:rFonts w:cs="Arial"/>
        </w:rPr>
      </w:pPr>
      <w:r w:rsidRPr="00C365F6">
        <w:rPr>
          <w:rFonts w:cs="Arial"/>
        </w:rPr>
        <w:t>Secondly, managers are responsible for managing technological change. This requires clear communication, guidance, and ongoing support to help employees adapt to new systems. Effective change implementation depends on how well knowledge is shared and understood within the organisation, highlighting the importance of knowledge management in supporting successful transitions (Imran et al., 2016).</w:t>
      </w:r>
    </w:p>
    <w:p w14:paraId="7F0D8151" w14:textId="77777777" w:rsidR="008664EF" w:rsidRPr="00C365F6" w:rsidRDefault="008664EF" w:rsidP="008664EF">
      <w:pPr>
        <w:jc w:val="both"/>
        <w:rPr>
          <w:rFonts w:cs="Arial"/>
        </w:rPr>
      </w:pPr>
      <w:r w:rsidRPr="00C365F6">
        <w:rPr>
          <w:rFonts w:cs="Arial"/>
        </w:rPr>
        <w:t>Despite their importance, managers often face time pressures and competing priorities, which can reduce their focus on HR responsibilities and lead to inconsistent implementation across departments.</w:t>
      </w:r>
    </w:p>
    <w:p w14:paraId="4426EA39" w14:textId="77777777" w:rsidR="008664EF" w:rsidRPr="00C365F6" w:rsidRDefault="008664EF" w:rsidP="008664EF">
      <w:pPr>
        <w:jc w:val="both"/>
        <w:rPr>
          <w:rFonts w:cs="Arial"/>
        </w:rPr>
      </w:pPr>
      <w:r w:rsidRPr="00C365F6">
        <w:rPr>
          <w:rFonts w:cs="Arial"/>
        </w:rPr>
        <w:t>There is also a risk of implementation gaps, where well-designed HR policies are not effectively applied. This may result from a lack of skills, motivation, or accountability among managers, as well as poor communication of organisational objectives.</w:t>
      </w:r>
    </w:p>
    <w:p w14:paraId="23F478D5" w14:textId="77777777" w:rsidR="008664EF" w:rsidRPr="00C365F6" w:rsidRDefault="008664EF" w:rsidP="008664EF">
      <w:pPr>
        <w:jc w:val="both"/>
        <w:rPr>
          <w:rFonts w:cs="Arial"/>
        </w:rPr>
      </w:pPr>
      <w:r w:rsidRPr="00C365F6">
        <w:rPr>
          <w:rFonts w:cs="Arial"/>
        </w:rPr>
        <w:lastRenderedPageBreak/>
        <w:t>To address these challenges, organisations should invest in leadership development programmes and integrate HR-related objectives into performance management systems, ensuring managers are both capable and accountable.</w:t>
      </w:r>
    </w:p>
    <w:p w14:paraId="74CC3AF9" w14:textId="77777777" w:rsidR="008664EF" w:rsidRPr="00C365F6" w:rsidRDefault="008664EF" w:rsidP="008664EF">
      <w:pPr>
        <w:jc w:val="both"/>
        <w:rPr>
          <w:rFonts w:cs="Arial"/>
        </w:rPr>
      </w:pPr>
      <w:r w:rsidRPr="00C365F6">
        <w:rPr>
          <w:rFonts w:cs="Arial"/>
        </w:rPr>
        <w:t>Overall, effective implementation depends on alignment between HR strategy, leadership behaviour, and organisational culture. Without this alignment, HR practices are unlikely to achieve their intended outcomes.</w:t>
      </w:r>
    </w:p>
    <w:p w14:paraId="4254D832" w14:textId="77777777" w:rsidR="00663174" w:rsidRPr="00C365F6" w:rsidRDefault="00663174" w:rsidP="00220565">
      <w:pPr>
        <w:jc w:val="both"/>
        <w:rPr>
          <w:rFonts w:cs="Arial"/>
        </w:rPr>
      </w:pPr>
    </w:p>
    <w:p w14:paraId="6450AF8D" w14:textId="77777777" w:rsidR="00565B18" w:rsidRDefault="00FC3546" w:rsidP="00565B18">
      <w:pPr>
        <w:rPr>
          <w:rFonts w:cs="Arial"/>
        </w:rPr>
      </w:pPr>
      <w:r w:rsidRPr="00C365F6">
        <w:rPr>
          <w:rFonts w:cs="Arial"/>
          <w:b/>
        </w:rPr>
        <w:t>5. Conclusion and Recommendations</w:t>
      </w:r>
    </w:p>
    <w:p w14:paraId="068D4CA8" w14:textId="56026994" w:rsidR="00565B18" w:rsidRPr="00565B18" w:rsidRDefault="00565B18" w:rsidP="007C2324">
      <w:pPr>
        <w:jc w:val="both"/>
        <w:rPr>
          <w:rFonts w:cs="Arial"/>
        </w:rPr>
      </w:pPr>
      <w:r w:rsidRPr="00565B18">
        <w:rPr>
          <w:rFonts w:cs="Arial"/>
        </w:rPr>
        <w:t xml:space="preserve">This analysis has demonstrated that technological advancement, talent acquisition and retention, and diversity, equity and inclusion (DEI) are interconnected challenges for organisations such as </w:t>
      </w:r>
      <w:r w:rsidR="00277A27">
        <w:t>M&amp;S</w:t>
      </w:r>
      <w:r w:rsidRPr="00565B18">
        <w:rPr>
          <w:rFonts w:cs="Arial"/>
        </w:rPr>
        <w:t>. These challenges are driven by digital transformation, evolving workforce expectations, and increasing organisational and societal pressures.</w:t>
      </w:r>
    </w:p>
    <w:p w14:paraId="75C27157" w14:textId="77777777" w:rsidR="00565B18" w:rsidRPr="00565B18" w:rsidRDefault="00565B18" w:rsidP="007C2324">
      <w:pPr>
        <w:jc w:val="both"/>
        <w:rPr>
          <w:rFonts w:cs="Arial"/>
        </w:rPr>
      </w:pPr>
      <w:r w:rsidRPr="00565B18">
        <w:rPr>
          <w:rFonts w:cs="Arial"/>
        </w:rPr>
        <w:t>While contemporary HR practices such as blended learning, skills-based recruitment, and inclusive initiatives provide effective solutions, their success ultimately depends on consistent and effective implementation. Departmental managers play a critical role in translating HR strategies into practice and ensuring organisational outcomes are achieved. From a theoretical perspective, Equity Theory highlights that employees are motivated by perceptions of fairness, meaning that unequal treatment in areas such as pay, recognition, or opportunities may lead to dissatisfaction and reduced performance. Critically, organisations must therefore move beyond isolated HR practices and adopt an integrated approach that aligns HR systems, leadership behaviour, and organisational culture to ensure long-term effectiveness.</w:t>
      </w:r>
    </w:p>
    <w:p w14:paraId="3F830C2B" w14:textId="39F106FC" w:rsidR="00565B18" w:rsidRPr="00565B18" w:rsidRDefault="00565B18" w:rsidP="007C2324">
      <w:pPr>
        <w:jc w:val="both"/>
        <w:rPr>
          <w:rFonts w:cs="Arial"/>
        </w:rPr>
      </w:pPr>
      <w:r w:rsidRPr="00565B18">
        <w:rPr>
          <w:rFonts w:cs="Arial"/>
        </w:rPr>
        <w:t xml:space="preserve">To address these challenges, organisations should invest in continuous digital upskilling to support employees in adapting to technological change, while also implementing personalised retention strategies that reflect diverse employee needs and expectations. In addition, DEI initiatives should be strengthened through measurable targets, clear accountability, and regular evaluation to ensure meaningful impact. Drawing on Herzberg's Two-Factor Theory, it is evident that while hygiene factors such as pay and working conditions </w:t>
      </w:r>
      <w:r w:rsidR="00A61FB2">
        <w:rPr>
          <w:rFonts w:cs="Arial"/>
        </w:rPr>
        <w:t>minimise</w:t>
      </w:r>
      <w:r w:rsidRPr="00565B18">
        <w:rPr>
          <w:rFonts w:cs="Arial"/>
        </w:rPr>
        <w:t xml:space="preserve"> dissatisfaction, true motivation depends on intrinsic factors such as recognition, development, and meaningful work. Therefore, aligning HR strategy with organisational culture is essential to ensure that HR practices are consistently applied and contribute to sustainable organisational performance.</w:t>
      </w:r>
      <w:r w:rsidR="00A760CC">
        <w:rPr>
          <w:rFonts w:cs="Arial"/>
        </w:rPr>
        <w:t xml:space="preserve">  </w:t>
      </w:r>
    </w:p>
    <w:p w14:paraId="74A3335E" w14:textId="77777777" w:rsidR="00565B18" w:rsidRDefault="00565B18" w:rsidP="00565B18"/>
    <w:p w14:paraId="161A88C7" w14:textId="77777777" w:rsidR="00A61FB2" w:rsidRDefault="00A61FB2" w:rsidP="00565B18">
      <w:pPr>
        <w:rPr>
          <w:rFonts w:cs="Arial"/>
        </w:rPr>
      </w:pPr>
    </w:p>
    <w:p w14:paraId="140B5962" w14:textId="77777777" w:rsidR="00565B18" w:rsidRDefault="00565B18" w:rsidP="00565B18">
      <w:pPr>
        <w:rPr>
          <w:rFonts w:cs="Arial"/>
        </w:rPr>
      </w:pPr>
    </w:p>
    <w:p w14:paraId="3D76E796" w14:textId="77777777" w:rsidR="005D102D" w:rsidRDefault="005D102D" w:rsidP="00565B18">
      <w:pPr>
        <w:rPr>
          <w:rFonts w:cs="Arial"/>
        </w:rPr>
      </w:pPr>
    </w:p>
    <w:p w14:paraId="0AB43909" w14:textId="77777777" w:rsidR="00565B18" w:rsidRDefault="00565B18" w:rsidP="00565B18">
      <w:pPr>
        <w:rPr>
          <w:rFonts w:cs="Arial"/>
        </w:rPr>
      </w:pPr>
    </w:p>
    <w:p w14:paraId="00880EA4" w14:textId="7484A3CA" w:rsidR="00232109" w:rsidRPr="00C365F6" w:rsidRDefault="00232109" w:rsidP="00232109">
      <w:pPr>
        <w:rPr>
          <w:rFonts w:eastAsia="Times New Roman" w:cs="Arial"/>
        </w:rPr>
      </w:pPr>
      <w:r w:rsidRPr="00C365F6">
        <w:rPr>
          <w:rFonts w:eastAsia="Times New Roman" w:cs="Arial"/>
          <w:b/>
        </w:rPr>
        <w:lastRenderedPageBreak/>
        <w:t>Reference List</w:t>
      </w:r>
    </w:p>
    <w:p w14:paraId="5E101C98" w14:textId="22EBCD8D" w:rsidR="00B06DB3" w:rsidRPr="003D502F" w:rsidRDefault="00B06DB3" w:rsidP="003D502F">
      <w:pPr>
        <w:spacing w:after="0" w:line="240" w:lineRule="auto"/>
        <w:rPr>
          <w:rFonts w:eastAsia="Times New Roman" w:cs="Arial"/>
          <w:lang w:eastAsia="en-GB"/>
        </w:rPr>
      </w:pPr>
      <w:r w:rsidRPr="003D502F">
        <w:rPr>
          <w:rFonts w:eastAsia="Times New Roman" w:cs="Arial"/>
          <w:lang w:eastAsia="en-GB"/>
        </w:rPr>
        <w:t xml:space="preserve">ACAS (2021) </w:t>
      </w:r>
      <w:r w:rsidRPr="003D502F">
        <w:rPr>
          <w:rFonts w:eastAsia="Times New Roman" w:cs="Arial"/>
          <w:i/>
          <w:iCs/>
          <w:lang w:eastAsia="en-GB"/>
        </w:rPr>
        <w:t>Recruitment and selection</w:t>
      </w:r>
      <w:r w:rsidRPr="003D502F">
        <w:rPr>
          <w:rFonts w:eastAsia="Times New Roman" w:cs="Arial"/>
          <w:lang w:eastAsia="en-GB"/>
        </w:rPr>
        <w:t xml:space="preserve">. Available at: </w:t>
      </w:r>
      <w:hyperlink r:id="rId9" w:history="1">
        <w:r w:rsidR="005B6F84" w:rsidRPr="003D502F">
          <w:rPr>
            <w:rStyle w:val="Hyperlink"/>
            <w:rFonts w:eastAsia="Times New Roman" w:cs="Arial"/>
            <w:lang w:eastAsia="en-GB"/>
          </w:rPr>
          <w:t>https://www.acas.org.uk/recruitment</w:t>
        </w:r>
      </w:hyperlink>
      <w:r w:rsidRPr="003D502F">
        <w:rPr>
          <w:rFonts w:eastAsia="Times New Roman" w:cs="Arial"/>
          <w:lang w:eastAsia="en-GB"/>
        </w:rPr>
        <w:t xml:space="preserve"> (Accessed: 11 March 2026). </w:t>
      </w:r>
    </w:p>
    <w:p w14:paraId="2B25E09E" w14:textId="188410EE" w:rsidR="00B06DB3" w:rsidRPr="003D502F" w:rsidRDefault="00B06DB3" w:rsidP="003D502F">
      <w:pPr>
        <w:spacing w:after="0" w:line="240" w:lineRule="auto"/>
        <w:jc w:val="both"/>
        <w:rPr>
          <w:rFonts w:eastAsia="Times New Roman" w:cs="Arial"/>
          <w:lang w:eastAsia="en-GB"/>
        </w:rPr>
      </w:pPr>
      <w:r w:rsidRPr="003D502F">
        <w:rPr>
          <w:rFonts w:eastAsia="Times New Roman" w:cs="Arial"/>
          <w:lang w:eastAsia="en-GB"/>
        </w:rPr>
        <w:t xml:space="preserve">Armstrong, M. and Taylor, S. (2020) </w:t>
      </w:r>
      <w:r w:rsidRPr="003D502F">
        <w:rPr>
          <w:rFonts w:eastAsia="Times New Roman" w:cs="Arial"/>
          <w:i/>
          <w:iCs/>
          <w:lang w:eastAsia="en-GB"/>
        </w:rPr>
        <w:t>Armstrong’s handbook of human resource management practice</w:t>
      </w:r>
      <w:r w:rsidRPr="003D502F">
        <w:rPr>
          <w:rFonts w:eastAsia="Times New Roman" w:cs="Arial"/>
          <w:lang w:eastAsia="en-GB"/>
        </w:rPr>
        <w:t xml:space="preserve">. 15th edn. London: Kogan Page. </w:t>
      </w:r>
    </w:p>
    <w:p w14:paraId="6726C85D" w14:textId="53B1ADE4" w:rsidR="00B06DB3" w:rsidRPr="003D502F" w:rsidRDefault="00B06DB3" w:rsidP="003D502F">
      <w:pPr>
        <w:spacing w:after="0" w:line="240" w:lineRule="auto"/>
        <w:jc w:val="both"/>
        <w:rPr>
          <w:rFonts w:eastAsia="Times New Roman" w:cs="Arial"/>
          <w:lang w:eastAsia="en-GB"/>
        </w:rPr>
      </w:pPr>
      <w:r w:rsidRPr="003D502F">
        <w:rPr>
          <w:rFonts w:eastAsia="Times New Roman" w:cs="Arial"/>
          <w:lang w:eastAsia="en-GB"/>
        </w:rPr>
        <w:t xml:space="preserve">Autor, D. (2015) ‘Why are there still so many jobs? The history and future of workplace automation’, </w:t>
      </w:r>
      <w:r w:rsidRPr="003D502F">
        <w:rPr>
          <w:rFonts w:eastAsia="Times New Roman" w:cs="Arial"/>
          <w:i/>
          <w:iCs/>
          <w:lang w:eastAsia="en-GB"/>
        </w:rPr>
        <w:t>Journal of Economic Perspectives</w:t>
      </w:r>
      <w:r w:rsidRPr="003D502F">
        <w:rPr>
          <w:rFonts w:eastAsia="Times New Roman" w:cs="Arial"/>
          <w:lang w:eastAsia="en-GB"/>
        </w:rPr>
        <w:t xml:space="preserve">, 29(3), pp. 3–30. </w:t>
      </w:r>
    </w:p>
    <w:p w14:paraId="2CC5418D" w14:textId="77777777" w:rsidR="00DD78E1" w:rsidRPr="003D502F" w:rsidRDefault="00B06DB3" w:rsidP="003D502F">
      <w:pPr>
        <w:spacing w:after="0" w:line="240" w:lineRule="auto"/>
        <w:jc w:val="both"/>
        <w:rPr>
          <w:rFonts w:eastAsia="Times New Roman" w:cs="Arial"/>
          <w:sz w:val="24"/>
          <w:szCs w:val="24"/>
          <w:lang w:eastAsia="en-GB"/>
        </w:rPr>
      </w:pPr>
      <w:r w:rsidRPr="003D502F">
        <w:rPr>
          <w:rFonts w:eastAsia="Times New Roman" w:cs="Arial"/>
          <w:lang w:eastAsia="en-GB"/>
        </w:rPr>
        <w:t xml:space="preserve">Brynjolfsson, E. and McAfee, A. (2017) </w:t>
      </w:r>
      <w:r w:rsidRPr="003D502F">
        <w:rPr>
          <w:rFonts w:eastAsia="Times New Roman" w:cs="Arial"/>
          <w:i/>
          <w:iCs/>
          <w:lang w:eastAsia="en-GB"/>
        </w:rPr>
        <w:t>Machine, platform, crowd: Harnessing our digital future</w:t>
      </w:r>
      <w:r w:rsidRPr="003D502F">
        <w:rPr>
          <w:rFonts w:eastAsia="Times New Roman" w:cs="Arial"/>
          <w:lang w:eastAsia="en-GB"/>
        </w:rPr>
        <w:t>. New York: W.W. Norton &amp; Company.</w:t>
      </w:r>
      <w:r w:rsidR="00DD78E1" w:rsidRPr="003D502F">
        <w:rPr>
          <w:rFonts w:eastAsia="Times New Roman" w:cs="Arial"/>
          <w:lang w:eastAsia="en-GB"/>
        </w:rPr>
        <w:t xml:space="preserve"> </w:t>
      </w:r>
    </w:p>
    <w:p w14:paraId="5222EE0B" w14:textId="7685E733" w:rsidR="0043179D" w:rsidRPr="002B0A6F" w:rsidRDefault="00DD78E1" w:rsidP="008928B7">
      <w:pPr>
        <w:spacing w:after="0" w:line="240" w:lineRule="auto"/>
        <w:rPr>
          <w:rFonts w:eastAsia="Times New Roman" w:cs="Arial"/>
          <w:sz w:val="24"/>
          <w:szCs w:val="24"/>
          <w:lang w:eastAsia="en-GB"/>
        </w:rPr>
      </w:pPr>
      <w:r w:rsidRPr="003D502F">
        <w:rPr>
          <w:rFonts w:eastAsia="Times New Roman" w:cs="Arial"/>
          <w:sz w:val="24"/>
          <w:szCs w:val="24"/>
          <w:lang w:eastAsia="en-GB"/>
        </w:rPr>
        <w:t xml:space="preserve">Chartered Institute of Personnel and Development (2023) </w:t>
      </w:r>
      <w:r w:rsidRPr="003D502F">
        <w:rPr>
          <w:rFonts w:eastAsia="Times New Roman" w:cs="Arial"/>
          <w:i/>
          <w:iCs/>
          <w:sz w:val="24"/>
          <w:szCs w:val="24"/>
          <w:lang w:eastAsia="en-GB"/>
        </w:rPr>
        <w:t>Flexible and hybrid working practices</w:t>
      </w:r>
      <w:r w:rsidRPr="003D502F">
        <w:rPr>
          <w:rFonts w:eastAsia="Times New Roman" w:cs="Arial"/>
          <w:sz w:val="24"/>
          <w:szCs w:val="24"/>
          <w:lang w:eastAsia="en-GB"/>
        </w:rPr>
        <w:t>. Available at:</w:t>
      </w:r>
      <w:r w:rsidR="00171E1F" w:rsidRPr="003D502F">
        <w:rPr>
          <w:rFonts w:eastAsia="Times New Roman" w:cs="Arial"/>
          <w:sz w:val="24"/>
          <w:szCs w:val="24"/>
          <w:lang w:eastAsia="en-GB"/>
        </w:rPr>
        <w:t xml:space="preserve"> </w:t>
      </w:r>
      <w:hyperlink r:id="rId10" w:history="1">
        <w:r w:rsidR="000348A7" w:rsidRPr="00A02D2D">
          <w:rPr>
            <w:rStyle w:val="Hyperlink"/>
            <w:rFonts w:eastAsia="Times New Roman" w:cs="Arial"/>
            <w:sz w:val="24"/>
            <w:szCs w:val="24"/>
            <w:lang w:eastAsia="en-GB"/>
          </w:rPr>
          <w:t>https://www.cipd.org/globalassets/media/knowledge/knowledge-hub/reports/2023-pdfs/2023-flexible-hybrid-working-practices-report-8392.pdf</w:t>
        </w:r>
      </w:hyperlink>
      <w:r w:rsidRPr="00DD78E1">
        <w:rPr>
          <w:rFonts w:eastAsia="Times New Roman" w:cs="Arial"/>
          <w:sz w:val="24"/>
          <w:szCs w:val="24"/>
          <w:lang w:eastAsia="en-GB"/>
        </w:rPr>
        <w:t xml:space="preserve"> (Accessed: 11 March 2026). </w:t>
      </w:r>
    </w:p>
    <w:p w14:paraId="7225851D" w14:textId="23289014" w:rsidR="0043179D" w:rsidRPr="008928B7" w:rsidRDefault="00DD78E1" w:rsidP="008928B7">
      <w:pPr>
        <w:spacing w:after="0" w:line="240" w:lineRule="auto"/>
        <w:jc w:val="both"/>
        <w:rPr>
          <w:rFonts w:eastAsia="Times New Roman" w:cs="Arial"/>
          <w:sz w:val="24"/>
          <w:szCs w:val="24"/>
          <w:lang w:eastAsia="en-GB"/>
        </w:rPr>
      </w:pPr>
      <w:r w:rsidRPr="008928B7">
        <w:rPr>
          <w:rFonts w:eastAsia="Times New Roman" w:cs="Arial"/>
          <w:sz w:val="24"/>
          <w:szCs w:val="24"/>
          <w:lang w:eastAsia="en-GB"/>
        </w:rPr>
        <w:t xml:space="preserve">Chartered Institute of Personnel and Development (2024) </w:t>
      </w:r>
      <w:r w:rsidRPr="008928B7">
        <w:rPr>
          <w:rFonts w:eastAsia="Times New Roman" w:cs="Arial"/>
          <w:i/>
          <w:iCs/>
          <w:sz w:val="24"/>
          <w:szCs w:val="24"/>
          <w:lang w:eastAsia="en-GB"/>
        </w:rPr>
        <w:t>Resourcing and talent planning report 2024</w:t>
      </w:r>
      <w:r w:rsidRPr="008928B7">
        <w:rPr>
          <w:rFonts w:eastAsia="Times New Roman" w:cs="Arial"/>
          <w:sz w:val="24"/>
          <w:szCs w:val="24"/>
          <w:lang w:eastAsia="en-GB"/>
        </w:rPr>
        <w:t xml:space="preserve">. Available at: </w:t>
      </w:r>
    </w:p>
    <w:p w14:paraId="695CCF5F" w14:textId="173028DC" w:rsidR="00333B9B" w:rsidRPr="008928B7" w:rsidRDefault="008928B7" w:rsidP="008928B7">
      <w:pPr>
        <w:spacing w:after="0" w:line="240" w:lineRule="auto"/>
        <w:jc w:val="both"/>
        <w:rPr>
          <w:rFonts w:eastAsia="Times New Roman" w:cs="Arial"/>
          <w:sz w:val="24"/>
          <w:szCs w:val="24"/>
          <w:lang w:eastAsia="en-GB"/>
        </w:rPr>
      </w:pPr>
      <w:hyperlink r:id="rId11" w:history="1">
        <w:r w:rsidRPr="00A02D2D">
          <w:rPr>
            <w:rStyle w:val="Hyperlink"/>
            <w:rFonts w:eastAsia="Times New Roman" w:cs="Arial"/>
            <w:sz w:val="24"/>
            <w:szCs w:val="24"/>
            <w:lang w:eastAsia="en-GB"/>
          </w:rPr>
          <w:t>https://www.cipd.org/globalassets/media/knowledge/knowledge-hub/reports/2024-pdfs/8662-resource-and-talent-planning-2024-report-web.pdf</w:t>
        </w:r>
      </w:hyperlink>
      <w:r w:rsidR="00DD78E1" w:rsidRPr="008928B7">
        <w:rPr>
          <w:rFonts w:eastAsia="Times New Roman" w:cs="Arial"/>
          <w:sz w:val="24"/>
          <w:szCs w:val="24"/>
          <w:lang w:eastAsia="en-GB"/>
        </w:rPr>
        <w:t xml:space="preserve"> (Accessed: 11 March 2026).</w:t>
      </w:r>
    </w:p>
    <w:p w14:paraId="07A1D631" w14:textId="6B01B9D8" w:rsidR="00A8797D" w:rsidRPr="008928B7" w:rsidRDefault="00DD78E1" w:rsidP="008928B7">
      <w:pPr>
        <w:spacing w:after="0" w:line="240" w:lineRule="auto"/>
        <w:jc w:val="both"/>
        <w:rPr>
          <w:rFonts w:eastAsia="Times New Roman" w:cs="Arial"/>
          <w:lang w:eastAsia="en-GB"/>
        </w:rPr>
      </w:pPr>
      <w:r w:rsidRPr="008928B7">
        <w:rPr>
          <w:rFonts w:eastAsia="Times New Roman" w:cs="Arial"/>
          <w:sz w:val="24"/>
          <w:szCs w:val="24"/>
          <w:lang w:eastAsia="en-GB"/>
        </w:rPr>
        <w:t xml:space="preserve">Chartered Institute of Personnel and Development (2025) </w:t>
      </w:r>
      <w:r w:rsidRPr="008928B7">
        <w:rPr>
          <w:rFonts w:eastAsia="Times New Roman" w:cs="Arial"/>
          <w:i/>
          <w:iCs/>
          <w:sz w:val="24"/>
          <w:szCs w:val="24"/>
          <w:lang w:eastAsia="en-GB"/>
        </w:rPr>
        <w:t>Digital transformation and the future of the people profession</w:t>
      </w:r>
      <w:r w:rsidRPr="008928B7">
        <w:rPr>
          <w:rFonts w:eastAsia="Times New Roman" w:cs="Arial"/>
          <w:sz w:val="24"/>
          <w:szCs w:val="24"/>
          <w:lang w:eastAsia="en-GB"/>
        </w:rPr>
        <w:t xml:space="preserve">. Available at: </w:t>
      </w:r>
      <w:hyperlink r:id="rId12" w:tgtFrame="_new" w:history="1">
        <w:r w:rsidRPr="008928B7">
          <w:rPr>
            <w:rFonts w:eastAsia="Times New Roman" w:cs="Arial"/>
            <w:color w:val="0000FF"/>
            <w:sz w:val="24"/>
            <w:szCs w:val="24"/>
            <w:u w:val="single"/>
            <w:lang w:eastAsia="en-GB"/>
          </w:rPr>
          <w:t>https://www.cipd.org/en/get-involved/event-resources/fow-2025-digital-transformation-future-people-profession/</w:t>
        </w:r>
      </w:hyperlink>
      <w:r w:rsidRPr="008928B7">
        <w:rPr>
          <w:rFonts w:eastAsia="Times New Roman" w:cs="Arial"/>
          <w:sz w:val="24"/>
          <w:szCs w:val="24"/>
          <w:lang w:eastAsia="en-GB"/>
        </w:rPr>
        <w:t xml:space="preserve"> (Accessed: 11 March 2026).</w:t>
      </w:r>
    </w:p>
    <w:p w14:paraId="12132707" w14:textId="37A6BF5D" w:rsidR="00B06DB3" w:rsidRPr="008928B7" w:rsidRDefault="00B06DB3" w:rsidP="008928B7">
      <w:pPr>
        <w:spacing w:after="0" w:line="240" w:lineRule="auto"/>
        <w:jc w:val="both"/>
        <w:rPr>
          <w:rFonts w:eastAsia="Times New Roman" w:cs="Arial"/>
          <w:lang w:eastAsia="en-GB"/>
        </w:rPr>
      </w:pPr>
      <w:r w:rsidRPr="008928B7">
        <w:rPr>
          <w:rFonts w:eastAsia="Times New Roman" w:cs="Arial"/>
          <w:lang w:eastAsia="en-GB"/>
        </w:rPr>
        <w:t xml:space="preserve">Costa, L.A., Silva, R. and Mendes, P. (2024) ‘Employee retention and turnover: The role of non-financial factors’, </w:t>
      </w:r>
      <w:r w:rsidRPr="008928B7">
        <w:rPr>
          <w:rFonts w:eastAsia="Times New Roman" w:cs="Arial"/>
          <w:i/>
          <w:iCs/>
          <w:lang w:eastAsia="en-GB"/>
        </w:rPr>
        <w:t>Human Resource Development Review</w:t>
      </w:r>
      <w:r w:rsidRPr="008928B7">
        <w:rPr>
          <w:rFonts w:eastAsia="Times New Roman" w:cs="Arial"/>
          <w:lang w:eastAsia="en-GB"/>
        </w:rPr>
        <w:t xml:space="preserve">, 23(1), pp. 45–62. </w:t>
      </w:r>
    </w:p>
    <w:p w14:paraId="03CCED92" w14:textId="51293D3E" w:rsidR="00B06DB3" w:rsidRPr="008928B7" w:rsidRDefault="00B06DB3" w:rsidP="008928B7">
      <w:pPr>
        <w:spacing w:after="0" w:line="240" w:lineRule="auto"/>
        <w:jc w:val="both"/>
        <w:rPr>
          <w:rFonts w:eastAsia="Times New Roman" w:cs="Arial"/>
          <w:lang w:eastAsia="en-GB"/>
        </w:rPr>
      </w:pPr>
      <w:r w:rsidRPr="008928B7">
        <w:rPr>
          <w:rFonts w:eastAsia="Times New Roman" w:cs="Arial"/>
          <w:lang w:eastAsia="en-GB"/>
        </w:rPr>
        <w:t xml:space="preserve">Davenport, T.H. and Ronanki, R. (2018) ‘Artificial intelligence for the real world’, </w:t>
      </w:r>
      <w:r w:rsidRPr="008928B7">
        <w:rPr>
          <w:rFonts w:eastAsia="Times New Roman" w:cs="Arial"/>
          <w:i/>
          <w:iCs/>
          <w:lang w:eastAsia="en-GB"/>
        </w:rPr>
        <w:t>Harvard Business Review</w:t>
      </w:r>
      <w:r w:rsidRPr="008928B7">
        <w:rPr>
          <w:rFonts w:eastAsia="Times New Roman" w:cs="Arial"/>
          <w:lang w:eastAsia="en-GB"/>
        </w:rPr>
        <w:t xml:space="preserve">, 96(1), pp. 108–116. </w:t>
      </w:r>
    </w:p>
    <w:p w14:paraId="67C2AC17" w14:textId="15089D54" w:rsidR="00B06DB3" w:rsidRPr="008928B7" w:rsidRDefault="00B06DB3" w:rsidP="008928B7">
      <w:pPr>
        <w:spacing w:after="0" w:line="240" w:lineRule="auto"/>
        <w:jc w:val="both"/>
        <w:rPr>
          <w:rFonts w:eastAsia="Times New Roman" w:cs="Arial"/>
          <w:lang w:eastAsia="en-GB"/>
        </w:rPr>
      </w:pPr>
      <w:r w:rsidRPr="008928B7">
        <w:rPr>
          <w:rFonts w:eastAsia="Times New Roman" w:cs="Arial"/>
          <w:lang w:eastAsia="en-GB"/>
        </w:rPr>
        <w:t xml:space="preserve">Griffen, A.J. (2022) </w:t>
      </w:r>
      <w:r w:rsidRPr="008928B7">
        <w:rPr>
          <w:rFonts w:eastAsia="Times New Roman" w:cs="Arial"/>
          <w:i/>
          <w:iCs/>
          <w:lang w:eastAsia="en-GB"/>
        </w:rPr>
        <w:t>Challenges to integrating diversity, equity, and inclusion programs in organizations</w:t>
      </w:r>
      <w:r w:rsidRPr="008928B7">
        <w:rPr>
          <w:rFonts w:eastAsia="Times New Roman" w:cs="Arial"/>
          <w:lang w:eastAsia="en-GB"/>
        </w:rPr>
        <w:t xml:space="preserve">. Hershey, Pennsylvania: Information Science Reference. Available at: </w:t>
      </w:r>
      <w:hyperlink r:id="rId13" w:tgtFrame="_new" w:history="1">
        <w:r w:rsidRPr="008928B7">
          <w:rPr>
            <w:rFonts w:eastAsia="Times New Roman" w:cs="Arial"/>
            <w:color w:val="0000FF"/>
            <w:u w:val="single"/>
            <w:lang w:eastAsia="en-GB"/>
          </w:rPr>
          <w:t>https://doi.org/10.4018/978-1-7998-4093-0</w:t>
        </w:r>
      </w:hyperlink>
      <w:r w:rsidRPr="008928B7">
        <w:rPr>
          <w:rFonts w:eastAsia="Times New Roman" w:cs="Arial"/>
          <w:lang w:eastAsia="en-GB"/>
        </w:rPr>
        <w:t xml:space="preserve"> (Accessed: 6 April 2026). </w:t>
      </w:r>
    </w:p>
    <w:p w14:paraId="3250D515" w14:textId="620F90BB" w:rsidR="00B06DB3" w:rsidRPr="008928B7" w:rsidRDefault="00B06DB3" w:rsidP="008928B7">
      <w:pPr>
        <w:spacing w:after="0" w:line="240" w:lineRule="auto"/>
        <w:jc w:val="both"/>
        <w:rPr>
          <w:rFonts w:eastAsia="Times New Roman" w:cs="Arial"/>
          <w:lang w:eastAsia="en-GB"/>
        </w:rPr>
      </w:pPr>
      <w:r w:rsidRPr="008928B7">
        <w:rPr>
          <w:rFonts w:eastAsia="Times New Roman" w:cs="Arial"/>
          <w:lang w:eastAsia="en-GB"/>
        </w:rPr>
        <w:t xml:space="preserve">Hebl, M.R. and King, E. (eds.) (2024) </w:t>
      </w:r>
      <w:r w:rsidRPr="008928B7">
        <w:rPr>
          <w:rFonts w:eastAsia="Times New Roman" w:cs="Arial"/>
          <w:i/>
          <w:iCs/>
          <w:lang w:eastAsia="en-GB"/>
        </w:rPr>
        <w:t>Working together: Practicing the science of diversity, equity, and inclusion</w:t>
      </w:r>
      <w:r w:rsidRPr="008928B7">
        <w:rPr>
          <w:rFonts w:eastAsia="Times New Roman" w:cs="Arial"/>
          <w:lang w:eastAsia="en-GB"/>
        </w:rPr>
        <w:t xml:space="preserve">. 1st edn. New York: Oxford University Press. Available at: </w:t>
      </w:r>
      <w:hyperlink r:id="rId14" w:tgtFrame="_new" w:history="1">
        <w:r w:rsidRPr="008928B7">
          <w:rPr>
            <w:rFonts w:eastAsia="Times New Roman" w:cs="Arial"/>
            <w:color w:val="0000FF"/>
            <w:u w:val="single"/>
            <w:lang w:eastAsia="en-GB"/>
          </w:rPr>
          <w:t>https://doi.org/10.1093/oso/9780197744383.001.0001</w:t>
        </w:r>
      </w:hyperlink>
      <w:r w:rsidRPr="008928B7">
        <w:rPr>
          <w:rFonts w:eastAsia="Times New Roman" w:cs="Arial"/>
          <w:lang w:eastAsia="en-GB"/>
        </w:rPr>
        <w:t xml:space="preserve"> (Accessed: 5 April 2026). </w:t>
      </w:r>
    </w:p>
    <w:p w14:paraId="620B6197" w14:textId="2167B459" w:rsidR="00B06DB3" w:rsidRPr="008928B7" w:rsidRDefault="00B06DB3" w:rsidP="008928B7">
      <w:pPr>
        <w:spacing w:after="0" w:line="240" w:lineRule="auto"/>
        <w:jc w:val="both"/>
        <w:rPr>
          <w:rFonts w:eastAsia="Times New Roman" w:cs="Arial"/>
          <w:lang w:eastAsia="en-GB"/>
        </w:rPr>
      </w:pPr>
      <w:r w:rsidRPr="008928B7">
        <w:rPr>
          <w:rFonts w:eastAsia="Times New Roman" w:cs="Arial"/>
          <w:lang w:val="fr-FR" w:eastAsia="en-GB"/>
        </w:rPr>
        <w:t xml:space="preserve">Imran, M.K. et al. </w:t>
      </w:r>
      <w:r w:rsidRPr="008928B7">
        <w:rPr>
          <w:rFonts w:eastAsia="Times New Roman" w:cs="Arial"/>
          <w:lang w:eastAsia="en-GB"/>
        </w:rPr>
        <w:t xml:space="preserve">(2016) ‘What’s organization knowledge management strategy for successful change implementation?’, </w:t>
      </w:r>
      <w:r w:rsidRPr="008928B7">
        <w:rPr>
          <w:rFonts w:eastAsia="Times New Roman" w:cs="Arial"/>
          <w:i/>
          <w:iCs/>
          <w:lang w:eastAsia="en-GB"/>
        </w:rPr>
        <w:t>Journal of Organizational Change Management</w:t>
      </w:r>
      <w:r w:rsidRPr="008928B7">
        <w:rPr>
          <w:rFonts w:eastAsia="Times New Roman" w:cs="Arial"/>
          <w:lang w:eastAsia="en-GB"/>
        </w:rPr>
        <w:t xml:space="preserve">, 29(7), pp. 1097–1117. Available at: </w:t>
      </w:r>
      <w:hyperlink r:id="rId15" w:tgtFrame="_new" w:history="1">
        <w:r w:rsidRPr="008928B7">
          <w:rPr>
            <w:rFonts w:eastAsia="Times New Roman" w:cs="Arial"/>
            <w:color w:val="0000FF"/>
            <w:u w:val="single"/>
            <w:lang w:eastAsia="en-GB"/>
          </w:rPr>
          <w:t>https://doi.org/10.1108/JOCM-07-2015-0130</w:t>
        </w:r>
      </w:hyperlink>
      <w:r w:rsidRPr="008928B7">
        <w:rPr>
          <w:rFonts w:eastAsia="Times New Roman" w:cs="Arial"/>
          <w:lang w:eastAsia="en-GB"/>
        </w:rPr>
        <w:t xml:space="preserve"> (Accessed: 7 April 2026). </w:t>
      </w:r>
    </w:p>
    <w:p w14:paraId="69ABCB53" w14:textId="0F185BDE" w:rsidR="00B06DB3" w:rsidRPr="008928B7" w:rsidRDefault="00B06DB3" w:rsidP="008928B7">
      <w:pPr>
        <w:spacing w:after="0" w:line="240" w:lineRule="auto"/>
        <w:jc w:val="both"/>
        <w:rPr>
          <w:rFonts w:eastAsia="Times New Roman" w:cs="Arial"/>
          <w:lang w:eastAsia="en-GB"/>
        </w:rPr>
      </w:pPr>
      <w:r w:rsidRPr="008928B7">
        <w:rPr>
          <w:rFonts w:eastAsia="Times New Roman" w:cs="Arial"/>
          <w:lang w:eastAsia="en-GB"/>
        </w:rPr>
        <w:t xml:space="preserve">Kolb, D.A. (1984) </w:t>
      </w:r>
      <w:r w:rsidRPr="008928B7">
        <w:rPr>
          <w:rFonts w:eastAsia="Times New Roman" w:cs="Arial"/>
          <w:i/>
          <w:iCs/>
          <w:lang w:eastAsia="en-GB"/>
        </w:rPr>
        <w:t>Experiential learning: Experience as the source of learning and development</w:t>
      </w:r>
      <w:r w:rsidRPr="008928B7">
        <w:rPr>
          <w:rFonts w:eastAsia="Times New Roman" w:cs="Arial"/>
          <w:lang w:eastAsia="en-GB"/>
        </w:rPr>
        <w:t xml:space="preserve">. Englewood Cliffs: Prentice Hall. </w:t>
      </w:r>
    </w:p>
    <w:p w14:paraId="7EA41773" w14:textId="5BE4F4A1" w:rsidR="00B06DB3" w:rsidRPr="008928B7" w:rsidRDefault="00B06DB3" w:rsidP="008928B7">
      <w:pPr>
        <w:spacing w:after="0" w:line="240" w:lineRule="auto"/>
        <w:jc w:val="both"/>
        <w:rPr>
          <w:rFonts w:eastAsia="Times New Roman" w:cs="Arial"/>
          <w:lang w:eastAsia="en-GB"/>
        </w:rPr>
      </w:pPr>
      <w:r w:rsidRPr="008928B7">
        <w:rPr>
          <w:rFonts w:eastAsia="Times New Roman" w:cs="Arial"/>
          <w:lang w:eastAsia="en-GB"/>
        </w:rPr>
        <w:t xml:space="preserve">Marler, J.H. and Boudreau, J.W. (2017) ‘An evidence-based review of HR analytics’, </w:t>
      </w:r>
      <w:r w:rsidRPr="008928B7">
        <w:rPr>
          <w:rFonts w:eastAsia="Times New Roman" w:cs="Arial"/>
          <w:i/>
          <w:iCs/>
          <w:lang w:eastAsia="en-GB"/>
        </w:rPr>
        <w:t>The International Journal of Human Resource Management</w:t>
      </w:r>
      <w:r w:rsidRPr="008928B7">
        <w:rPr>
          <w:rFonts w:eastAsia="Times New Roman" w:cs="Arial"/>
          <w:lang w:eastAsia="en-GB"/>
        </w:rPr>
        <w:t xml:space="preserve">, 28(1), pp. 3–26. </w:t>
      </w:r>
    </w:p>
    <w:p w14:paraId="4C3D334A" w14:textId="78B5EA85" w:rsidR="0085111E" w:rsidRPr="008928B7" w:rsidRDefault="00B06DB3" w:rsidP="008928B7">
      <w:pPr>
        <w:spacing w:after="0" w:line="240" w:lineRule="auto"/>
        <w:jc w:val="both"/>
        <w:rPr>
          <w:rFonts w:cs="Arial"/>
        </w:rPr>
      </w:pPr>
      <w:r w:rsidRPr="008928B7">
        <w:rPr>
          <w:rFonts w:eastAsia="Times New Roman" w:cs="Arial"/>
          <w:lang w:eastAsia="en-GB"/>
        </w:rPr>
        <w:t xml:space="preserve">Noe, R.A. (2020) </w:t>
      </w:r>
      <w:r w:rsidRPr="008928B7">
        <w:rPr>
          <w:rFonts w:eastAsia="Times New Roman" w:cs="Arial"/>
          <w:i/>
          <w:iCs/>
          <w:lang w:eastAsia="en-GB"/>
        </w:rPr>
        <w:t>Employee training and development</w:t>
      </w:r>
      <w:r w:rsidRPr="008928B7">
        <w:rPr>
          <w:rFonts w:eastAsia="Times New Roman" w:cs="Arial"/>
          <w:lang w:eastAsia="en-GB"/>
        </w:rPr>
        <w:t>. 8th edn. New York: McGraw-Hill Education.</w:t>
      </w:r>
    </w:p>
    <w:sectPr w:rsidR="0085111E" w:rsidRPr="008928B7" w:rsidSect="00034616">
      <w:headerReference w:type="default" r:id="rId16"/>
      <w:footerReference w:type="default" r:id="rId1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AC352" w14:textId="77777777" w:rsidR="00AB2426" w:rsidRPr="00C365F6" w:rsidRDefault="00AB2426">
      <w:pPr>
        <w:spacing w:after="0" w:line="240" w:lineRule="auto"/>
      </w:pPr>
      <w:r w:rsidRPr="00C365F6">
        <w:separator/>
      </w:r>
    </w:p>
  </w:endnote>
  <w:endnote w:type="continuationSeparator" w:id="0">
    <w:p w14:paraId="112BD5C0" w14:textId="77777777" w:rsidR="00AB2426" w:rsidRPr="00C365F6" w:rsidRDefault="00AB2426">
      <w:pPr>
        <w:spacing w:after="0" w:line="240" w:lineRule="auto"/>
      </w:pPr>
      <w:r w:rsidRPr="00C365F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2365511"/>
      <w:docPartObj>
        <w:docPartGallery w:val="Page Numbers (Bottom of Page)"/>
        <w:docPartUnique/>
      </w:docPartObj>
    </w:sdtPr>
    <w:sdtContent>
      <w:p w14:paraId="05F39C4D" w14:textId="71DD1A60" w:rsidR="002D25E2" w:rsidRPr="00C365F6" w:rsidRDefault="002D25E2">
        <w:pPr>
          <w:pStyle w:val="Footer"/>
          <w:jc w:val="center"/>
        </w:pPr>
        <w:r w:rsidRPr="00C365F6">
          <w:fldChar w:fldCharType="begin"/>
        </w:r>
        <w:r w:rsidRPr="00C365F6">
          <w:instrText xml:space="preserve"> PAGE   \* MERGEFORMAT </w:instrText>
        </w:r>
        <w:r w:rsidRPr="00C365F6">
          <w:fldChar w:fldCharType="separate"/>
        </w:r>
        <w:r w:rsidRPr="00C365F6">
          <w:t>2</w:t>
        </w:r>
        <w:r w:rsidRPr="00C365F6">
          <w:fldChar w:fldCharType="end"/>
        </w:r>
      </w:p>
    </w:sdtContent>
  </w:sdt>
  <w:p w14:paraId="2ACD891D" w14:textId="53DDFB04" w:rsidR="00B254F0" w:rsidRPr="00C365F6" w:rsidRDefault="00B25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7F10C" w14:textId="77777777" w:rsidR="00AB2426" w:rsidRPr="00C365F6" w:rsidRDefault="00AB2426">
      <w:pPr>
        <w:spacing w:after="0" w:line="240" w:lineRule="auto"/>
      </w:pPr>
      <w:r w:rsidRPr="00C365F6">
        <w:separator/>
      </w:r>
    </w:p>
  </w:footnote>
  <w:footnote w:type="continuationSeparator" w:id="0">
    <w:p w14:paraId="6E34C631" w14:textId="77777777" w:rsidR="00AB2426" w:rsidRPr="00C365F6" w:rsidRDefault="00AB2426">
      <w:pPr>
        <w:spacing w:after="0" w:line="240" w:lineRule="auto"/>
      </w:pPr>
      <w:r w:rsidRPr="00C365F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64B22" w14:textId="4458AA1C" w:rsidR="00AB7422" w:rsidRDefault="00AB74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53A2681"/>
    <w:multiLevelType w:val="hybridMultilevel"/>
    <w:tmpl w:val="B5C0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B43F73"/>
    <w:multiLevelType w:val="hybridMultilevel"/>
    <w:tmpl w:val="0E24FA20"/>
    <w:lvl w:ilvl="0" w:tplc="ED3E17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9751206">
    <w:abstractNumId w:val="8"/>
  </w:num>
  <w:num w:numId="2" w16cid:durableId="1530488251">
    <w:abstractNumId w:val="6"/>
  </w:num>
  <w:num w:numId="3" w16cid:durableId="5250771">
    <w:abstractNumId w:val="5"/>
  </w:num>
  <w:num w:numId="4" w16cid:durableId="1336567393">
    <w:abstractNumId w:val="4"/>
  </w:num>
  <w:num w:numId="5" w16cid:durableId="1896502803">
    <w:abstractNumId w:val="7"/>
  </w:num>
  <w:num w:numId="6" w16cid:durableId="1550147951">
    <w:abstractNumId w:val="3"/>
  </w:num>
  <w:num w:numId="7" w16cid:durableId="1920674716">
    <w:abstractNumId w:val="2"/>
  </w:num>
  <w:num w:numId="8" w16cid:durableId="2014524073">
    <w:abstractNumId w:val="1"/>
  </w:num>
  <w:num w:numId="9" w16cid:durableId="2037071656">
    <w:abstractNumId w:val="0"/>
  </w:num>
  <w:num w:numId="10" w16cid:durableId="122819599">
    <w:abstractNumId w:val="9"/>
  </w:num>
  <w:num w:numId="11" w16cid:durableId="73840688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348A7"/>
    <w:rsid w:val="000367DB"/>
    <w:rsid w:val="0005686B"/>
    <w:rsid w:val="0006063C"/>
    <w:rsid w:val="000A0B64"/>
    <w:rsid w:val="000D68FD"/>
    <w:rsid w:val="000F10E1"/>
    <w:rsid w:val="000F1175"/>
    <w:rsid w:val="00110EBE"/>
    <w:rsid w:val="0012137D"/>
    <w:rsid w:val="0012471A"/>
    <w:rsid w:val="00127257"/>
    <w:rsid w:val="00130F19"/>
    <w:rsid w:val="0013781B"/>
    <w:rsid w:val="001444CA"/>
    <w:rsid w:val="0015074B"/>
    <w:rsid w:val="00171E1F"/>
    <w:rsid w:val="00185281"/>
    <w:rsid w:val="001923B5"/>
    <w:rsid w:val="00194D99"/>
    <w:rsid w:val="001A202F"/>
    <w:rsid w:val="001B4A79"/>
    <w:rsid w:val="001C1654"/>
    <w:rsid w:val="001C19EE"/>
    <w:rsid w:val="001D3850"/>
    <w:rsid w:val="00204BB9"/>
    <w:rsid w:val="00220565"/>
    <w:rsid w:val="00230A56"/>
    <w:rsid w:val="00232109"/>
    <w:rsid w:val="0023647F"/>
    <w:rsid w:val="00243D79"/>
    <w:rsid w:val="00246669"/>
    <w:rsid w:val="00246E02"/>
    <w:rsid w:val="00254665"/>
    <w:rsid w:val="00256D95"/>
    <w:rsid w:val="002578A8"/>
    <w:rsid w:val="0027060A"/>
    <w:rsid w:val="00272035"/>
    <w:rsid w:val="00273DC2"/>
    <w:rsid w:val="00277A27"/>
    <w:rsid w:val="002827FA"/>
    <w:rsid w:val="002838C1"/>
    <w:rsid w:val="0029639D"/>
    <w:rsid w:val="002A1D44"/>
    <w:rsid w:val="002B0A6F"/>
    <w:rsid w:val="002B4935"/>
    <w:rsid w:val="002D0896"/>
    <w:rsid w:val="002D0A83"/>
    <w:rsid w:val="002D25E2"/>
    <w:rsid w:val="002D298E"/>
    <w:rsid w:val="002F04ED"/>
    <w:rsid w:val="002F2339"/>
    <w:rsid w:val="00302111"/>
    <w:rsid w:val="00302A04"/>
    <w:rsid w:val="00305373"/>
    <w:rsid w:val="0031494A"/>
    <w:rsid w:val="00326F90"/>
    <w:rsid w:val="00333B9B"/>
    <w:rsid w:val="0033662C"/>
    <w:rsid w:val="003442EC"/>
    <w:rsid w:val="0037494B"/>
    <w:rsid w:val="003D502F"/>
    <w:rsid w:val="003F6086"/>
    <w:rsid w:val="00402BE4"/>
    <w:rsid w:val="004247D6"/>
    <w:rsid w:val="00430491"/>
    <w:rsid w:val="0043179D"/>
    <w:rsid w:val="004514B0"/>
    <w:rsid w:val="00496C1B"/>
    <w:rsid w:val="004A1955"/>
    <w:rsid w:val="004C305C"/>
    <w:rsid w:val="004C59F2"/>
    <w:rsid w:val="00503CF4"/>
    <w:rsid w:val="00516214"/>
    <w:rsid w:val="00536902"/>
    <w:rsid w:val="00536FA3"/>
    <w:rsid w:val="00552EE6"/>
    <w:rsid w:val="0055773A"/>
    <w:rsid w:val="00562AB2"/>
    <w:rsid w:val="00565B18"/>
    <w:rsid w:val="00584D31"/>
    <w:rsid w:val="005978C6"/>
    <w:rsid w:val="005B165F"/>
    <w:rsid w:val="005B6F84"/>
    <w:rsid w:val="005D102D"/>
    <w:rsid w:val="005D7AF3"/>
    <w:rsid w:val="005F04B7"/>
    <w:rsid w:val="00605058"/>
    <w:rsid w:val="006057A7"/>
    <w:rsid w:val="006300E8"/>
    <w:rsid w:val="0063348C"/>
    <w:rsid w:val="0063676C"/>
    <w:rsid w:val="006475E7"/>
    <w:rsid w:val="00661D19"/>
    <w:rsid w:val="00663174"/>
    <w:rsid w:val="006743F2"/>
    <w:rsid w:val="006767AB"/>
    <w:rsid w:val="00682FBC"/>
    <w:rsid w:val="006A28AF"/>
    <w:rsid w:val="006A62BF"/>
    <w:rsid w:val="006B040A"/>
    <w:rsid w:val="006B600E"/>
    <w:rsid w:val="006D4E89"/>
    <w:rsid w:val="006E30A9"/>
    <w:rsid w:val="0070559D"/>
    <w:rsid w:val="007068B4"/>
    <w:rsid w:val="007100D1"/>
    <w:rsid w:val="00714B2C"/>
    <w:rsid w:val="007321E8"/>
    <w:rsid w:val="0073327B"/>
    <w:rsid w:val="00736333"/>
    <w:rsid w:val="00765A24"/>
    <w:rsid w:val="00772EF2"/>
    <w:rsid w:val="007733CB"/>
    <w:rsid w:val="007859BA"/>
    <w:rsid w:val="00791F71"/>
    <w:rsid w:val="007B5DC3"/>
    <w:rsid w:val="007C2324"/>
    <w:rsid w:val="007F57FC"/>
    <w:rsid w:val="007F61BB"/>
    <w:rsid w:val="00810DD9"/>
    <w:rsid w:val="008260CD"/>
    <w:rsid w:val="00832073"/>
    <w:rsid w:val="0085111E"/>
    <w:rsid w:val="00851D03"/>
    <w:rsid w:val="008664EF"/>
    <w:rsid w:val="008709BC"/>
    <w:rsid w:val="00873095"/>
    <w:rsid w:val="008928B7"/>
    <w:rsid w:val="008A1D6F"/>
    <w:rsid w:val="008A490D"/>
    <w:rsid w:val="008F1C67"/>
    <w:rsid w:val="00900DA8"/>
    <w:rsid w:val="00901093"/>
    <w:rsid w:val="009223AB"/>
    <w:rsid w:val="00924199"/>
    <w:rsid w:val="00932E5E"/>
    <w:rsid w:val="009516CB"/>
    <w:rsid w:val="009571E7"/>
    <w:rsid w:val="00960D89"/>
    <w:rsid w:val="00965319"/>
    <w:rsid w:val="009E3561"/>
    <w:rsid w:val="00A43A0B"/>
    <w:rsid w:val="00A61FB2"/>
    <w:rsid w:val="00A760CC"/>
    <w:rsid w:val="00A8797D"/>
    <w:rsid w:val="00A97BDB"/>
    <w:rsid w:val="00AA1D8D"/>
    <w:rsid w:val="00AB2426"/>
    <w:rsid w:val="00AB7422"/>
    <w:rsid w:val="00AE333C"/>
    <w:rsid w:val="00B06DB3"/>
    <w:rsid w:val="00B254F0"/>
    <w:rsid w:val="00B47730"/>
    <w:rsid w:val="00B52079"/>
    <w:rsid w:val="00B62372"/>
    <w:rsid w:val="00B65102"/>
    <w:rsid w:val="00BB301E"/>
    <w:rsid w:val="00BB4451"/>
    <w:rsid w:val="00BE5874"/>
    <w:rsid w:val="00BF56BD"/>
    <w:rsid w:val="00C06E41"/>
    <w:rsid w:val="00C107CE"/>
    <w:rsid w:val="00C365F6"/>
    <w:rsid w:val="00C61853"/>
    <w:rsid w:val="00C64911"/>
    <w:rsid w:val="00C73D20"/>
    <w:rsid w:val="00C93D9F"/>
    <w:rsid w:val="00CB0664"/>
    <w:rsid w:val="00CB0924"/>
    <w:rsid w:val="00CB4354"/>
    <w:rsid w:val="00CC4ED0"/>
    <w:rsid w:val="00CD6453"/>
    <w:rsid w:val="00D30115"/>
    <w:rsid w:val="00D31368"/>
    <w:rsid w:val="00D41279"/>
    <w:rsid w:val="00D47D8A"/>
    <w:rsid w:val="00DA254F"/>
    <w:rsid w:val="00DC6132"/>
    <w:rsid w:val="00DD20EB"/>
    <w:rsid w:val="00DD78E1"/>
    <w:rsid w:val="00DE2ADE"/>
    <w:rsid w:val="00DE45EE"/>
    <w:rsid w:val="00E00726"/>
    <w:rsid w:val="00E30283"/>
    <w:rsid w:val="00E46F70"/>
    <w:rsid w:val="00E61043"/>
    <w:rsid w:val="00E75C74"/>
    <w:rsid w:val="00E9275F"/>
    <w:rsid w:val="00EC6BA0"/>
    <w:rsid w:val="00ED625E"/>
    <w:rsid w:val="00EE1BB1"/>
    <w:rsid w:val="00EF216E"/>
    <w:rsid w:val="00F0302D"/>
    <w:rsid w:val="00F05D86"/>
    <w:rsid w:val="00F140F1"/>
    <w:rsid w:val="00F14E84"/>
    <w:rsid w:val="00F46F2C"/>
    <w:rsid w:val="00F537C0"/>
    <w:rsid w:val="00F709A7"/>
    <w:rsid w:val="00FA4BD0"/>
    <w:rsid w:val="00FB753F"/>
    <w:rsid w:val="00FC3546"/>
    <w:rsid w:val="00FC4179"/>
    <w:rsid w:val="00FC4C96"/>
    <w:rsid w:val="00FC693F"/>
    <w:rsid w:val="00FD5B13"/>
    <w:rsid w:val="00FD760B"/>
    <w:rsid w:val="00FE2EF9"/>
    <w:rsid w:val="00FF35A0"/>
    <w:rsid w:val="00FF721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217F1679-4A55-42D3-8D6B-7953A7737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F35A0"/>
    <w:rPr>
      <w:color w:val="0000FF"/>
      <w:u w:val="single"/>
    </w:rPr>
  </w:style>
  <w:style w:type="character" w:styleId="UnresolvedMention">
    <w:name w:val="Unresolved Mention"/>
    <w:basedOn w:val="DefaultParagraphFont"/>
    <w:uiPriority w:val="99"/>
    <w:semiHidden/>
    <w:unhideWhenUsed/>
    <w:rsid w:val="00246E02"/>
    <w:rPr>
      <w:color w:val="605E5C"/>
      <w:shd w:val="clear" w:color="auto" w:fill="E1DFDD"/>
    </w:rPr>
  </w:style>
  <w:style w:type="paragraph" w:styleId="NormalWeb">
    <w:name w:val="Normal (Web)"/>
    <w:basedOn w:val="Normal"/>
    <w:uiPriority w:val="99"/>
    <w:semiHidden/>
    <w:unhideWhenUsed/>
    <w:rsid w:val="00765A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A1D4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4018/978-1-7998-4093-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en/get-involved/event-resources/fow-2025-digital-transformation-future-people-profess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globalassets/media/knowledge/knowledge-hub/reports/2024-pdfs/8662-resource-and-talent-planning-2024-report-web.pdf" TargetMode="External"/><Relationship Id="rId5" Type="http://schemas.openxmlformats.org/officeDocument/2006/relationships/webSettings" Target="webSettings.xml"/><Relationship Id="rId15" Type="http://schemas.openxmlformats.org/officeDocument/2006/relationships/hyperlink" Target="https://doi.org/10.1108/JOCM-07-2015-0130" TargetMode="External"/><Relationship Id="rId10" Type="http://schemas.openxmlformats.org/officeDocument/2006/relationships/hyperlink" Target="https://www.cipd.org/globalassets/media/knowledge/knowledge-hub/reports/2023-pdfs/2023-flexible-hybrid-working-practices-report-8392.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as.org.uk/recruitment" TargetMode="External"/><Relationship Id="rId14" Type="http://schemas.openxmlformats.org/officeDocument/2006/relationships/hyperlink" Target="https://doi.org/10.1093/oso/9780197744383.001.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TotalTime>
  <Pages>9</Pages>
  <Words>3014</Words>
  <Characters>17181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Dora Edjangue</cp:lastModifiedBy>
  <cp:revision>189</cp:revision>
  <dcterms:created xsi:type="dcterms:W3CDTF">2013-12-23T23:15:00Z</dcterms:created>
  <dcterms:modified xsi:type="dcterms:W3CDTF">2026-04-17T08:46:00Z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de2b5057-a794-45d5-a205-56a03a64673d</vt:lpwstr>
  </property>
</Properties>
</file>