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8"/>
          <w:szCs w:val="28"/>
        </w:rPr>
      </w:pPr>
      <w:r w:rsidDel="00000000" w:rsidR="00000000" w:rsidRPr="00000000">
        <w:rPr>
          <w:b w:val="1"/>
          <w:bCs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sz w:val="28"/>
          <w:szCs w:val="28"/>
        </w:rPr>
      </w:pPr>
      <w:r w:rsidDel="00000000" w:rsidR="00000000" w:rsidRPr="00000000">
        <w:rPr>
          <w:b w:val="1"/>
          <w:bCs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40" w:lineRule="auto"/>
        <w:rPr>
          <w:sz w:val="28"/>
          <w:szCs w:val="28"/>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bCs w:val="1"/>
          <w:color w:val="000000"/>
          <w:sz w:val="20"/>
          <w:szCs w:val="20"/>
        </w:rPr>
      </w:pPr>
      <w:r w:rsidDel="00000000" w:rsidR="00000000" w:rsidRPr="00000000">
        <w:rPr>
          <w:rFonts w:ascii="Tahoma" w:cs="Tahoma" w:eastAsia="Tahoma" w:hAnsi="Tahoma"/>
          <w:b w:val="1"/>
          <w:bCs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bCs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pPr>
            <w:r w:rsidDel="00000000" w:rsidR="00000000" w:rsidRPr="00000000">
              <w:rPr>
                <w:b w:val="1"/>
                <w:bCs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pPr>
            <w:r w:rsidDel="00000000" w:rsidR="00000000" w:rsidRPr="00000000">
              <w:rPr>
                <w:rtl w:val="0"/>
              </w:rPr>
              <w:t xml:space="preserve">Student Name: Trevor Ho (HO U Teng)</w:t>
            </w:r>
          </w:p>
          <w:p w:rsidR="00000000" w:rsidDel="00000000" w:rsidP="00000000" w:rsidRDefault="00000000" w:rsidRPr="00000000" w14:paraId="0000000F">
            <w:pPr>
              <w:spacing w:line="240" w:lineRule="auto"/>
              <w:ind w:right="34"/>
              <w:rPr/>
            </w:pPr>
            <w:r w:rsidDel="00000000" w:rsidR="00000000" w:rsidRPr="00000000">
              <w:rPr>
                <w:rtl w:val="0"/>
              </w:rPr>
            </w:r>
          </w:p>
          <w:p w:rsidR="00000000" w:rsidDel="00000000" w:rsidP="00000000" w:rsidRDefault="00000000" w:rsidRPr="00000000" w14:paraId="00000010">
            <w:pPr>
              <w:spacing w:line="240" w:lineRule="auto"/>
              <w:ind w:right="34"/>
              <w:rPr/>
            </w:pPr>
            <w:r w:rsidDel="00000000" w:rsidR="00000000" w:rsidRPr="00000000">
              <w:rPr>
                <w:rtl w:val="0"/>
              </w:rPr>
              <w:t xml:space="preserve">Student </w:t>
            </w:r>
            <w:r w:rsidDel="00000000" w:rsidR="00000000" w:rsidRPr="00000000">
              <w:rPr>
                <w:b w:val="1"/>
                <w:bCs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w:t>
            </w:r>
            <w:hyperlink r:id="rId8">
              <w:r w:rsidDel="00000000" w:rsidR="00000000" w:rsidRPr="00000000">
                <w:rPr>
                  <w:color w:val="1155cc"/>
                  <w:u w:val="single"/>
                  <w:rtl w:val="0"/>
                </w:rPr>
                <w:t xml:space="preserve">2526295@student.uwtsd.ac.uk</w:t>
              </w:r>
            </w:hyperlink>
            <w:r w:rsidDel="00000000" w:rsidR="00000000" w:rsidRPr="00000000">
              <w:rPr>
                <w:rtl w:val="0"/>
              </w:rPr>
              <w:t xml:space="preserve"> </w:t>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pPr>
            <w:r w:rsidDel="00000000" w:rsidR="00000000" w:rsidRPr="00000000">
              <w:rPr>
                <w:rtl w:val="0"/>
              </w:rPr>
              <w:t xml:space="preserve">Module code: HPCA7016</w:t>
            </w:r>
          </w:p>
          <w:p w:rsidR="00000000" w:rsidDel="00000000" w:rsidP="00000000" w:rsidRDefault="00000000" w:rsidRPr="00000000" w14:paraId="00000016">
            <w:pPr>
              <w:spacing w:line="240" w:lineRule="auto"/>
              <w:ind w:right="34"/>
              <w:rPr/>
            </w:pPr>
            <w:r w:rsidDel="00000000" w:rsidR="00000000" w:rsidRPr="00000000">
              <w:rPr>
                <w:rtl w:val="0"/>
              </w:rPr>
            </w:r>
          </w:p>
          <w:p w:rsidR="00000000" w:rsidDel="00000000" w:rsidP="00000000" w:rsidRDefault="00000000" w:rsidRPr="00000000" w14:paraId="00000017">
            <w:pPr>
              <w:spacing w:line="240" w:lineRule="auto"/>
              <w:ind w:right="34"/>
              <w:rPr/>
            </w:pPr>
            <w:r w:rsidDel="00000000" w:rsidR="00000000" w:rsidRPr="00000000">
              <w:rPr>
                <w:rtl w:val="0"/>
              </w:rPr>
              <w:t xml:space="preserve">Module title: Researching Contemporary Cosmologies</w:t>
            </w:r>
          </w:p>
          <w:p w:rsidR="00000000" w:rsidDel="00000000" w:rsidP="00000000" w:rsidRDefault="00000000" w:rsidRPr="00000000" w14:paraId="00000018">
            <w:pPr>
              <w:spacing w:line="240" w:lineRule="auto"/>
              <w:ind w:right="34"/>
              <w:rPr/>
            </w:pPr>
            <w:r w:rsidDel="00000000" w:rsidR="00000000" w:rsidRPr="00000000">
              <w:rPr>
                <w:rtl w:val="0"/>
              </w:rPr>
            </w:r>
          </w:p>
          <w:p w:rsidR="00000000" w:rsidDel="00000000" w:rsidP="00000000" w:rsidRDefault="00000000" w:rsidRPr="00000000" w14:paraId="00000019">
            <w:pPr>
              <w:spacing w:line="240" w:lineRule="auto"/>
              <w:ind w:right="34"/>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pPr>
            <w:r w:rsidDel="00000000" w:rsidR="00000000" w:rsidRPr="00000000">
              <w:rPr>
                <w:rtl w:val="0"/>
              </w:rPr>
              <w:t xml:space="preserve">Student ID number:</w:t>
            </w:r>
          </w:p>
          <w:p w:rsidR="00000000" w:rsidDel="00000000" w:rsidP="00000000" w:rsidRDefault="00000000" w:rsidRPr="00000000" w14:paraId="0000001B">
            <w:pPr>
              <w:spacing w:line="240" w:lineRule="auto"/>
              <w:ind w:right="34"/>
              <w:rPr/>
            </w:pPr>
            <w:r w:rsidDel="00000000" w:rsidR="00000000" w:rsidRPr="00000000">
              <w:rPr>
                <w:rtl w:val="0"/>
              </w:rPr>
              <w:t xml:space="preserve">2526295</w:t>
            </w:r>
          </w:p>
        </w:tc>
        <w:tc>
          <w:tcPr>
            <w:vAlign w:val="top"/>
          </w:tcPr>
          <w:p w:rsidR="00000000" w:rsidDel="00000000" w:rsidP="00000000" w:rsidRDefault="00000000" w:rsidRPr="00000000" w14:paraId="0000001E">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1F">
            <w:pPr>
              <w:spacing w:line="240" w:lineRule="auto"/>
              <w:ind w:right="34"/>
              <w:rPr>
                <w:b w:val="1"/>
                <w:bCs w:val="1"/>
              </w:rPr>
            </w:pPr>
            <w:r w:rsidDel="00000000" w:rsidR="00000000" w:rsidRPr="00000000">
              <w:rPr>
                <w:rtl w:val="0"/>
              </w:rPr>
              <w:t xml:space="preserve">Yes/</w:t>
            </w:r>
            <w:r w:rsidDel="00000000" w:rsidR="00000000" w:rsidRPr="00000000">
              <w:rPr>
                <w:b w:val="1"/>
                <w:bCs w:val="1"/>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0">
            <w:pPr>
              <w:spacing w:line="240" w:lineRule="auto"/>
              <w:ind w:right="34"/>
              <w:rPr/>
            </w:pPr>
            <w:r w:rsidDel="00000000" w:rsidR="00000000" w:rsidRPr="00000000">
              <w:rPr>
                <w:rtl w:val="0"/>
              </w:rPr>
              <w:t xml:space="preserve">Assignment title: Assignment 1–A Critical Comparison of two Secondary Sources</w:t>
            </w:r>
          </w:p>
          <w:p w:rsidR="00000000" w:rsidDel="00000000" w:rsidP="00000000" w:rsidRDefault="00000000" w:rsidRPr="00000000" w14:paraId="00000021">
            <w:pPr>
              <w:spacing w:line="240" w:lineRule="auto"/>
              <w:ind w:right="34"/>
              <w:rPr/>
            </w:pPr>
            <w:r w:rsidDel="00000000" w:rsidR="00000000" w:rsidRPr="00000000">
              <w:rPr>
                <w:rtl w:val="0"/>
              </w:rPr>
            </w:r>
          </w:p>
          <w:p w:rsidR="00000000" w:rsidDel="00000000" w:rsidP="00000000" w:rsidRDefault="00000000" w:rsidRPr="00000000" w14:paraId="00000022">
            <w:pPr>
              <w:spacing w:line="240" w:lineRule="auto"/>
              <w:ind w:right="34"/>
              <w:rPr/>
            </w:pPr>
            <w:r w:rsidDel="00000000" w:rsidR="00000000" w:rsidRPr="00000000">
              <w:rPr>
                <w:rtl w:val="0"/>
              </w:rPr>
            </w:r>
          </w:p>
          <w:p w:rsidR="00000000" w:rsidDel="00000000" w:rsidP="00000000" w:rsidRDefault="00000000" w:rsidRPr="00000000" w14:paraId="00000023">
            <w:pPr>
              <w:spacing w:line="240" w:lineRule="auto"/>
              <w:ind w:right="34"/>
              <w:rPr/>
            </w:pPr>
            <w:r w:rsidDel="00000000" w:rsidR="00000000" w:rsidRPr="00000000">
              <w:rPr>
                <w:rtl w:val="0"/>
              </w:rPr>
              <w:t xml:space="preserve">Assignment due date: 17th March 2026</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8">
            <w:pPr>
              <w:spacing w:line="240" w:lineRule="auto"/>
              <w:rPr/>
            </w:pPr>
            <w:r w:rsidDel="00000000" w:rsidR="00000000" w:rsidRPr="00000000">
              <w:rPr>
                <w:rtl w:val="0"/>
              </w:rPr>
              <w:t xml:space="preserve">This assignment is for the       1</w:t>
            </w:r>
            <w:r w:rsidDel="00000000" w:rsidR="00000000" w:rsidRPr="00000000">
              <w:rPr>
                <w:vertAlign w:val="superscript"/>
                <w:rtl w:val="0"/>
              </w:rPr>
              <w:t xml:space="preserve">st</w:t>
            </w:r>
            <w:bookmarkStart w:colFirst="0" w:colLast="0" w:name="kix.aa4fq2cbk10g" w:id="0"/>
            <w:bookmarkEnd w:id="0"/>
            <w:r w:rsidDel="00000000" w:rsidR="00000000" w:rsidRPr="00000000">
              <w:rPr>
                <w:vertAlign w:val="superscript"/>
                <w:rtl w:val="0"/>
              </w:rPr>
              <w:t xml:space="preserve"> </w:t>
            </w:r>
            <w:r w:rsidDel="00000000" w:rsidR="00000000" w:rsidRPr="00000000">
              <w:rPr>
                <w:rtl w:val="0"/>
              </w:rPr>
              <w:t xml:space="preserve"> </w:t>
            </w:r>
            <w:r w:rsidDel="00000000" w:rsidR="00000000" w:rsidRPr="00000000">
              <w:rPr>
                <w:color w:val="545454"/>
                <w:sz w:val="21"/>
                <w:szCs w:val="21"/>
                <w:highlight w:val="white"/>
                <w:rtl w:val="0"/>
              </w:rPr>
              <w:t xml:space="preserve">☒</w:t>
            </w:r>
            <w:r w:rsidDel="00000000" w:rsidR="00000000" w:rsidRPr="00000000">
              <w:rPr>
                <w:rtl w:val="0"/>
              </w:rPr>
              <w:t xml:space="preserve">   2</w:t>
            </w:r>
            <w:r w:rsidDel="00000000" w:rsidR="00000000" w:rsidRPr="00000000">
              <w:rPr>
                <w:vertAlign w:val="superscript"/>
                <w:rtl w:val="0"/>
              </w:rPr>
              <w:t xml:space="preserve">nd</w:t>
            </w:r>
            <w:r w:rsidDel="00000000" w:rsidR="00000000" w:rsidRPr="00000000">
              <w:rPr>
                <w:rtl w:val="0"/>
              </w:rPr>
              <w:t xml:space="preserve">  </w:t>
            </w:r>
            <w:bookmarkStart w:colFirst="0" w:colLast="0" w:name="kix.a2exxjk9nx06" w:id="1"/>
            <w:bookmarkEnd w:id="1"/>
            <w:r w:rsidDel="00000000" w:rsidR="00000000" w:rsidRPr="00000000">
              <w:rPr>
                <w:rtl w:val="0"/>
              </w:rPr>
              <w:t xml:space="preserve">☐     3</w:t>
            </w:r>
            <w:r w:rsidDel="00000000" w:rsidR="00000000" w:rsidRPr="00000000">
              <w:rPr>
                <w:vertAlign w:val="superscript"/>
                <w:rtl w:val="0"/>
              </w:rPr>
              <w:t xml:space="preserve">rd</w:t>
            </w:r>
            <w:r w:rsidDel="00000000" w:rsidR="00000000" w:rsidRPr="00000000">
              <w:rPr>
                <w:rtl w:val="0"/>
              </w:rPr>
              <w:t xml:space="preserve">  </w:t>
            </w:r>
            <w:bookmarkStart w:colFirst="0" w:colLast="0" w:name="kix.abb9qn6u0a83" w:id="2"/>
            <w:bookmarkEnd w:id="2"/>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w:t>
            </w:r>
            <w:bookmarkStart w:colFirst="0" w:colLast="0" w:name="kix.2p3qxrcxnl7t" w:id="3"/>
            <w:bookmarkEnd w:id="3"/>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w:t>
            </w:r>
            <w:bookmarkStart w:colFirst="0" w:colLast="0" w:name="kix.d6y11ftwf3o5" w:id="4"/>
            <w:bookmarkEnd w:id="4"/>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bookmarkStart w:colFirst="0" w:colLast="0" w:name="kix.c555oc6z5ixq" w:id="5"/>
            <w:bookmarkEnd w:id="5"/>
            <w:r w:rsidDel="00000000" w:rsidR="00000000" w:rsidRPr="00000000">
              <w:rPr>
                <w:rtl w:val="0"/>
              </w:rPr>
              <w:t xml:space="preserve">☐</w:t>
            </w:r>
            <w:r w:rsidDel="00000000" w:rsidR="00000000" w:rsidRPr="00000000">
              <w:rPr>
                <w:b w:val="1"/>
                <w:bCs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D">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E">
            <w:pPr>
              <w:spacing w:line="240" w:lineRule="auto"/>
              <w:ind w:right="34"/>
              <w:rPr/>
            </w:pPr>
            <w:r w:rsidDel="00000000" w:rsidR="00000000" w:rsidRPr="00000000">
              <w:rPr>
                <w:rtl w:val="0"/>
              </w:rPr>
              <w:t xml:space="preserve">Signed </w:t>
            </w:r>
            <w:r w:rsidDel="00000000" w:rsidR="00000000" w:rsidRPr="00000000">
              <w:rPr/>
              <w:drawing>
                <wp:inline distB="114300" distT="114300" distL="114300" distR="114300">
                  <wp:extent cx="2838450" cy="129540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838450" cy="12954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bCs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bCs w:val="1"/>
                <w:sz w:val="44"/>
                <w:szCs w:val="44"/>
                <w:rtl w:val="0"/>
              </w:rPr>
              <w:t xml:space="preserve">□</w:t>
            </w:r>
            <w:r w:rsidDel="00000000" w:rsidR="00000000" w:rsidRPr="00000000">
              <w:rPr>
                <w:rtl w:val="0"/>
              </w:rPr>
            </w:r>
          </w:p>
          <w:p w:rsidR="00000000" w:rsidDel="00000000" w:rsidP="00000000" w:rsidRDefault="00000000" w:rsidRPr="00000000" w14:paraId="00000030">
            <w:pPr>
              <w:spacing w:line="240" w:lineRule="auto"/>
              <w:ind w:right="34"/>
              <w:rPr/>
            </w:pPr>
            <w:r w:rsidDel="00000000" w:rsidR="00000000" w:rsidRPr="00000000">
              <w:rPr>
                <w:rFonts w:ascii="Calibri" w:cs="Calibri" w:eastAsia="Calibri" w:hAnsi="Calibri"/>
                <w:b w:val="1"/>
                <w:bCs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5">
            <w:pPr>
              <w:spacing w:line="240" w:lineRule="auto"/>
              <w:rPr>
                <w:sz w:val="24"/>
                <w:szCs w:val="24"/>
              </w:rPr>
            </w:pPr>
            <w:r w:rsidDel="00000000" w:rsidR="00000000" w:rsidRPr="00000000">
              <w:rPr>
                <w:rtl w:val="0"/>
              </w:rPr>
            </w:r>
          </w:p>
          <w:p w:rsidR="00000000" w:rsidDel="00000000" w:rsidP="00000000" w:rsidRDefault="00000000" w:rsidRPr="00000000" w14:paraId="00000036">
            <w:pPr>
              <w:spacing w:line="240" w:lineRule="auto"/>
              <w:rPr>
                <w:sz w:val="24"/>
                <w:szCs w:val="24"/>
              </w:rPr>
            </w:pPr>
            <w:r w:rsidDel="00000000" w:rsidR="00000000" w:rsidRPr="00000000">
              <w:rPr>
                <w:b w:val="1"/>
                <w:bCs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7">
                  <w:pPr>
                    <w:spacing w:line="240" w:lineRule="auto"/>
                    <w:rPr>
                      <w:sz w:val="20"/>
                      <w:szCs w:val="20"/>
                    </w:rPr>
                  </w:pPr>
                  <w:r w:rsidDel="00000000" w:rsidR="00000000" w:rsidRPr="00000000">
                    <w:rPr>
                      <w:rtl w:val="0"/>
                    </w:rPr>
                  </w:r>
                </w:p>
                <w:p w:rsidR="00000000" w:rsidDel="00000000" w:rsidP="00000000" w:rsidRDefault="00000000" w:rsidRPr="00000000" w14:paraId="00000038">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9">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A">
                  <w:pPr>
                    <w:spacing w:line="240" w:lineRule="auto"/>
                    <w:rPr>
                      <w:sz w:val="20"/>
                      <w:szCs w:val="20"/>
                    </w:rPr>
                  </w:pPr>
                  <w:r w:rsidDel="00000000" w:rsidR="00000000" w:rsidRPr="00000000">
                    <w:rPr>
                      <w:rtl w:val="0"/>
                    </w:rPr>
                  </w:r>
                </w:p>
                <w:p w:rsidR="00000000" w:rsidDel="00000000" w:rsidP="00000000" w:rsidRDefault="00000000" w:rsidRPr="00000000" w14:paraId="0000003B">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3C">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D">
                  <w:pPr>
                    <w:spacing w:line="240" w:lineRule="auto"/>
                    <w:rPr>
                      <w:sz w:val="20"/>
                      <w:szCs w:val="20"/>
                    </w:rPr>
                  </w:pPr>
                  <w:r w:rsidDel="00000000" w:rsidR="00000000" w:rsidRPr="00000000">
                    <w:rPr>
                      <w:rtl w:val="0"/>
                    </w:rPr>
                  </w:r>
                </w:p>
                <w:p w:rsidR="00000000" w:rsidDel="00000000" w:rsidP="00000000" w:rsidRDefault="00000000" w:rsidRPr="00000000" w14:paraId="0000003E">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3F">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0">
                  <w:pPr>
                    <w:spacing w:line="240" w:lineRule="auto"/>
                    <w:rPr>
                      <w:sz w:val="20"/>
                      <w:szCs w:val="20"/>
                    </w:rPr>
                  </w:pPr>
                  <w:r w:rsidDel="00000000" w:rsidR="00000000" w:rsidRPr="00000000">
                    <w:rPr>
                      <w:rtl w:val="0"/>
                    </w:rPr>
                  </w:r>
                </w:p>
                <w:p w:rsidR="00000000" w:rsidDel="00000000" w:rsidP="00000000" w:rsidRDefault="00000000" w:rsidRPr="00000000" w14:paraId="00000041">
                  <w:pPr>
                    <w:spacing w:line="240" w:lineRule="auto"/>
                    <w:rPr>
                      <w:sz w:val="20"/>
                      <w:szCs w:val="20"/>
                    </w:rPr>
                  </w:pPr>
                  <w:r w:rsidDel="00000000" w:rsidR="00000000" w:rsidRPr="00000000">
                    <w:rPr>
                      <w:b w:val="1"/>
                      <w:bCs w:val="1"/>
                      <w:sz w:val="20"/>
                      <w:szCs w:val="20"/>
                      <w:rtl w:val="0"/>
                    </w:rPr>
                    <w:t xml:space="preserve">Final Mark</w:t>
                  </w:r>
                  <w:r w:rsidDel="00000000" w:rsidR="00000000" w:rsidRPr="00000000">
                    <w:rPr>
                      <w:rtl w:val="0"/>
                    </w:rPr>
                  </w:r>
                </w:p>
                <w:p w:rsidR="00000000" w:rsidDel="00000000" w:rsidP="00000000" w:rsidRDefault="00000000" w:rsidRPr="00000000" w14:paraId="00000042">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3">
                  <w:pPr>
                    <w:spacing w:line="240" w:lineRule="auto"/>
                    <w:rPr>
                      <w:sz w:val="20"/>
                      <w:szCs w:val="20"/>
                    </w:rPr>
                  </w:pPr>
                  <w:r w:rsidDel="00000000" w:rsidR="00000000" w:rsidRPr="00000000">
                    <w:rPr>
                      <w:rtl w:val="0"/>
                    </w:rPr>
                  </w:r>
                </w:p>
              </w:tc>
            </w:tr>
          </w:tbl>
          <w:p w:rsidR="00000000" w:rsidDel="00000000" w:rsidP="00000000" w:rsidRDefault="00000000" w:rsidRPr="00000000" w14:paraId="00000044">
            <w:pPr>
              <w:spacing w:line="240" w:lineRule="auto"/>
              <w:ind w:left="142" w:right="34" w:firstLine="0"/>
              <w:rPr/>
            </w:pPr>
            <w:r w:rsidDel="00000000" w:rsidR="00000000" w:rsidRPr="00000000">
              <w:rPr>
                <w:rtl w:val="0"/>
              </w:rPr>
            </w:r>
          </w:p>
          <w:p w:rsidR="00000000" w:rsidDel="00000000" w:rsidP="00000000" w:rsidRDefault="00000000" w:rsidRPr="00000000" w14:paraId="00000045">
            <w:pPr>
              <w:spacing w:line="240" w:lineRule="auto"/>
              <w:ind w:left="142" w:right="34" w:firstLine="0"/>
              <w:rPr/>
            </w:pPr>
            <w:r w:rsidDel="00000000" w:rsidR="00000000" w:rsidRPr="00000000">
              <w:rPr>
                <w:b w:val="1"/>
                <w:bCs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6">
            <w:pPr>
              <w:spacing w:line="240" w:lineRule="auto"/>
              <w:rPr/>
            </w:pPr>
            <w:r w:rsidDel="00000000" w:rsidR="00000000" w:rsidRPr="00000000">
              <w:rPr>
                <w:rtl w:val="0"/>
              </w:rPr>
            </w:r>
          </w:p>
          <w:p w:rsidR="00000000" w:rsidDel="00000000" w:rsidP="00000000" w:rsidRDefault="00000000" w:rsidRPr="00000000" w14:paraId="00000047">
            <w:pPr>
              <w:spacing w:line="240" w:lineRule="auto"/>
              <w:rPr/>
            </w:pPr>
            <w:r w:rsidDel="00000000" w:rsidR="00000000" w:rsidRPr="00000000">
              <w:rPr>
                <w:rtl w:val="0"/>
              </w:rPr>
            </w:r>
          </w:p>
          <w:p w:rsidR="00000000" w:rsidDel="00000000" w:rsidP="00000000" w:rsidRDefault="00000000" w:rsidRPr="00000000" w14:paraId="00000048">
            <w:pPr>
              <w:spacing w:line="240" w:lineRule="auto"/>
              <w:rPr/>
            </w:pPr>
            <w:r w:rsidDel="00000000" w:rsidR="00000000" w:rsidRPr="00000000">
              <w:rPr>
                <w:rtl w:val="0"/>
              </w:rPr>
            </w:r>
          </w:p>
          <w:p w:rsidR="00000000" w:rsidDel="00000000" w:rsidP="00000000" w:rsidRDefault="00000000" w:rsidRPr="00000000" w14:paraId="00000049">
            <w:pPr>
              <w:spacing w:line="240" w:lineRule="auto"/>
              <w:rPr/>
            </w:pPr>
            <w:r w:rsidDel="00000000" w:rsidR="00000000" w:rsidRPr="00000000">
              <w:rPr>
                <w:rtl w:val="0"/>
              </w:rPr>
            </w:r>
          </w:p>
          <w:p w:rsidR="00000000" w:rsidDel="00000000" w:rsidP="00000000" w:rsidRDefault="00000000" w:rsidRPr="00000000" w14:paraId="0000004A">
            <w:pPr>
              <w:spacing w:line="240" w:lineRule="auto"/>
              <w:rPr/>
            </w:pPr>
            <w:r w:rsidDel="00000000" w:rsidR="00000000" w:rsidRPr="00000000">
              <w:rPr>
                <w:b w:val="1"/>
                <w:bCs w:val="1"/>
                <w:rtl w:val="0"/>
              </w:rPr>
              <w:t xml:space="preserve">For completion by Marker 1 :</w:t>
            </w:r>
            <w:r w:rsidDel="00000000" w:rsidR="00000000" w:rsidRPr="00000000">
              <w:rPr>
                <w:rtl w:val="0"/>
              </w:rPr>
            </w:r>
          </w:p>
          <w:p w:rsidR="00000000" w:rsidDel="00000000" w:rsidP="00000000" w:rsidRDefault="00000000" w:rsidRPr="00000000" w14:paraId="0000004B">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4C">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1">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4">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6">
            <w:pPr>
              <w:spacing w:line="240" w:lineRule="auto"/>
              <w:ind w:right="-334"/>
              <w:rPr/>
            </w:pPr>
            <w:r w:rsidDel="00000000" w:rsidR="00000000" w:rsidRPr="00000000">
              <w:rPr>
                <w:rtl w:val="0"/>
              </w:rPr>
            </w:r>
          </w:p>
          <w:p w:rsidR="00000000" w:rsidDel="00000000" w:rsidP="00000000" w:rsidRDefault="00000000" w:rsidRPr="00000000" w14:paraId="00000057">
            <w:pPr>
              <w:spacing w:line="240" w:lineRule="auto"/>
              <w:ind w:right="-334"/>
              <w:rPr/>
            </w:pPr>
            <w:r w:rsidDel="00000000" w:rsidR="00000000" w:rsidRPr="00000000">
              <w:rPr>
                <w:b w:val="1"/>
                <w:bCs w:val="1"/>
                <w:rtl w:val="0"/>
              </w:rPr>
              <w:t xml:space="preserve">For completion by Marker 2/Moderator:</w:t>
            </w:r>
            <w:r w:rsidDel="00000000" w:rsidR="00000000" w:rsidRPr="00000000">
              <w:rPr>
                <w:rtl w:val="0"/>
              </w:rPr>
            </w:r>
          </w:p>
          <w:p w:rsidR="00000000" w:rsidDel="00000000" w:rsidP="00000000" w:rsidRDefault="00000000" w:rsidRPr="00000000" w14:paraId="00000058">
            <w:pPr>
              <w:spacing w:line="240" w:lineRule="auto"/>
              <w:ind w:right="-334"/>
              <w:rPr/>
            </w:pPr>
            <w:r w:rsidDel="00000000" w:rsidR="00000000" w:rsidRPr="00000000">
              <w:rPr>
                <w:rtl w:val="0"/>
              </w:rPr>
            </w:r>
          </w:p>
          <w:p w:rsidR="00000000" w:rsidDel="00000000" w:rsidP="00000000" w:rsidRDefault="00000000" w:rsidRPr="00000000" w14:paraId="00000059">
            <w:pPr>
              <w:spacing w:line="240" w:lineRule="auto"/>
              <w:ind w:right="-334"/>
              <w:rPr/>
            </w:pPr>
            <w:r w:rsidDel="00000000" w:rsidR="00000000" w:rsidRPr="00000000">
              <w:rPr>
                <w:rtl w:val="0"/>
              </w:rPr>
              <w:t xml:space="preserve">Comments:</w:t>
            </w:r>
          </w:p>
          <w:p w:rsidR="00000000" w:rsidDel="00000000" w:rsidP="00000000" w:rsidRDefault="00000000" w:rsidRPr="00000000" w14:paraId="0000005A">
            <w:pPr>
              <w:spacing w:line="240" w:lineRule="auto"/>
              <w:ind w:right="-334"/>
              <w:rPr/>
            </w:pPr>
            <w:r w:rsidDel="00000000" w:rsidR="00000000" w:rsidRPr="00000000">
              <w:rPr>
                <w:rtl w:val="0"/>
              </w:rPr>
            </w:r>
          </w:p>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rtl w:val="0"/>
              </w:rPr>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p w:rsidR="00000000" w:rsidDel="00000000" w:rsidP="00000000" w:rsidRDefault="00000000" w:rsidRPr="00000000" w14:paraId="00000062">
            <w:pPr>
              <w:spacing w:line="240" w:lineRule="auto"/>
              <w:ind w:right="-334"/>
              <w:rPr/>
            </w:pPr>
            <w:r w:rsidDel="00000000" w:rsidR="00000000" w:rsidRPr="00000000">
              <w:rPr>
                <w:rtl w:val="0"/>
              </w:rPr>
            </w:r>
          </w:p>
          <w:p w:rsidR="00000000" w:rsidDel="00000000" w:rsidP="00000000" w:rsidRDefault="00000000" w:rsidRPr="00000000" w14:paraId="00000063">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8">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A">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D">
            <w:pPr>
              <w:spacing w:line="240" w:lineRule="auto"/>
              <w:rPr/>
            </w:pPr>
            <w:r w:rsidDel="00000000" w:rsidR="00000000" w:rsidRPr="00000000">
              <w:rPr>
                <w:b w:val="1"/>
                <w:bCs w:val="1"/>
                <w:rtl w:val="0"/>
              </w:rPr>
              <w:t xml:space="preserve">External Examiner’s comments (if relevant)</w:t>
            </w:r>
            <w:r w:rsidDel="00000000" w:rsidR="00000000" w:rsidRPr="00000000">
              <w:rPr>
                <w:rtl w:val="0"/>
              </w:rPr>
            </w:r>
          </w:p>
          <w:p w:rsidR="00000000" w:rsidDel="00000000" w:rsidP="00000000" w:rsidRDefault="00000000" w:rsidRPr="00000000" w14:paraId="0000006E">
            <w:pPr>
              <w:spacing w:line="240" w:lineRule="auto"/>
              <w:ind w:right="-334"/>
              <w:rPr/>
            </w:pPr>
            <w:r w:rsidDel="00000000" w:rsidR="00000000" w:rsidRPr="00000000">
              <w:rPr>
                <w:rtl w:val="0"/>
              </w:rPr>
            </w:r>
          </w:p>
          <w:p w:rsidR="00000000" w:rsidDel="00000000" w:rsidP="00000000" w:rsidRDefault="00000000" w:rsidRPr="00000000" w14:paraId="0000006F">
            <w:pPr>
              <w:spacing w:line="240" w:lineRule="auto"/>
              <w:ind w:right="-334"/>
              <w:rPr/>
            </w:pP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9">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B">
            <w:pPr>
              <w:spacing w:line="240" w:lineRule="auto"/>
              <w:rPr/>
            </w:pPr>
            <w:r w:rsidDel="00000000" w:rsidR="00000000" w:rsidRPr="00000000">
              <w:rPr>
                <w:rtl w:val="0"/>
              </w:rPr>
              <w:t xml:space="preserve">Date:</w:t>
            </w:r>
          </w:p>
        </w:tc>
      </w:tr>
    </w:tbl>
    <w:p w:rsidR="00000000" w:rsidDel="00000000" w:rsidP="00000000" w:rsidRDefault="00000000" w:rsidRPr="00000000" w14:paraId="0000007E">
      <w:pPr>
        <w:spacing w:line="240" w:lineRule="auto"/>
        <w:ind w:right="-334"/>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7F">
      <w:pPr>
        <w:jc w:val="center"/>
        <w:rPr>
          <w:rFonts w:ascii="Cambria" w:cs="Cambria" w:eastAsia="Cambria" w:hAnsi="Cambria"/>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80">
      <w:pPr>
        <w:jc w:val="center"/>
        <w:rPr>
          <w:rFonts w:ascii="Cambria" w:cs="Cambria" w:eastAsia="Cambria" w:hAnsi="Cambria"/>
        </w:rPr>
      </w:pPr>
      <w:r w:rsidDel="00000000" w:rsidR="00000000" w:rsidRPr="00000000">
        <w:rPr>
          <w:rFonts w:ascii="Cambria" w:cs="Cambria" w:eastAsia="Cambria" w:hAnsi="Cambria"/>
          <w:b w:val="1"/>
          <w:bCs w:val="1"/>
          <w:rtl w:val="0"/>
        </w:rPr>
        <w:t xml:space="preserve">A Critical Comparison of two Secondary Sources</w:t>
      </w:r>
      <w:r w:rsidDel="00000000" w:rsidR="00000000" w:rsidRPr="00000000">
        <w:rPr>
          <w:rtl w:val="0"/>
        </w:rPr>
      </w:r>
    </w:p>
    <w:p w:rsidR="00000000" w:rsidDel="00000000" w:rsidP="00000000" w:rsidRDefault="00000000" w:rsidRPr="00000000" w14:paraId="00000081">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2">
      <w:pPr>
        <w:ind w:firstLine="283.46456692913387"/>
        <w:rPr>
          <w:rFonts w:ascii="Cambria" w:cs="Cambria" w:eastAsia="Cambria" w:hAnsi="Cambria"/>
        </w:rPr>
      </w:pPr>
      <w:r w:rsidDel="00000000" w:rsidR="00000000" w:rsidRPr="00000000">
        <w:rPr>
          <w:rFonts w:ascii="Cambria" w:cs="Cambria" w:eastAsia="Cambria" w:hAnsi="Cambria"/>
          <w:rtl w:val="0"/>
        </w:rPr>
        <w:t xml:space="preserve">Survey the circling stars as though you yourself were in mid-course with them…Visions of </w:t>
      </w:r>
    </w:p>
    <w:p w:rsidR="00000000" w:rsidDel="00000000" w:rsidP="00000000" w:rsidRDefault="00000000" w:rsidRPr="00000000" w14:paraId="00000083">
      <w:pPr>
        <w:ind w:firstLine="283.46456692913387"/>
        <w:rPr>
          <w:rFonts w:ascii="Cambria" w:cs="Cambria" w:eastAsia="Cambria" w:hAnsi="Cambria"/>
        </w:rPr>
      </w:pPr>
      <w:r w:rsidDel="00000000" w:rsidR="00000000" w:rsidRPr="00000000">
        <w:rPr>
          <w:rFonts w:ascii="Cambria" w:cs="Cambria" w:eastAsia="Cambria" w:hAnsi="Cambria"/>
          <w:rtl w:val="0"/>
        </w:rPr>
        <w:t xml:space="preserve">this kind purge away the dross of our Earth-bound life.</w:t>
      </w:r>
      <w:r w:rsidDel="00000000" w:rsidR="00000000" w:rsidRPr="00000000">
        <w:rPr>
          <w:rFonts w:ascii="Cambria" w:cs="Cambria" w:eastAsia="Cambria" w:hAnsi="Cambria"/>
          <w:vertAlign w:val="superscript"/>
        </w:rPr>
        <w:footnoteReference w:customMarkFollows="0" w:id="0"/>
      </w:r>
      <w:r w:rsidDel="00000000" w:rsidR="00000000" w:rsidRPr="00000000">
        <w:rPr>
          <w:rtl w:val="0"/>
        </w:rPr>
      </w:r>
    </w:p>
    <w:p w:rsidR="00000000" w:rsidDel="00000000" w:rsidP="00000000" w:rsidRDefault="00000000" w:rsidRPr="00000000" w14:paraId="00000084">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5">
      <w:pPr>
        <w:ind w:firstLine="283.46456692913387"/>
        <w:rPr>
          <w:rFonts w:ascii="Cambria" w:cs="Cambria" w:eastAsia="Cambria" w:hAnsi="Cambria"/>
        </w:rPr>
      </w:pPr>
      <w:r w:rsidDel="00000000" w:rsidR="00000000" w:rsidRPr="00000000">
        <w:rPr>
          <w:rFonts w:ascii="Cambria" w:cs="Cambria" w:eastAsia="Cambria" w:hAnsi="Cambria"/>
          <w:rtl w:val="0"/>
        </w:rPr>
        <w:t xml:space="preserve">This paper comments on two transpersonal research studies; namely, Jenny Blain, </w:t>
      </w:r>
      <w:r w:rsidDel="00000000" w:rsidR="00000000" w:rsidRPr="00000000">
        <w:rPr>
          <w:rFonts w:ascii="Cambria" w:cs="Cambria" w:eastAsia="Cambria" w:hAnsi="Cambria"/>
          <w:i w:val="1"/>
          <w:iCs w:val="1"/>
          <w:rtl w:val="0"/>
        </w:rPr>
        <w:t xml:space="preserve">Speaking Shamanistically: Seidr, Academia and Rationality</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DISKUS</w:t>
      </w:r>
      <w:r w:rsidDel="00000000" w:rsidR="00000000" w:rsidRPr="00000000">
        <w:rPr>
          <w:rFonts w:ascii="Cambria" w:cs="Cambria" w:eastAsia="Cambria" w:hAnsi="Cambria"/>
          <w:rtl w:val="0"/>
        </w:rPr>
        <w:t xml:space="preserve">, vol. 6 (2000), and Gillian Bennett, “‘If I Knew You Were Coming I’d Have Baked a Cake’: The Folklore of Foreknowledge in a Neighbourhood Group,” in Barbara Walker (ed.), </w:t>
      </w:r>
      <w:r w:rsidDel="00000000" w:rsidR="00000000" w:rsidRPr="00000000">
        <w:rPr>
          <w:rFonts w:ascii="Cambria" w:cs="Cambria" w:eastAsia="Cambria" w:hAnsi="Cambria"/>
          <w:i w:val="1"/>
          <w:iCs w:val="1"/>
          <w:rtl w:val="0"/>
        </w:rPr>
        <w:t xml:space="preserve">Out of the Ordinary: Folklore and the Supernatural</w:t>
      </w:r>
      <w:r w:rsidDel="00000000" w:rsidR="00000000" w:rsidRPr="00000000">
        <w:rPr>
          <w:rFonts w:ascii="Cambria" w:cs="Cambria" w:eastAsia="Cambria" w:hAnsi="Cambria"/>
          <w:rtl w:val="0"/>
        </w:rPr>
        <w:t xml:space="preserve"> (Logan, Utah: Utah State University Press, 1995), pp. 122–42. Specifically, methodological choices are compared, attending to psychological and ecological factors that may be at play during the investigative processes. </w:t>
      </w:r>
    </w:p>
    <w:p w:rsidR="00000000" w:rsidDel="00000000" w:rsidP="00000000" w:rsidRDefault="00000000" w:rsidRPr="00000000" w14:paraId="00000086">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7">
      <w:pPr>
        <w:ind w:left="0" w:firstLine="0"/>
        <w:rPr>
          <w:rFonts w:ascii="Cambria" w:cs="Cambria" w:eastAsia="Cambria" w:hAnsi="Cambria"/>
          <w:b w:val="1"/>
          <w:bCs w:val="1"/>
        </w:rPr>
      </w:pPr>
      <w:r w:rsidDel="00000000" w:rsidR="00000000" w:rsidRPr="00000000">
        <w:rPr>
          <w:rFonts w:ascii="Cambria" w:cs="Cambria" w:eastAsia="Cambria" w:hAnsi="Cambria"/>
          <w:b w:val="1"/>
          <w:bCs w:val="1"/>
          <w:rtl w:val="0"/>
        </w:rPr>
        <w:t xml:space="preserve">Spontaneity as fuel for the investigative process</w:t>
      </w:r>
    </w:p>
    <w:p w:rsidR="00000000" w:rsidDel="00000000" w:rsidP="00000000" w:rsidRDefault="00000000" w:rsidRPr="00000000" w14:paraId="00000088">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9">
      <w:pPr>
        <w:ind w:firstLine="283.46456692913387"/>
        <w:rPr>
          <w:rFonts w:ascii="Cambria" w:cs="Cambria" w:eastAsia="Cambria" w:hAnsi="Cambria"/>
        </w:rPr>
      </w:pPr>
      <w:r w:rsidDel="00000000" w:rsidR="00000000" w:rsidRPr="00000000">
        <w:rPr>
          <w:rFonts w:ascii="Cambria" w:cs="Cambria" w:eastAsia="Cambria" w:hAnsi="Cambria"/>
          <w:rtl w:val="0"/>
        </w:rPr>
        <w:t xml:space="preserve">Bennett </w:t>
      </w:r>
      <w:r w:rsidDel="00000000" w:rsidR="00000000" w:rsidRPr="00000000">
        <w:rPr>
          <w:rFonts w:ascii="Cambria" w:cs="Cambria" w:eastAsia="Cambria" w:hAnsi="Cambria"/>
          <w:rtl w:val="0"/>
        </w:rPr>
        <w:t xml:space="preserve">demonstrates one of the methodological possibilities available to anthropological researchers. She depicts the process of engaging with participants in a séance series in North America. The séance examined is rooted in Icelandic saga traditions and has been practised for over a millennium. </w:t>
      </w:r>
    </w:p>
    <w:p w:rsidR="00000000" w:rsidDel="00000000" w:rsidP="00000000" w:rsidRDefault="00000000" w:rsidRPr="00000000" w14:paraId="0000008A">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B">
      <w:pPr>
        <w:ind w:firstLine="283.46456692913387"/>
        <w:rPr>
          <w:rFonts w:ascii="Cambria" w:cs="Cambria" w:eastAsia="Cambria" w:hAnsi="Cambria"/>
        </w:rPr>
      </w:pPr>
      <w:r w:rsidDel="00000000" w:rsidR="00000000" w:rsidRPr="00000000">
        <w:rPr>
          <w:rFonts w:ascii="Cambria" w:cs="Cambria" w:eastAsia="Cambria" w:hAnsi="Cambria"/>
          <w:rtl w:val="0"/>
        </w:rPr>
        <w:t xml:space="preserve">The researcher communicated with the séance participants through conducting interviews. Methodologically speaking, the study uses ethnographic extrapolation as self-guidance to formulate directed interview questions. The questions, while not mentioned in the paper, could have been designed based on the researcher’s intuitive decision-making. </w:t>
      </w:r>
    </w:p>
    <w:p w:rsidR="00000000" w:rsidDel="00000000" w:rsidP="00000000" w:rsidRDefault="00000000" w:rsidRPr="00000000" w14:paraId="0000008C">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D">
      <w:pPr>
        <w:ind w:firstLine="283.46456692913387"/>
        <w:rPr>
          <w:rFonts w:ascii="Cambria" w:cs="Cambria" w:eastAsia="Cambria" w:hAnsi="Cambria"/>
        </w:rPr>
      </w:pPr>
      <w:r w:rsidDel="00000000" w:rsidR="00000000" w:rsidRPr="00000000">
        <w:rPr>
          <w:rFonts w:ascii="Cambria" w:cs="Cambria" w:eastAsia="Cambria" w:hAnsi="Cambria"/>
          <w:rtl w:val="0"/>
        </w:rPr>
        <w:t xml:space="preserve">Guided by the researcher’s own ethnographic experience, the questions may have influenced the openness of the interview itself. Such a phenomenon assisted the flow of the interview while keeping the participant engaged in the process. Methodologically biased research studies of this type extend conventional academic interviews, be it (semi-)structured or unstructured. </w:t>
      </w:r>
    </w:p>
    <w:p w:rsidR="00000000" w:rsidDel="00000000" w:rsidP="00000000" w:rsidRDefault="00000000" w:rsidRPr="00000000" w14:paraId="0000008E">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8F">
      <w:pPr>
        <w:ind w:firstLine="283.46456692913387"/>
        <w:rPr>
          <w:rFonts w:ascii="Cambria" w:cs="Cambria" w:eastAsia="Cambria" w:hAnsi="Cambria"/>
        </w:rPr>
      </w:pPr>
      <w:r w:rsidDel="00000000" w:rsidR="00000000" w:rsidRPr="00000000">
        <w:rPr>
          <w:rFonts w:ascii="Cambria" w:cs="Cambria" w:eastAsia="Cambria" w:hAnsi="Cambria"/>
          <w:rtl w:val="0"/>
        </w:rPr>
        <w:t xml:space="preserve">The researcher understands the insider’s view and cosmology, guiding her interview questions spontaneously. Such spontaneity makes sense given the nature of the ethnographic experience. The research study thus validates itself by virtue of how the researcher makes the case at the beginning of the paper. Information gathered serves as scaffolded data collected via spontaneous decisions made by the ethnographer-interviewer. Research that is methodologically biased responds to the need for spontaneity-assisted queries. </w:t>
      </w:r>
    </w:p>
    <w:p w:rsidR="00000000" w:rsidDel="00000000" w:rsidP="00000000" w:rsidRDefault="00000000" w:rsidRPr="00000000" w14:paraId="00000090">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1">
      <w:pPr>
        <w:ind w:firstLine="283.46456692913387"/>
        <w:rPr>
          <w:rFonts w:ascii="Cambria" w:cs="Cambria" w:eastAsia="Cambria" w:hAnsi="Cambria"/>
        </w:rPr>
      </w:pPr>
      <w:r w:rsidDel="00000000" w:rsidR="00000000" w:rsidRPr="00000000">
        <w:rPr>
          <w:rFonts w:ascii="Cambria" w:cs="Cambria" w:eastAsia="Cambria" w:hAnsi="Cambria"/>
          <w:rtl w:val="0"/>
        </w:rPr>
        <w:t xml:space="preserve">On the other hand, the researcher, while guided by intuitive decision making, understands the rigor of academic research. Research methods such as interviewing participants may result in in-depth qualitative perceptual data. However, structured interviews risk the lack of spontaneity in the flow of the process, hindering the participants from channeling information through potential extrasensory perceptual processes. </w:t>
      </w:r>
    </w:p>
    <w:p w:rsidR="00000000" w:rsidDel="00000000" w:rsidP="00000000" w:rsidRDefault="00000000" w:rsidRPr="00000000" w14:paraId="00000092">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3">
      <w:pPr>
        <w:ind w:firstLine="283.46456692913387"/>
        <w:rPr>
          <w:rFonts w:ascii="Cambria" w:cs="Cambria" w:eastAsia="Cambria" w:hAnsi="Cambria"/>
        </w:rPr>
      </w:pPr>
      <w:r w:rsidDel="00000000" w:rsidR="00000000" w:rsidRPr="00000000">
        <w:rPr>
          <w:rFonts w:ascii="Cambria" w:cs="Cambria" w:eastAsia="Cambria" w:hAnsi="Cambria"/>
          <w:rtl w:val="0"/>
        </w:rPr>
        <w:t xml:space="preserve">Bennett</w:t>
      </w:r>
      <w:r w:rsidDel="00000000" w:rsidR="00000000" w:rsidRPr="00000000">
        <w:rPr>
          <w:rFonts w:ascii="Cambria" w:cs="Cambria" w:eastAsia="Cambria" w:hAnsi="Cambria"/>
          <w:rtl w:val="0"/>
        </w:rPr>
        <w:t xml:space="preserve"> highlights a paradigm that conventional (semi-)structured interviews may not accommodate when addressing new phenomena. These phenomena are intrinsically induced through the researcher and the participants’ extrasensory perceptual processes. These processes are authentic and debatable at the same time, yet they shall not be disregarded. Ethnographic research attempting to attend to these processes validates itself by allowing the researcher freedom in designing questions spontaneously throughout the interview. The unstructured nature of the interview, therefore, grounds the interview process for extrasensory perceptual processes to take place. </w:t>
      </w:r>
    </w:p>
    <w:p w:rsidR="00000000" w:rsidDel="00000000" w:rsidP="00000000" w:rsidRDefault="00000000" w:rsidRPr="00000000" w14:paraId="00000094">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5">
      <w:pPr>
        <w:ind w:firstLine="283.46456692913387"/>
        <w:rPr>
          <w:rFonts w:ascii="Cambria" w:cs="Cambria" w:eastAsia="Cambria" w:hAnsi="Cambria"/>
        </w:rPr>
      </w:pPr>
      <w:r w:rsidDel="00000000" w:rsidR="00000000" w:rsidRPr="00000000">
        <w:rPr>
          <w:rFonts w:ascii="Cambria" w:cs="Cambria" w:eastAsia="Cambria" w:hAnsi="Cambria"/>
          <w:rtl w:val="0"/>
        </w:rPr>
        <w:t xml:space="preserve">Methodological decision-making concerns mostly the outcome of the research. No studies home in on the method itself. While some studies focus on how different research methods triangulate into a specific investigation, other studies risk non-triangulated outcome and conclusion. </w:t>
      </w:r>
      <w:r w:rsidDel="00000000" w:rsidR="00000000" w:rsidRPr="00000000">
        <w:rPr>
          <w:rFonts w:ascii="Cambria" w:cs="Cambria" w:eastAsia="Cambria" w:hAnsi="Cambria"/>
          <w:rtl w:val="0"/>
        </w:rPr>
        <w:t xml:space="preserve">Bennett’s study</w:t>
      </w:r>
      <w:r w:rsidDel="00000000" w:rsidR="00000000" w:rsidRPr="00000000">
        <w:rPr>
          <w:rFonts w:ascii="Cambria" w:cs="Cambria" w:eastAsia="Cambria" w:hAnsi="Cambria"/>
          <w:rtl w:val="0"/>
        </w:rPr>
        <w:t xml:space="preserve"> is one example of this kind. While the author researches on how séance participants experience and express Icelandic seidr rituals in North America, the study does not point to sufficient triangulated methods that would otherwise lend support to the findings.</w:t>
      </w:r>
    </w:p>
    <w:p w:rsidR="00000000" w:rsidDel="00000000" w:rsidP="00000000" w:rsidRDefault="00000000" w:rsidRPr="00000000" w14:paraId="00000096">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7">
      <w:pPr>
        <w:ind w:firstLine="283.46456692913387"/>
        <w:rPr>
          <w:rFonts w:ascii="Cambria" w:cs="Cambria" w:eastAsia="Cambria" w:hAnsi="Cambria"/>
        </w:rPr>
      </w:pPr>
      <w:r w:rsidDel="00000000" w:rsidR="00000000" w:rsidRPr="00000000">
        <w:rPr>
          <w:rFonts w:ascii="Cambria" w:cs="Cambria" w:eastAsia="Cambria" w:hAnsi="Cambria"/>
          <w:rtl w:val="0"/>
        </w:rPr>
        <w:t xml:space="preserve">Methodologically speaking, the study attempts to give accounts regarding interviews allegedly unstructured. It may benefit from a wider population and the use of questionnaires in collecting demographic data. </w:t>
      </w:r>
    </w:p>
    <w:p w:rsidR="00000000" w:rsidDel="00000000" w:rsidP="00000000" w:rsidRDefault="00000000" w:rsidRPr="00000000" w14:paraId="00000098">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9">
      <w:pPr>
        <w:ind w:left="0" w:firstLine="0"/>
        <w:rPr>
          <w:rFonts w:ascii="Cambria" w:cs="Cambria" w:eastAsia="Cambria" w:hAnsi="Cambria"/>
          <w:b w:val="1"/>
          <w:bCs w:val="1"/>
        </w:rPr>
      </w:pPr>
      <w:r w:rsidDel="00000000" w:rsidR="00000000" w:rsidRPr="00000000">
        <w:rPr>
          <w:rFonts w:ascii="Cambria" w:cs="Cambria" w:eastAsia="Cambria" w:hAnsi="Cambria"/>
          <w:b w:val="1"/>
          <w:bCs w:val="1"/>
          <w:rtl w:val="0"/>
        </w:rPr>
        <w:t xml:space="preserve">Triangulation</w:t>
      </w:r>
    </w:p>
    <w:p w:rsidR="00000000" w:rsidDel="00000000" w:rsidP="00000000" w:rsidRDefault="00000000" w:rsidRPr="00000000" w14:paraId="0000009A">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B">
      <w:pPr>
        <w:ind w:firstLine="283.46456692913387"/>
        <w:rPr>
          <w:rFonts w:ascii="Cambria" w:cs="Cambria" w:eastAsia="Cambria" w:hAnsi="Cambria"/>
        </w:rPr>
      </w:pPr>
      <w:r w:rsidDel="00000000" w:rsidR="00000000" w:rsidRPr="00000000">
        <w:rPr>
          <w:rFonts w:ascii="Cambria" w:cs="Cambria" w:eastAsia="Cambria" w:hAnsi="Cambria"/>
          <w:rtl w:val="0"/>
        </w:rPr>
        <w:t xml:space="preserve">Blain provides an example of triangulated data collection, combining surveys, interviews and relevant literature. The author also discusses literature relating to the topic. Data collected via other previous studies restated in this paper provide support to the argument. </w:t>
      </w:r>
    </w:p>
    <w:p w:rsidR="00000000" w:rsidDel="00000000" w:rsidP="00000000" w:rsidRDefault="00000000" w:rsidRPr="00000000" w14:paraId="0000009C">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D">
      <w:pPr>
        <w:ind w:firstLine="283.46456692913387"/>
        <w:rPr>
          <w:rFonts w:ascii="Cambria" w:cs="Cambria" w:eastAsia="Cambria" w:hAnsi="Cambria"/>
        </w:rPr>
      </w:pPr>
      <w:r w:rsidDel="00000000" w:rsidR="00000000" w:rsidRPr="00000000">
        <w:rPr>
          <w:rFonts w:ascii="Cambria" w:cs="Cambria" w:eastAsia="Cambria" w:hAnsi="Cambria"/>
          <w:rtl w:val="0"/>
        </w:rPr>
        <w:t xml:space="preserve">The study accounted for eighty-seven women aged sixty to ninety-five years in “a large northern city”</w:t>
      </w:r>
      <w:r w:rsidDel="00000000" w:rsidR="00000000" w:rsidRPr="00000000">
        <w:rPr>
          <w:rFonts w:ascii="Cambria" w:cs="Cambria" w:eastAsia="Cambria" w:hAnsi="Cambria"/>
          <w:vertAlign w:val="superscript"/>
        </w:rPr>
        <w:footnoteReference w:customMarkFollows="0" w:id="1"/>
      </w:r>
      <w:r w:rsidDel="00000000" w:rsidR="00000000" w:rsidRPr="00000000">
        <w:rPr>
          <w:rFonts w:ascii="Cambria" w:cs="Cambria" w:eastAsia="Cambria" w:hAnsi="Cambria"/>
          <w:rtl w:val="0"/>
        </w:rPr>
        <w:t xml:space="preserve">. Interviews conducted inside the researcher’s father’s clinic were recorded and transcribed for analysis. Such type of sampling benefits from homogenous demographic dynamics. In regard to other sampling methods such as large-scale recruitment of participants and internet-based remote interview participants, more comprehensive accounts may result, in contrast to the specific-interest group investigation method that this study uses. </w:t>
      </w:r>
    </w:p>
    <w:p w:rsidR="00000000" w:rsidDel="00000000" w:rsidP="00000000" w:rsidRDefault="00000000" w:rsidRPr="00000000" w14:paraId="0000009E">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9F">
      <w:pPr>
        <w:ind w:firstLine="283.46456692913387"/>
        <w:rPr>
          <w:rFonts w:ascii="Cambria" w:cs="Cambria" w:eastAsia="Cambria" w:hAnsi="Cambria"/>
        </w:rPr>
      </w:pPr>
      <w:r w:rsidDel="00000000" w:rsidR="00000000" w:rsidRPr="00000000">
        <w:rPr>
          <w:rFonts w:ascii="Cambria" w:cs="Cambria" w:eastAsia="Cambria" w:hAnsi="Cambria"/>
          <w:rtl w:val="0"/>
        </w:rPr>
        <w:t xml:space="preserve">Regardless of sampling, this study reflects two methodological differences compared to </w:t>
      </w:r>
      <w:r w:rsidDel="00000000" w:rsidR="00000000" w:rsidRPr="00000000">
        <w:rPr>
          <w:rFonts w:ascii="Cambria" w:cs="Cambria" w:eastAsia="Cambria" w:hAnsi="Cambria"/>
          <w:rtl w:val="0"/>
        </w:rPr>
        <w:t xml:space="preserve">Bennett</w:t>
      </w:r>
      <w:r w:rsidDel="00000000" w:rsidR="00000000" w:rsidRPr="00000000">
        <w:rPr>
          <w:rFonts w:ascii="Cambria" w:cs="Cambria" w:eastAsia="Cambria" w:hAnsi="Cambria"/>
          <w:rtl w:val="0"/>
        </w:rPr>
        <w:t xml:space="preserve">. The first one concerns how the data, when transcribed, were analysed. Specifically, Blain presents selected phrases commonly or particularly drawing the researcher’s attention when discussing the motifs within the discourse. Such type of thematic analysis grasps ideas regarding the topic of the paper, before presenting interview excerpts that further support the researcher’s argument. </w:t>
      </w:r>
    </w:p>
    <w:p w:rsidR="00000000" w:rsidDel="00000000" w:rsidP="00000000" w:rsidRDefault="00000000" w:rsidRPr="00000000" w14:paraId="000000A0">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1">
      <w:pPr>
        <w:ind w:firstLine="283.46456692913387"/>
        <w:rPr>
          <w:rFonts w:ascii="Cambria" w:cs="Cambria" w:eastAsia="Cambria" w:hAnsi="Cambria"/>
        </w:rPr>
      </w:pPr>
      <w:r w:rsidDel="00000000" w:rsidR="00000000" w:rsidRPr="00000000">
        <w:rPr>
          <w:rFonts w:ascii="Cambria" w:cs="Cambria" w:eastAsia="Cambria" w:hAnsi="Cambria"/>
          <w:rtl w:val="0"/>
        </w:rPr>
        <w:t xml:space="preserve">The second difference is reflected in the way the researchers of the two studies present the findings. </w:t>
      </w:r>
      <w:r w:rsidDel="00000000" w:rsidR="00000000" w:rsidRPr="00000000">
        <w:rPr>
          <w:rFonts w:ascii="Cambria" w:cs="Cambria" w:eastAsia="Cambria" w:hAnsi="Cambria"/>
          <w:rtl w:val="0"/>
        </w:rPr>
        <w:t xml:space="preserve">Bennett</w:t>
      </w:r>
      <w:r w:rsidDel="00000000" w:rsidR="00000000" w:rsidRPr="00000000">
        <w:rPr>
          <w:rFonts w:ascii="Cambria" w:cs="Cambria" w:eastAsia="Cambria" w:hAnsi="Cambria"/>
          <w:rtl w:val="0"/>
        </w:rPr>
        <w:t xml:space="preserve"> narrates the cause and effect of the ethnographic research, presenting events that took place before, during and after the interviews. Blain takes an outsider perspective, presenting the exposition, literature review, research methods, data analysis, results, and findings and conclusions commonly seen in social-science research. Though both academically valid, </w:t>
      </w:r>
      <w:r w:rsidDel="00000000" w:rsidR="00000000" w:rsidRPr="00000000">
        <w:rPr>
          <w:rFonts w:ascii="Cambria" w:cs="Cambria" w:eastAsia="Cambria" w:hAnsi="Cambria"/>
          <w:rtl w:val="0"/>
        </w:rPr>
        <w:t xml:space="preserve">Bennett’s study</w:t>
      </w:r>
      <w:r w:rsidDel="00000000" w:rsidR="00000000" w:rsidRPr="00000000">
        <w:rPr>
          <w:rFonts w:ascii="Cambria" w:cs="Cambria" w:eastAsia="Cambria" w:hAnsi="Cambria"/>
          <w:rtl w:val="0"/>
        </w:rPr>
        <w:t xml:space="preserve"> may risk critique relating to the way the data and findings are presented.</w:t>
      </w:r>
    </w:p>
    <w:p w:rsidR="00000000" w:rsidDel="00000000" w:rsidP="00000000" w:rsidRDefault="00000000" w:rsidRPr="00000000" w14:paraId="000000A2">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3">
      <w:pPr>
        <w:ind w:firstLine="283.46456692913387"/>
        <w:rPr>
          <w:rFonts w:ascii="Cambria" w:cs="Cambria" w:eastAsia="Cambria" w:hAnsi="Cambria"/>
        </w:rPr>
      </w:pPr>
      <w:r w:rsidDel="00000000" w:rsidR="00000000" w:rsidRPr="00000000">
        <w:rPr>
          <w:rFonts w:ascii="Cambria" w:cs="Cambria" w:eastAsia="Cambria" w:hAnsi="Cambria"/>
          <w:rtl w:val="0"/>
        </w:rPr>
        <w:t xml:space="preserve">Rigorous research requires triangulated data collection and analysis. Ethnographic research requires the researcher’s personal experience and enquiries. Blain’s study exemplifies rigorous ethnographic research methods through the researcher’s personal experience in the community while presenting the discussion and findings from an outsider’s view. The researcher adopts a speculative perspective towards the investigated discourse. </w:t>
      </w:r>
    </w:p>
    <w:p w:rsidR="00000000" w:rsidDel="00000000" w:rsidP="00000000" w:rsidRDefault="00000000" w:rsidRPr="00000000" w14:paraId="000000A4">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5">
      <w:pPr>
        <w:ind w:firstLine="283.46456692913387"/>
        <w:rPr>
          <w:rFonts w:ascii="Cambria" w:cs="Cambria" w:eastAsia="Cambria" w:hAnsi="Cambria"/>
        </w:rPr>
      </w:pPr>
      <w:r w:rsidDel="00000000" w:rsidR="00000000" w:rsidRPr="00000000">
        <w:rPr>
          <w:rFonts w:ascii="Cambria" w:cs="Cambria" w:eastAsia="Cambria" w:hAnsi="Cambria"/>
          <w:rtl w:val="0"/>
        </w:rPr>
        <w:t xml:space="preserve">Bennett</w:t>
      </w:r>
      <w:r w:rsidDel="00000000" w:rsidR="00000000" w:rsidRPr="00000000">
        <w:rPr>
          <w:rFonts w:ascii="Cambria" w:cs="Cambria" w:eastAsia="Cambria" w:hAnsi="Cambria"/>
          <w:rtl w:val="0"/>
        </w:rPr>
        <w:t xml:space="preserve"> and Blain differ largely in how the qualitative data were analysed. The former deals with limited narrative reports collected by the researcher, while the latter deals with as many as eighty-seven interview transcripts with demographic and thematic categorisation presented within the textual exposition of the research. While </w:t>
      </w:r>
      <w:r w:rsidDel="00000000" w:rsidR="00000000" w:rsidRPr="00000000">
        <w:rPr>
          <w:rFonts w:ascii="Cambria" w:cs="Cambria" w:eastAsia="Cambria" w:hAnsi="Cambria"/>
          <w:rtl w:val="0"/>
        </w:rPr>
        <w:t xml:space="preserve">Bennett</w:t>
      </w:r>
      <w:r w:rsidDel="00000000" w:rsidR="00000000" w:rsidRPr="00000000">
        <w:rPr>
          <w:rFonts w:ascii="Cambria" w:cs="Cambria" w:eastAsia="Cambria" w:hAnsi="Cambria"/>
          <w:rtl w:val="0"/>
        </w:rPr>
        <w:t xml:space="preserve"> does not attend to explaining the dynamics amongst elements of discourse regarding the topic in question, Blain succeeds in weaving together the interconnectedness amongst elements of discourse in relation to the studied topic.</w:t>
      </w:r>
    </w:p>
    <w:p w:rsidR="00000000" w:rsidDel="00000000" w:rsidP="00000000" w:rsidRDefault="00000000" w:rsidRPr="00000000" w14:paraId="000000A6">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7">
      <w:pPr>
        <w:ind w:firstLine="283.46456692913387"/>
        <w:rPr>
          <w:rFonts w:ascii="Cambria" w:cs="Cambria" w:eastAsia="Cambria" w:hAnsi="Cambria"/>
        </w:rPr>
      </w:pPr>
      <w:r w:rsidDel="00000000" w:rsidR="00000000" w:rsidRPr="00000000">
        <w:rPr>
          <w:rFonts w:ascii="Cambria" w:cs="Cambria" w:eastAsia="Cambria" w:hAnsi="Cambria"/>
          <w:rtl w:val="0"/>
        </w:rPr>
        <w:t xml:space="preserve">Whether ethnographic experience is prioritised in favour of triangulated data analysis and presentation is in itself a difficult question to ponder. Insider views are invaluable in that they offer more comprehensive, interdimensional discourse discussing a single topic, while outsider views remain objective and speculative concerning a single topic without biases. Both research methods maintain high respect for the method itself and should be persistently advocated as valuable means by which researchers explore a particular topic rigorously and responsibly. Regardless of the method type, research tapping into cosmological views ought to respect the nature of the subject and participants, particularly with regard to the capabilities of the participants which may or may not exert influence on the investigative process itself. Remaining unbiased towards the research methods shall be prioritised when it comes to deciding which methods suit the study.</w:t>
      </w:r>
    </w:p>
    <w:p w:rsidR="00000000" w:rsidDel="00000000" w:rsidP="00000000" w:rsidRDefault="00000000" w:rsidRPr="00000000" w14:paraId="000000A8">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9">
      <w:pPr>
        <w:ind w:left="0" w:firstLine="0"/>
        <w:rPr>
          <w:rFonts w:ascii="Cambria" w:cs="Cambria" w:eastAsia="Cambria" w:hAnsi="Cambria"/>
          <w:b w:val="1"/>
          <w:bCs w:val="1"/>
        </w:rPr>
      </w:pPr>
      <w:r w:rsidDel="00000000" w:rsidR="00000000" w:rsidRPr="00000000">
        <w:rPr>
          <w:rFonts w:ascii="Cambria" w:cs="Cambria" w:eastAsia="Cambria" w:hAnsi="Cambria"/>
          <w:b w:val="1"/>
          <w:bCs w:val="1"/>
          <w:rtl w:val="0"/>
        </w:rPr>
        <w:t xml:space="preserve">When participants perceive reality differently</w:t>
      </w:r>
    </w:p>
    <w:p w:rsidR="00000000" w:rsidDel="00000000" w:rsidP="00000000" w:rsidRDefault="00000000" w:rsidRPr="00000000" w14:paraId="000000AA">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B">
      <w:pPr>
        <w:ind w:firstLine="283.46456692913387"/>
        <w:rPr>
          <w:rFonts w:ascii="Cambria" w:cs="Cambria" w:eastAsia="Cambria" w:hAnsi="Cambria"/>
        </w:rPr>
      </w:pPr>
      <w:r w:rsidDel="00000000" w:rsidR="00000000" w:rsidRPr="00000000">
        <w:rPr>
          <w:rFonts w:ascii="Cambria" w:cs="Cambria" w:eastAsia="Cambria" w:hAnsi="Cambria"/>
          <w:rtl w:val="0"/>
        </w:rPr>
        <w:t xml:space="preserve">When it comes to designing a study that investigates processes metaphysically oriented, such as discourses relating to seidr experience or foreknowledge, ethnographic research must attend to the nature of the participants in terms of their behavioural patterns and perceptual practices. Traditional social-science research may overlook this point, resorting to following preconstructed or reconstructed procedures. Blain’s study suffers from such a phenomenon, in that the researcher, while focusing on the interview process, may have disregarded the interviewee’s psychic abilities at play during the interview. In turn, the interview operates at a conventionally motivated level, rather than an authentically respected level—that is to say, the interviewee may be deprived of opportunities to discuss the topic on foreknowledge in a benign sense, because the interviewee understands that the researcher is taking an outsider view, thus the interviewee may choose to discuss the topic from a traditionally critical, negative perspective. Had the research been conducted from an insider’s view as well, meaning the researcher explaining the phenomenon (aka negative perspective towards foreshadowing) from a first-person ethnographic-interviewer’s perspective, the study may benefit from a more comprehensive, triangulated discussion.</w:t>
      </w:r>
    </w:p>
    <w:p w:rsidR="00000000" w:rsidDel="00000000" w:rsidP="00000000" w:rsidRDefault="00000000" w:rsidRPr="00000000" w14:paraId="000000AC">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D">
      <w:pPr>
        <w:ind w:firstLine="283.46456692913387"/>
        <w:rPr>
          <w:rFonts w:ascii="Cambria" w:cs="Cambria" w:eastAsia="Cambria" w:hAnsi="Cambria"/>
        </w:rPr>
      </w:pPr>
      <w:r w:rsidDel="00000000" w:rsidR="00000000" w:rsidRPr="00000000">
        <w:rPr>
          <w:rFonts w:ascii="Cambria" w:cs="Cambria" w:eastAsia="Cambria" w:hAnsi="Cambria"/>
          <w:rtl w:val="0"/>
        </w:rPr>
        <w:t xml:space="preserve">The collected discourse in Blain tunes into how the eighty-seven women in a northern city’s neighbourhood regard psychic phenomena when reporting to a researcher audio-recording their sharing. Selected themes and motifs reflect specific points referring to the researcher’s hypothesis; that is, she considers the cosmos hostile (in Freya Mathew’s terms)</w:t>
      </w:r>
      <w:r w:rsidDel="00000000" w:rsidR="00000000" w:rsidRPr="00000000">
        <w:rPr>
          <w:rFonts w:ascii="Cambria" w:cs="Cambria" w:eastAsia="Cambria" w:hAnsi="Cambria"/>
          <w:vertAlign w:val="superscript"/>
        </w:rPr>
        <w:footnoteReference w:customMarkFollows="0" w:id="2"/>
      </w:r>
      <w:r w:rsidDel="00000000" w:rsidR="00000000" w:rsidRPr="00000000">
        <w:rPr>
          <w:rFonts w:ascii="Cambria" w:cs="Cambria" w:eastAsia="Cambria" w:hAnsi="Cambria"/>
          <w:rtl w:val="0"/>
        </w:rPr>
        <w:t xml:space="preserve">. Such a worldview leads the researcher to discuss the topic supporting her stance, while disregarding potential alternative views towards foreknowledge. For instance, according to Aristotle’s four cause hypothesis, we must understand that, teleologically speaking, things happen for a purpose. While the researcher explored foreknowledge as a phenomenon negatively perceived of the interviewees, she did not attempt to explain, or extrapolate through the collected discourse, the purpose for the women’s foreknowledge. In other words, if foreknowledge is so negatively perceived, what is the purpose for these women to be able to voluntarily or involuntarily exercise their psychic powers? Could it be that the women born in that time period were inundated with changes pertaining to the Earth’s ecological views, thus they were guided to critique psychic abilities from a negative perspective, so that the community in focus could begin to talk about the phenomenon? “The young women are more believing than the older ones”</w:t>
      </w:r>
      <w:r w:rsidDel="00000000" w:rsidR="00000000" w:rsidRPr="00000000">
        <w:rPr>
          <w:rFonts w:ascii="Cambria" w:cs="Cambria" w:eastAsia="Cambria" w:hAnsi="Cambria"/>
          <w:vertAlign w:val="superscript"/>
        </w:rPr>
        <w:footnoteReference w:customMarkFollows="0" w:id="3"/>
      </w:r>
      <w:r w:rsidDel="00000000" w:rsidR="00000000" w:rsidRPr="00000000">
        <w:rPr>
          <w:rFonts w:ascii="Cambria" w:cs="Cambria" w:eastAsia="Cambria" w:hAnsi="Cambria"/>
          <w:rtl w:val="0"/>
        </w:rPr>
        <w:t xml:space="preserve">, commented the researcher in the conclusion. </w:t>
      </w:r>
    </w:p>
    <w:p w:rsidR="00000000" w:rsidDel="00000000" w:rsidP="00000000" w:rsidRDefault="00000000" w:rsidRPr="00000000" w14:paraId="000000AE">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AF">
      <w:pPr>
        <w:ind w:firstLine="283.46456692913387"/>
        <w:rPr>
          <w:rFonts w:ascii="Cambria" w:cs="Cambria" w:eastAsia="Cambria" w:hAnsi="Cambria"/>
        </w:rPr>
      </w:pPr>
      <w:r w:rsidDel="00000000" w:rsidR="00000000" w:rsidRPr="00000000">
        <w:rPr>
          <w:rFonts w:ascii="Cambria" w:cs="Cambria" w:eastAsia="Cambria" w:hAnsi="Cambria"/>
          <w:rtl w:val="0"/>
        </w:rPr>
        <w:t xml:space="preserve">In commenting on the negative perspectives towards foreknowledge, the researcher also takes into consideration other age groups (younger women) and the other sex (male). She found less negative beliefs towards foreknowledge and concluded that the negativity was specific to the elderly women towards traditional beliefs. While the study focuses on female middle-class churchgoers in a small community, it nevertheless opens up discussion with regard to how foreknowledge may be perceived positively, negatively, or neutrally by humans. This topic poses an interesting question concerning the use of psychic powers (precognition in particular) and how reality is perceived differently with the presence of these powers. </w:t>
      </w:r>
    </w:p>
    <w:p w:rsidR="00000000" w:rsidDel="00000000" w:rsidP="00000000" w:rsidRDefault="00000000" w:rsidRPr="00000000" w14:paraId="000000B0">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1">
      <w:pPr>
        <w:ind w:firstLine="283.46456692913387"/>
        <w:rPr>
          <w:rFonts w:ascii="Cambria" w:cs="Cambria" w:eastAsia="Cambria" w:hAnsi="Cambria"/>
        </w:rPr>
      </w:pPr>
      <w:r w:rsidDel="00000000" w:rsidR="00000000" w:rsidRPr="00000000">
        <w:rPr>
          <w:rFonts w:ascii="Cambria" w:cs="Cambria" w:eastAsia="Cambria" w:hAnsi="Cambria"/>
          <w:rtl w:val="0"/>
        </w:rPr>
        <w:t xml:space="preserve">Methodological consideration is taken meticulously by the researcher, responding to the hypotheses or research questions that are being asked. Such consideration does not only involve validity and generalisability of the data collection and analysis, but it should also include issues relating to the nature of the participants. Specifically, when participants demonstrate precognitive skills that are being studied, the researcher should take into consideration the demonstration of these skills taking place during the interview. Voluntary or involuntary precognitive perception may be present during the investigative process, which may or may not exert some degree of influence on the interview itself. For example, voluntarily or involuntarily using precognitive perceptual awareness, the interviewees may selectively report what they perceive of the interviewer’s stance towards the topic through detecting signals of the interviewer’s body language or tone of voice, so as to entertain the interviewer’s investigation. Subtle change of material to share may take place in a way that may influence the investigative process. One way to avoid this is to enquire about the opposite (positive) or neutral perspective that the participants may have towards foreknowledge, countering the prominent stance established from the beginning that dominates the discourse. Remaining impartial during the investigation can be done through extending the questions with alternative stances in order to strike a balance between polarised perspectives.</w:t>
      </w:r>
    </w:p>
    <w:p w:rsidR="00000000" w:rsidDel="00000000" w:rsidP="00000000" w:rsidRDefault="00000000" w:rsidRPr="00000000" w14:paraId="000000B2">
      <w:pPr>
        <w:ind w:left="0" w:firstLine="0"/>
        <w:rPr>
          <w:rFonts w:ascii="Cambria" w:cs="Cambria" w:eastAsia="Cambria" w:hAnsi="Cambria"/>
          <w:b w:val="1"/>
          <w:bCs w:val="1"/>
        </w:rPr>
      </w:pPr>
      <w:r w:rsidDel="00000000" w:rsidR="00000000" w:rsidRPr="00000000">
        <w:rPr>
          <w:rFonts w:ascii="Cambria" w:cs="Cambria" w:eastAsia="Cambria" w:hAnsi="Cambria"/>
          <w:b w:val="1"/>
          <w:bCs w:val="1"/>
          <w:rtl w:val="0"/>
        </w:rPr>
        <w:t xml:space="preserve">Trials as navigatory hints</w:t>
      </w:r>
    </w:p>
    <w:p w:rsidR="00000000" w:rsidDel="00000000" w:rsidP="00000000" w:rsidRDefault="00000000" w:rsidRPr="00000000" w14:paraId="000000B3">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4">
      <w:pPr>
        <w:ind w:firstLine="283.46456692913387"/>
        <w:rPr>
          <w:rFonts w:ascii="Cambria" w:cs="Cambria" w:eastAsia="Cambria" w:hAnsi="Cambria"/>
        </w:rPr>
      </w:pPr>
      <w:r w:rsidDel="00000000" w:rsidR="00000000" w:rsidRPr="00000000">
        <w:rPr>
          <w:rFonts w:ascii="Cambria" w:cs="Cambria" w:eastAsia="Cambria" w:hAnsi="Cambria"/>
          <w:rtl w:val="0"/>
        </w:rPr>
        <w:t xml:space="preserve">Alternatively, the researcher may conduct a trial series of interviews before the major series, so that the research may then go down a more impartial path than the current “partial and impressionistic”</w:t>
      </w:r>
      <w:r w:rsidDel="00000000" w:rsidR="00000000" w:rsidRPr="00000000">
        <w:rPr>
          <w:rFonts w:ascii="Cambria" w:cs="Cambria" w:eastAsia="Cambria" w:hAnsi="Cambria"/>
          <w:vertAlign w:val="superscript"/>
        </w:rPr>
        <w:footnoteReference w:customMarkFollows="0" w:id="4"/>
      </w:r>
      <w:r w:rsidDel="00000000" w:rsidR="00000000" w:rsidRPr="00000000">
        <w:rPr>
          <w:rFonts w:ascii="Cambria" w:cs="Cambria" w:eastAsia="Cambria" w:hAnsi="Cambria"/>
          <w:rtl w:val="0"/>
        </w:rPr>
        <w:t xml:space="preserve"> one. Questions pertaining to remaining impartial in the investigative process include “What have you ever heard of others saying that is completely different or opposite to your stance?” and “To what extent do you see foreknowledge now as compared to when you were younger (childhood or adolescence)?” Synchronic and chronological comparison may result in a more syncretised discourse that is less partial and impressionistic. </w:t>
      </w:r>
    </w:p>
    <w:p w:rsidR="00000000" w:rsidDel="00000000" w:rsidP="00000000" w:rsidRDefault="00000000" w:rsidRPr="00000000" w14:paraId="000000B5">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6">
      <w:pPr>
        <w:ind w:firstLine="283.46456692913387"/>
        <w:rPr>
          <w:rFonts w:ascii="Cambria" w:cs="Cambria" w:eastAsia="Cambria" w:hAnsi="Cambria"/>
        </w:rPr>
      </w:pPr>
      <w:r w:rsidDel="00000000" w:rsidR="00000000" w:rsidRPr="00000000">
        <w:rPr>
          <w:rFonts w:ascii="Cambria" w:cs="Cambria" w:eastAsia="Cambria" w:hAnsi="Cambria"/>
          <w:rtl w:val="0"/>
        </w:rPr>
        <w:t xml:space="preserve">Triangulation and impartiality remains paramount to anthropological research, in that triangulated, impartial investigation gives a fuller account on a studied phenomenon than a “partial and impressionistic” one. In considering research methods apt for a specific topic such as seidr experience and foreknowledge, trial investigative processes may result in more fine-tuned direction for the research. Both Bennett and Blain suffer from impartiality issues that may have been avoided through conducting trial interviews with a very small group of participants who do not join the main interview series.</w:t>
      </w:r>
    </w:p>
    <w:p w:rsidR="00000000" w:rsidDel="00000000" w:rsidP="00000000" w:rsidRDefault="00000000" w:rsidRPr="00000000" w14:paraId="000000B7">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8">
      <w:pPr>
        <w:ind w:firstLine="283.46456692913387"/>
        <w:rPr>
          <w:rFonts w:ascii="Cambria" w:cs="Cambria" w:eastAsia="Cambria" w:hAnsi="Cambria"/>
        </w:rPr>
      </w:pPr>
      <w:r w:rsidDel="00000000" w:rsidR="00000000" w:rsidRPr="00000000">
        <w:rPr>
          <w:rFonts w:ascii="Cambria" w:cs="Cambria" w:eastAsia="Cambria" w:hAnsi="Cambria"/>
          <w:rtl w:val="0"/>
        </w:rPr>
        <w:t xml:space="preserve">Also, a control group consisting of participants not reporting the use of psychic powers may help give a fuller account on the topic of foreknowledge in Blain’s study. What do people reporting little experience in foreknowledge perceive of foreknowledge? How different is the discourse within these people compared to the experimental group (elderly women reporting experience in practising precognitive perceptual skills regardless of volition)? This poses interesting questions in relation to how foreknowledge is perceived in different contexts and pragmatisms. </w:t>
      </w:r>
    </w:p>
    <w:p w:rsidR="00000000" w:rsidDel="00000000" w:rsidP="00000000" w:rsidRDefault="00000000" w:rsidRPr="00000000" w14:paraId="000000B9">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A">
      <w:pPr>
        <w:ind w:firstLine="283.46456692913387"/>
        <w:rPr>
          <w:rFonts w:ascii="Cambria" w:cs="Cambria" w:eastAsia="Cambria" w:hAnsi="Cambria"/>
        </w:rPr>
      </w:pPr>
      <w:r w:rsidDel="00000000" w:rsidR="00000000" w:rsidRPr="00000000">
        <w:rPr>
          <w:rFonts w:ascii="Cambria" w:cs="Cambria" w:eastAsia="Cambria" w:hAnsi="Cambria"/>
          <w:rtl w:val="0"/>
        </w:rPr>
        <w:t xml:space="preserve">Bennett and Blain both attempt to explore discourses collected within groups of participants with regard to a specific type of experience. While the former takes an insider view in extrapolating the researcher’s experiences in a chronological, sequential manner, the latter takes an outsider view in analysing collected literature and data that support the researcher’s argument. Additionally, both studies focused on a single group, with the former on a small group of seidr experience participants and the latter on eighty-seven women aged sixty to ninety-five years, constituting single-subject group experimentation. However, as naturalistic as they seem, the researchers in both studies were not able to observe the participants’ inner worlds.</w:t>
      </w:r>
      <w:r w:rsidDel="00000000" w:rsidR="00000000" w:rsidRPr="00000000">
        <w:rPr>
          <w:rFonts w:ascii="Cambria" w:cs="Cambria" w:eastAsia="Cambria" w:hAnsi="Cambria"/>
          <w:vertAlign w:val="superscript"/>
        </w:rPr>
        <w:footnoteReference w:customMarkFollows="0" w:id="5"/>
      </w:r>
      <w:r w:rsidDel="00000000" w:rsidR="00000000" w:rsidRPr="00000000">
        <w:rPr>
          <w:rFonts w:ascii="Cambria" w:cs="Cambria" w:eastAsia="Cambria" w:hAnsi="Cambria"/>
          <w:rtl w:val="0"/>
        </w:rPr>
        <w:t xml:space="preserve"> That is to say, both studies may suffer from observer bias, in that the researchers overlooked important factors affecting the participants’ first-person experience (seidr or foreknowledge), and these factors could never be understood unless the researchers are experienced in the subject matter themselves. </w:t>
      </w:r>
    </w:p>
    <w:p w:rsidR="00000000" w:rsidDel="00000000" w:rsidP="00000000" w:rsidRDefault="00000000" w:rsidRPr="00000000" w14:paraId="000000BB">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C">
      <w:pPr>
        <w:ind w:firstLine="283.46456692913387"/>
        <w:rPr>
          <w:rFonts w:ascii="Cambria" w:cs="Cambria" w:eastAsia="Cambria" w:hAnsi="Cambria"/>
          <w:b w:val="1"/>
          <w:bCs w:val="1"/>
        </w:rPr>
      </w:pPr>
      <w:r w:rsidDel="00000000" w:rsidR="00000000" w:rsidRPr="00000000">
        <w:rPr>
          <w:rFonts w:ascii="Cambria" w:cs="Cambria" w:eastAsia="Cambria" w:hAnsi="Cambria"/>
          <w:rtl w:val="0"/>
        </w:rPr>
        <w:t xml:space="preserve">Non-verbal factors and other nonrecorded expressions may be missed in the transcription of the audio-recordings in both studies.</w:t>
      </w:r>
      <w:r w:rsidDel="00000000" w:rsidR="00000000" w:rsidRPr="00000000">
        <w:rPr>
          <w:rFonts w:ascii="Cambria" w:cs="Cambria" w:eastAsia="Cambria" w:hAnsi="Cambria"/>
          <w:vertAlign w:val="superscript"/>
        </w:rPr>
        <w:footnoteReference w:customMarkFollows="0" w:id="6"/>
      </w:r>
      <w:r w:rsidDel="00000000" w:rsidR="00000000" w:rsidRPr="00000000">
        <w:rPr>
          <w:rFonts w:ascii="Cambria" w:cs="Cambria" w:eastAsia="Cambria" w:hAnsi="Cambria"/>
          <w:rtl w:val="0"/>
        </w:rPr>
        <w:t xml:space="preserve"> These factors may hint at other levels of socioeconomic dynamics amongst the participants. Expressions reflecting possible reluctance to talk about a specific issue such as foreknowledge inside a clinic may not be recorded, but which may reflect participants’ deeper reasons for sharing the foreknowledge-related discourse in a clinic. The ecology of the clinic could trigger certain self-defence mechanisms of the participants so much so that they chose to share negative thoughts about foreknowledge due to the lack of sense of security in that specific environment. </w:t>
      </w:r>
      <w:r w:rsidDel="00000000" w:rsidR="00000000" w:rsidRPr="00000000">
        <w:rPr>
          <w:rtl w:val="0"/>
        </w:rPr>
      </w:r>
    </w:p>
    <w:p w:rsidR="00000000" w:rsidDel="00000000" w:rsidP="00000000" w:rsidRDefault="00000000" w:rsidRPr="00000000" w14:paraId="000000BD">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BE">
      <w:pPr>
        <w:ind w:firstLine="283.46456692913387"/>
        <w:rPr>
          <w:rFonts w:ascii="Cambria" w:cs="Cambria" w:eastAsia="Cambria" w:hAnsi="Cambria"/>
        </w:rPr>
      </w:pPr>
      <w:r w:rsidDel="00000000" w:rsidR="00000000" w:rsidRPr="00000000">
        <w:rPr>
          <w:rFonts w:ascii="Cambria" w:cs="Cambria" w:eastAsia="Cambria" w:hAnsi="Cambria"/>
          <w:rtl w:val="0"/>
        </w:rPr>
        <w:t xml:space="preserve">Therefore, when choosing spaces for the investigative processes, studies such as the aforementioned two may benefit from more meticulous design that attends to the nature of the participants when it comes to transpersonal research, when the participants may be sensitive to the ecology of the space and time when the investigation takes place. </w:t>
      </w:r>
    </w:p>
    <w:p w:rsidR="00000000" w:rsidDel="00000000" w:rsidP="00000000" w:rsidRDefault="00000000" w:rsidRPr="00000000" w14:paraId="000000BF">
      <w:pPr>
        <w:ind w:firstLine="283.46456692913387"/>
        <w:rPr>
          <w:rFonts w:ascii="Cambria" w:cs="Cambria" w:eastAsia="Cambria" w:hAnsi="Cambria"/>
        </w:rPr>
      </w:pPr>
      <w:r w:rsidDel="00000000" w:rsidR="00000000" w:rsidRPr="00000000">
        <w:rPr>
          <w:rtl w:val="0"/>
        </w:rPr>
      </w:r>
    </w:p>
    <w:p w:rsidR="00000000" w:rsidDel="00000000" w:rsidP="00000000" w:rsidRDefault="00000000" w:rsidRPr="00000000" w14:paraId="000000C0">
      <w:pPr>
        <w:ind w:left="0" w:firstLine="0"/>
        <w:rPr>
          <w:rFonts w:ascii="Cambria" w:cs="Cambria" w:eastAsia="Cambria" w:hAnsi="Cambria"/>
          <w:b w:val="1"/>
          <w:bCs w:val="1"/>
        </w:rPr>
      </w:pPr>
      <w:r w:rsidDel="00000000" w:rsidR="00000000" w:rsidRPr="00000000">
        <w:rPr>
          <w:rFonts w:ascii="Cambria" w:cs="Cambria" w:eastAsia="Cambria" w:hAnsi="Cambria"/>
          <w:b w:val="1"/>
          <w:bCs w:val="1"/>
          <w:rtl w:val="0"/>
        </w:rPr>
        <w:t xml:space="preserve">Conclusion</w:t>
      </w:r>
    </w:p>
    <w:p w:rsidR="00000000" w:rsidDel="00000000" w:rsidP="00000000" w:rsidRDefault="00000000" w:rsidRPr="00000000" w14:paraId="000000C1">
      <w:pPr>
        <w:ind w:firstLine="283.46456692913387"/>
        <w:rPr>
          <w:rFonts w:ascii="Cambria" w:cs="Cambria" w:eastAsia="Cambria" w:hAnsi="Cambria"/>
          <w:b w:val="1"/>
          <w:bCs w:val="1"/>
        </w:rPr>
      </w:pPr>
      <w:r w:rsidDel="00000000" w:rsidR="00000000" w:rsidRPr="00000000">
        <w:rPr>
          <w:rtl w:val="0"/>
        </w:rPr>
      </w:r>
    </w:p>
    <w:p w:rsidR="00000000" w:rsidDel="00000000" w:rsidP="00000000" w:rsidRDefault="00000000" w:rsidRPr="00000000" w14:paraId="000000C2">
      <w:pPr>
        <w:ind w:firstLine="283.46456692913387"/>
        <w:rPr>
          <w:rFonts w:ascii="Cambria" w:cs="Cambria" w:eastAsia="Cambria" w:hAnsi="Cambria"/>
        </w:rPr>
      </w:pPr>
      <w:r w:rsidDel="00000000" w:rsidR="00000000" w:rsidRPr="00000000">
        <w:rPr>
          <w:rFonts w:ascii="Cambria" w:cs="Cambria" w:eastAsia="Cambria" w:hAnsi="Cambria"/>
          <w:rtl w:val="0"/>
        </w:rPr>
        <w:t xml:space="preserve">All in all, Bennett </w:t>
      </w:r>
      <w:r w:rsidDel="00000000" w:rsidR="00000000" w:rsidRPr="00000000">
        <w:rPr>
          <w:rFonts w:ascii="Cambria" w:cs="Cambria" w:eastAsia="Cambria" w:hAnsi="Cambria"/>
          <w:rtl w:val="0"/>
        </w:rPr>
        <w:t xml:space="preserve">and Blain demonstrate potential for faithful research dynamics including respect for spontaneity during interviews and acknowledgement of participants’ extrasensory perceptual phenomena. That being said, triangulation and ecology of the investigative processes may raise major concerns regarding efforts to increase authenticity of the data collected, thereby affecting the validity and generalisability of the findings. Historically, transpersonal research methods have undergone evolutionary development, such as the exploration of altered states of consciousness using validated metrics and professional assistance.</w:t>
      </w:r>
      <w:r w:rsidDel="00000000" w:rsidR="00000000" w:rsidRPr="00000000">
        <w:rPr>
          <w:rFonts w:ascii="Cambria" w:cs="Cambria" w:eastAsia="Cambria" w:hAnsi="Cambria"/>
          <w:vertAlign w:val="superscript"/>
        </w:rPr>
        <w:footnoteReference w:customMarkFollows="0" w:id="7"/>
      </w:r>
      <w:r w:rsidDel="00000000" w:rsidR="00000000" w:rsidRPr="00000000">
        <w:rPr>
          <w:rFonts w:ascii="Cambria" w:cs="Cambria" w:eastAsia="Cambria" w:hAnsi="Cambria"/>
          <w:rtl w:val="0"/>
        </w:rPr>
        <w:t xml:space="preserve"> Research on transpersonal experience may benefit from triangulated, impartial data presentation that respects the psychometric and ecological dynamics of participants. Ambulatory, process-driven meaning-making during a researcher’s investigative processes entails a spontaneity-assisted flow as well as contemplative methodological trial periods. The ecological self of the researcher shall be further explored in future research.</w:t>
      </w:r>
      <w:r w:rsidDel="00000000" w:rsidR="00000000" w:rsidRPr="00000000">
        <w:rPr>
          <w:rtl w:val="0"/>
        </w:rPr>
      </w:r>
    </w:p>
    <w:p w:rsidR="00000000" w:rsidDel="00000000" w:rsidP="00000000" w:rsidRDefault="00000000" w:rsidRPr="00000000" w14:paraId="000000C3">
      <w:pPr>
        <w:ind w:firstLine="283.46456692913387"/>
        <w:rPr>
          <w:rFonts w:ascii="Cambria" w:cs="Cambria" w:eastAsia="Cambria" w:hAnsi="Cambria"/>
        </w:rPr>
      </w:pPr>
      <w:r w:rsidDel="00000000" w:rsidR="00000000" w:rsidRPr="00000000">
        <w:br w:type="page"/>
      </w:r>
      <w:r w:rsidDel="00000000" w:rsidR="00000000" w:rsidRPr="00000000">
        <w:rPr>
          <w:rtl w:val="0"/>
        </w:rPr>
      </w:r>
    </w:p>
    <w:p w:rsidR="00000000" w:rsidDel="00000000" w:rsidP="00000000" w:rsidRDefault="00000000" w:rsidRPr="00000000" w14:paraId="000000C4">
      <w:pPr>
        <w:ind w:left="0" w:firstLine="0"/>
        <w:rPr>
          <w:rFonts w:ascii="Cambria" w:cs="Cambria" w:eastAsia="Cambria" w:hAnsi="Cambria"/>
        </w:rPr>
      </w:pPr>
      <w:r w:rsidDel="00000000" w:rsidR="00000000" w:rsidRPr="00000000">
        <w:rPr>
          <w:rFonts w:ascii="Cambria" w:cs="Cambria" w:eastAsia="Cambria" w:hAnsi="Cambria"/>
          <w:b w:val="1"/>
          <w:bCs w:val="1"/>
          <w:rtl w:val="0"/>
        </w:rPr>
        <w:t xml:space="preserve">Bibliography</w:t>
      </w:r>
      <w:r w:rsidDel="00000000" w:rsidR="00000000" w:rsidRPr="00000000">
        <w:rPr>
          <w:rtl w:val="0"/>
        </w:rPr>
      </w:r>
    </w:p>
    <w:p w:rsidR="00000000" w:rsidDel="00000000" w:rsidP="00000000" w:rsidRDefault="00000000" w:rsidRPr="00000000" w14:paraId="000000C5">
      <w:pPr>
        <w:spacing w:after="240" w:before="240" w:lineRule="auto"/>
        <w:ind w:left="283.4645669291339"/>
        <w:rPr>
          <w:rFonts w:ascii="Cambria" w:cs="Cambria" w:eastAsia="Cambria" w:hAnsi="Cambria"/>
        </w:rPr>
      </w:pPr>
      <w:r w:rsidDel="00000000" w:rsidR="00000000" w:rsidRPr="00000000">
        <w:rPr>
          <w:rFonts w:ascii="Cambria" w:cs="Cambria" w:eastAsia="Cambria" w:hAnsi="Cambria"/>
          <w:rtl w:val="0"/>
        </w:rPr>
        <w:t xml:space="preserve">Bennett, Gillian, “‘If I Knew You Were Coming I’d Have Baked a Cake’: The Folklore of Foreknowledge in a Neighbourhood Group,” in Barbara Walker (ed.), </w:t>
      </w:r>
      <w:r w:rsidDel="00000000" w:rsidR="00000000" w:rsidRPr="00000000">
        <w:rPr>
          <w:rFonts w:ascii="Cambria" w:cs="Cambria" w:eastAsia="Cambria" w:hAnsi="Cambria"/>
          <w:i w:val="1"/>
          <w:iCs w:val="1"/>
          <w:rtl w:val="0"/>
        </w:rPr>
        <w:t xml:space="preserve">Out of the Ordinary: Folklore and the Supernatural</w:t>
      </w:r>
      <w:r w:rsidDel="00000000" w:rsidR="00000000" w:rsidRPr="00000000">
        <w:rPr>
          <w:rFonts w:ascii="Cambria" w:cs="Cambria" w:eastAsia="Cambria" w:hAnsi="Cambria"/>
          <w:rtl w:val="0"/>
        </w:rPr>
        <w:t xml:space="preserve"> (Logan, Utah: Utah State University Press, 1995), pp. 122–42.</w:t>
      </w:r>
    </w:p>
    <w:p w:rsidR="00000000" w:rsidDel="00000000" w:rsidP="00000000" w:rsidRDefault="00000000" w:rsidRPr="00000000" w14:paraId="000000C6">
      <w:pPr>
        <w:spacing w:after="240" w:before="240" w:lineRule="auto"/>
        <w:ind w:left="283.4645669291339"/>
        <w:rPr>
          <w:rFonts w:ascii="Cambria" w:cs="Cambria" w:eastAsia="Cambria" w:hAnsi="Cambria"/>
        </w:rPr>
      </w:pPr>
      <w:r w:rsidDel="00000000" w:rsidR="00000000" w:rsidRPr="00000000">
        <w:rPr>
          <w:rFonts w:ascii="Cambria" w:cs="Cambria" w:eastAsia="Cambria" w:hAnsi="Cambria"/>
          <w:rtl w:val="0"/>
        </w:rPr>
        <w:t xml:space="preserve">Blain, Jenny, </w:t>
      </w:r>
      <w:r w:rsidDel="00000000" w:rsidR="00000000" w:rsidRPr="00000000">
        <w:rPr>
          <w:rFonts w:ascii="Cambria" w:cs="Cambria" w:eastAsia="Cambria" w:hAnsi="Cambria"/>
          <w:i w:val="1"/>
          <w:iCs w:val="1"/>
          <w:rtl w:val="0"/>
        </w:rPr>
        <w:t xml:space="preserve">Speaking Shamanistically: Seidr, Academia and Rationality</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DISKUS</w:t>
      </w:r>
      <w:r w:rsidDel="00000000" w:rsidR="00000000" w:rsidRPr="00000000">
        <w:rPr>
          <w:rFonts w:ascii="Cambria" w:cs="Cambria" w:eastAsia="Cambria" w:hAnsi="Cambria"/>
          <w:rtl w:val="0"/>
        </w:rPr>
        <w:t xml:space="preserve">, vol. 6 (2000).</w:t>
      </w:r>
    </w:p>
    <w:p w:rsidR="00000000" w:rsidDel="00000000" w:rsidP="00000000" w:rsidRDefault="00000000" w:rsidRPr="00000000" w14:paraId="000000C7">
      <w:pPr>
        <w:spacing w:after="240" w:before="240" w:lineRule="auto"/>
        <w:ind w:left="283.4645669291339"/>
        <w:rPr>
          <w:rFonts w:ascii="Cambria" w:cs="Cambria" w:eastAsia="Cambria" w:hAnsi="Cambria"/>
        </w:rPr>
      </w:pPr>
      <w:r w:rsidDel="00000000" w:rsidR="00000000" w:rsidRPr="00000000">
        <w:rPr>
          <w:rFonts w:ascii="Cambria" w:cs="Cambria" w:eastAsia="Cambria" w:hAnsi="Cambria"/>
          <w:rtl w:val="0"/>
        </w:rPr>
        <w:t xml:space="preserve">Braud, William, and Rosemarie Anderson, </w:t>
      </w:r>
      <w:r w:rsidDel="00000000" w:rsidR="00000000" w:rsidRPr="00000000">
        <w:rPr>
          <w:rFonts w:ascii="Cambria" w:cs="Cambria" w:eastAsia="Cambria" w:hAnsi="Cambria"/>
          <w:i w:val="1"/>
          <w:iCs w:val="1"/>
          <w:rtl w:val="0"/>
        </w:rPr>
        <w:t xml:space="preserve">Transpersonal Research Methods for the Social Sciences: Honouring Human Experience </w:t>
      </w:r>
      <w:r w:rsidDel="00000000" w:rsidR="00000000" w:rsidRPr="00000000">
        <w:rPr>
          <w:rFonts w:ascii="Cambria" w:cs="Cambria" w:eastAsia="Cambria" w:hAnsi="Cambria"/>
          <w:rtl w:val="0"/>
        </w:rPr>
        <w:t xml:space="preserve">(Thousand Oaks, CA: SAGE, 1998).</w:t>
      </w:r>
    </w:p>
    <w:p w:rsidR="00000000" w:rsidDel="00000000" w:rsidP="00000000" w:rsidRDefault="00000000" w:rsidRPr="00000000" w14:paraId="000000C8">
      <w:pPr>
        <w:spacing w:after="240" w:before="240" w:lineRule="auto"/>
        <w:ind w:left="283.4645669291339"/>
        <w:rPr>
          <w:rFonts w:ascii="Cambria" w:cs="Cambria" w:eastAsia="Cambria" w:hAnsi="Cambria"/>
        </w:rPr>
      </w:pPr>
      <w:r w:rsidDel="00000000" w:rsidR="00000000" w:rsidRPr="00000000">
        <w:rPr>
          <w:rFonts w:ascii="Cambria" w:cs="Cambria" w:eastAsia="Cambria" w:hAnsi="Cambria"/>
          <w:rtl w:val="0"/>
        </w:rPr>
        <w:t xml:space="preserve">Campion, Nicholas, </w:t>
      </w:r>
      <w:r w:rsidDel="00000000" w:rsidR="00000000" w:rsidRPr="00000000">
        <w:rPr>
          <w:rFonts w:ascii="Cambria" w:cs="Cambria" w:eastAsia="Cambria" w:hAnsi="Cambria"/>
          <w:i w:val="1"/>
          <w:iCs w:val="1"/>
          <w:rtl w:val="0"/>
        </w:rPr>
        <w:t xml:space="preserve">Astrology and Cosmology in the World’s Religions</w:t>
      </w:r>
      <w:r w:rsidDel="00000000" w:rsidR="00000000" w:rsidRPr="00000000">
        <w:rPr>
          <w:rFonts w:ascii="Cambria" w:cs="Cambria" w:eastAsia="Cambria" w:hAnsi="Cambria"/>
          <w:rtl w:val="0"/>
        </w:rPr>
        <w:t xml:space="preserve"> (New York: NYU Press, 2012).</w:t>
      </w:r>
    </w:p>
    <w:p w:rsidR="00000000" w:rsidDel="00000000" w:rsidP="00000000" w:rsidRDefault="00000000" w:rsidRPr="00000000" w14:paraId="000000C9">
      <w:pPr>
        <w:spacing w:after="240" w:before="240" w:lineRule="auto"/>
        <w:ind w:left="283.4645669291339"/>
        <w:rPr>
          <w:rFonts w:ascii="Cambria" w:cs="Cambria" w:eastAsia="Cambria" w:hAnsi="Cambria"/>
        </w:rPr>
      </w:pPr>
      <w:r w:rsidDel="00000000" w:rsidR="00000000" w:rsidRPr="00000000">
        <w:rPr>
          <w:rFonts w:ascii="Cambria" w:cs="Cambria" w:eastAsia="Cambria" w:hAnsi="Cambria"/>
          <w:rtl w:val="0"/>
        </w:rPr>
        <w:t xml:space="preserve">Corlett, Chris E., Cameron T. Alldredge and Gary R. Elkins. ‘Feasibility of a Hypnosis Intervention for a Mystical Experience’. </w:t>
      </w:r>
      <w:r w:rsidDel="00000000" w:rsidR="00000000" w:rsidRPr="00000000">
        <w:rPr>
          <w:rFonts w:ascii="Cambria" w:cs="Cambria" w:eastAsia="Cambria" w:hAnsi="Cambria"/>
          <w:i w:val="1"/>
          <w:iCs w:val="1"/>
          <w:rtl w:val="0"/>
        </w:rPr>
        <w:t xml:space="preserve">International Journal of Clinical and Experimental Hypnosis</w:t>
      </w:r>
      <w:r w:rsidDel="00000000" w:rsidR="00000000" w:rsidRPr="00000000">
        <w:rPr>
          <w:rFonts w:ascii="Cambria" w:cs="Cambria" w:eastAsia="Cambria" w:hAnsi="Cambria"/>
          <w:rtl w:val="0"/>
        </w:rPr>
        <w:t xml:space="preserve">, 73.4 (2025), 414-31.</w:t>
      </w:r>
    </w:p>
    <w:p w:rsidR="00000000" w:rsidDel="00000000" w:rsidP="00000000" w:rsidRDefault="00000000" w:rsidRPr="00000000" w14:paraId="000000CA">
      <w:pPr>
        <w:spacing w:after="240" w:before="240" w:lineRule="auto"/>
        <w:ind w:left="283.4645669291339"/>
        <w:rPr>
          <w:rFonts w:ascii="Cambria" w:cs="Cambria" w:eastAsia="Cambria" w:hAnsi="Cambria"/>
          <w:b w:val="1"/>
          <w:bCs w:val="1"/>
        </w:rPr>
      </w:pPr>
      <w:r w:rsidDel="00000000" w:rsidR="00000000" w:rsidRPr="00000000">
        <w:rPr>
          <w:rFonts w:ascii="Cambria" w:cs="Cambria" w:eastAsia="Cambria" w:hAnsi="Cambria"/>
          <w:rtl w:val="0"/>
        </w:rPr>
        <w:t xml:space="preserve">Matthews, Freya, </w:t>
      </w:r>
      <w:r w:rsidDel="00000000" w:rsidR="00000000" w:rsidRPr="00000000">
        <w:rPr>
          <w:rFonts w:ascii="Cambria" w:cs="Cambria" w:eastAsia="Cambria" w:hAnsi="Cambria"/>
          <w:i w:val="1"/>
          <w:iCs w:val="1"/>
          <w:rtl w:val="0"/>
        </w:rPr>
        <w:t xml:space="preserve">The Ecological Self</w:t>
      </w:r>
      <w:r w:rsidDel="00000000" w:rsidR="00000000" w:rsidRPr="00000000">
        <w:rPr>
          <w:rFonts w:ascii="Cambria" w:cs="Cambria" w:eastAsia="Cambria" w:hAnsi="Cambria"/>
          <w:rtl w:val="0"/>
        </w:rPr>
        <w:t xml:space="preserve"> (London: Routledge, 1991).</w:t>
      </w:r>
      <w:r w:rsidDel="00000000" w:rsidR="00000000" w:rsidRPr="00000000">
        <w:rPr>
          <w:rtl w:val="0"/>
        </w:rPr>
      </w:r>
    </w:p>
    <w:p w:rsidR="00000000" w:rsidDel="00000000" w:rsidP="00000000" w:rsidRDefault="00000000" w:rsidRPr="00000000" w14:paraId="000000CB">
      <w:pPr>
        <w:spacing w:after="240" w:before="240" w:lineRule="auto"/>
        <w:ind w:left="283.4645669291339"/>
        <w:rPr>
          <w:rFonts w:ascii="Cambria" w:cs="Cambria" w:eastAsia="Cambria" w:hAnsi="Cambria"/>
          <w:b w:val="1"/>
          <w:bCs w:val="1"/>
        </w:rPr>
      </w:pPr>
      <w:r w:rsidDel="00000000" w:rsidR="00000000" w:rsidRPr="00000000">
        <w:rPr>
          <w:rtl w:val="0"/>
        </w:rPr>
      </w:r>
    </w:p>
    <w:p w:rsidR="00000000" w:rsidDel="00000000" w:rsidP="00000000" w:rsidRDefault="00000000" w:rsidRPr="00000000" w14:paraId="000000CC">
      <w:pPr>
        <w:spacing w:after="240" w:before="240" w:lineRule="auto"/>
        <w:ind w:left="283.4645669291339"/>
        <w:rPr>
          <w:rFonts w:ascii="Cambria" w:cs="Cambria" w:eastAsia="Cambria" w:hAnsi="Cambria"/>
        </w:rPr>
      </w:pPr>
      <w:r w:rsidDel="00000000" w:rsidR="00000000" w:rsidRPr="00000000">
        <w:rPr>
          <w:rtl w:val="0"/>
        </w:rPr>
      </w:r>
    </w:p>
    <w:p w:rsidR="00000000" w:rsidDel="00000000" w:rsidP="00000000" w:rsidRDefault="00000000" w:rsidRPr="00000000" w14:paraId="000000CD">
      <w:pPr>
        <w:rPr>
          <w:rFonts w:ascii="Cambria" w:cs="Cambria" w:eastAsia="Cambria" w:hAnsi="Cambria"/>
        </w:rPr>
      </w:pPr>
      <w:r w:rsidDel="00000000" w:rsidR="00000000" w:rsidRPr="00000000">
        <w:rPr>
          <w:rtl w:val="0"/>
        </w:rPr>
      </w:r>
    </w:p>
    <w:sectPr>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ambria"/>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E">
    <w:pPr>
      <w:jc w:val="right"/>
      <w:rPr>
        <w:rFonts w:ascii="Cambria" w:cs="Cambria" w:eastAsia="Cambria" w:hAnsi="Cambria"/>
        <w:sz w:val="20"/>
        <w:szCs w:val="20"/>
      </w:rPr>
    </w:pPr>
    <w:r w:rsidDel="00000000" w:rsidR="00000000" w:rsidRPr="00000000">
      <w:rPr>
        <w:rFonts w:ascii="Cambria" w:cs="Cambria" w:eastAsia="Cambria" w:hAnsi="Cambria"/>
        <w:sz w:val="20"/>
        <w:szCs w:val="2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
    <w:p w:rsidR="00000000" w:rsidDel="00000000" w:rsidP="00000000" w:rsidRDefault="00000000" w:rsidRPr="00000000" w14:paraId="000000CF">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w:t>
      </w:r>
      <w:r w:rsidDel="00000000" w:rsidR="00000000" w:rsidRPr="00000000">
        <w:rPr>
          <w:rFonts w:ascii="Cambria" w:cs="Cambria" w:eastAsia="Cambria" w:hAnsi="Cambria"/>
          <w:sz w:val="20"/>
          <w:szCs w:val="20"/>
          <w:rtl w:val="0"/>
        </w:rPr>
        <w:t xml:space="preserve">Gillian Bennett, “‘If I Knew You Were Coming I’d Have Baked a Cake,’” in Barbara Walker (ed.), </w:t>
      </w:r>
      <w:r w:rsidDel="00000000" w:rsidR="00000000" w:rsidRPr="00000000">
        <w:rPr>
          <w:rFonts w:ascii="Cambria" w:cs="Cambria" w:eastAsia="Cambria" w:hAnsi="Cambria"/>
          <w:i w:val="1"/>
          <w:iCs w:val="1"/>
          <w:sz w:val="20"/>
          <w:szCs w:val="20"/>
          <w:rtl w:val="0"/>
        </w:rPr>
        <w:t xml:space="preserve">Out of the Ordinary: Folklore and the Supernatural</w:t>
      </w:r>
      <w:r w:rsidDel="00000000" w:rsidR="00000000" w:rsidRPr="00000000">
        <w:rPr>
          <w:rFonts w:ascii="Cambria" w:cs="Cambria" w:eastAsia="Cambria" w:hAnsi="Cambria"/>
          <w:sz w:val="20"/>
          <w:szCs w:val="20"/>
          <w:rtl w:val="0"/>
        </w:rPr>
        <w:t xml:space="preserve"> (Logan, Utah: Utah State University Press, 1995), p. 127.</w:t>
      </w:r>
    </w:p>
  </w:footnote>
  <w:footnote w:id="2">
    <w:p w:rsidR="00000000" w:rsidDel="00000000" w:rsidP="00000000" w:rsidRDefault="00000000" w:rsidRPr="00000000" w14:paraId="000000D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Freya Matthews,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(London: Routledge, 1991), p. 109.</w:t>
      </w:r>
      <w:r w:rsidDel="00000000" w:rsidR="00000000" w:rsidRPr="00000000">
        <w:rPr>
          <w:rtl w:val="0"/>
        </w:rPr>
      </w:r>
    </w:p>
  </w:footnote>
  <w:footnote w:id="5">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William Brady and Rosemarie Anderson, </w:t>
      </w:r>
      <w:r w:rsidDel="00000000" w:rsidR="00000000" w:rsidRPr="00000000">
        <w:rPr>
          <w:rFonts w:ascii="Cambria" w:cs="Cambria" w:eastAsia="Cambria" w:hAnsi="Cambria"/>
          <w:i w:val="1"/>
          <w:iCs w:val="1"/>
          <w:sz w:val="20"/>
          <w:szCs w:val="20"/>
          <w:rtl w:val="0"/>
        </w:rPr>
        <w:t xml:space="preserve">Transpersonal Research Methods for the Social Sciences: Honouring Human Experience </w:t>
      </w:r>
      <w:r w:rsidDel="00000000" w:rsidR="00000000" w:rsidRPr="00000000">
        <w:rPr>
          <w:rFonts w:ascii="Cambria" w:cs="Cambria" w:eastAsia="Cambria" w:hAnsi="Cambria"/>
          <w:sz w:val="20"/>
          <w:szCs w:val="20"/>
          <w:rtl w:val="0"/>
        </w:rPr>
        <w:t xml:space="preserve">(Thousand Oaks, CA: SAGE, 1998), p. 274.</w:t>
      </w:r>
      <w:r w:rsidDel="00000000" w:rsidR="00000000" w:rsidRPr="00000000">
        <w:rPr>
          <w:rtl w:val="0"/>
        </w:rPr>
      </w:r>
    </w:p>
  </w:footnote>
  <w:footnote w:id="6">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Ibid., p. 275.</w:t>
      </w:r>
      <w:r w:rsidDel="00000000" w:rsidR="00000000" w:rsidRPr="00000000">
        <w:rPr>
          <w:rtl w:val="0"/>
        </w:rPr>
      </w:r>
    </w:p>
  </w:footnote>
  <w:footnote w:id="4">
    <w:p w:rsidR="00000000" w:rsidDel="00000000" w:rsidP="00000000" w:rsidRDefault="00000000" w:rsidRPr="00000000" w14:paraId="000000D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Ibid</w:t>
      </w:r>
      <w:r w:rsidDel="00000000" w:rsidR="00000000" w:rsidRPr="00000000">
        <w:rPr>
          <w:rFonts w:ascii="Cambria" w:cs="Cambria" w:eastAsia="Cambria" w:hAnsi="Cambria"/>
          <w:i w:val="1"/>
          <w:iCs w:val="1"/>
          <w:sz w:val="20"/>
          <w:szCs w:val="20"/>
          <w:rtl w:val="0"/>
        </w:rPr>
        <w:t xml:space="preserve">.</w:t>
      </w:r>
      <w:r w:rsidDel="00000000" w:rsidR="00000000" w:rsidRPr="00000000">
        <w:rPr>
          <w:rFonts w:ascii="Cambria" w:cs="Cambria" w:eastAsia="Cambria" w:hAnsi="Cambria"/>
          <w:sz w:val="20"/>
          <w:szCs w:val="20"/>
          <w:rtl w:val="0"/>
        </w:rPr>
        <w:t xml:space="preserve">,</w:t>
      </w:r>
      <w:r w:rsidDel="00000000" w:rsidR="00000000" w:rsidRPr="00000000">
        <w:rPr>
          <w:rFonts w:ascii="Cambria" w:cs="Cambria" w:eastAsia="Cambria" w:hAnsi="Cambria"/>
          <w:sz w:val="20"/>
          <w:szCs w:val="20"/>
          <w:rtl w:val="0"/>
        </w:rPr>
        <w:t xml:space="preserve"> p. 140.</w:t>
      </w:r>
      <w:r w:rsidDel="00000000" w:rsidR="00000000" w:rsidRPr="00000000">
        <w:rPr>
          <w:rtl w:val="0"/>
        </w:rPr>
      </w:r>
    </w:p>
  </w:footnote>
  <w:footnote w:id="3">
    <w:p w:rsidR="00000000" w:rsidDel="00000000" w:rsidP="00000000" w:rsidRDefault="00000000" w:rsidRPr="00000000" w14:paraId="000000D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Bennett, “‘If I Knew You Were Coming,’” p. 140.</w:t>
      </w:r>
      <w:r w:rsidDel="00000000" w:rsidR="00000000" w:rsidRPr="00000000">
        <w:rPr>
          <w:rtl w:val="0"/>
        </w:rPr>
      </w:r>
    </w:p>
  </w:footnote>
  <w:footnote w:id="0">
    <w:p w:rsidR="00000000" w:rsidDel="00000000" w:rsidP="00000000" w:rsidRDefault="00000000" w:rsidRPr="00000000" w14:paraId="000000D5">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Marcus Aurelius, </w:t>
      </w:r>
      <w:r w:rsidDel="00000000" w:rsidR="00000000" w:rsidRPr="00000000">
        <w:rPr>
          <w:rFonts w:ascii="Cambria" w:cs="Cambria" w:eastAsia="Cambria" w:hAnsi="Cambria"/>
          <w:i w:val="1"/>
          <w:iCs w:val="1"/>
          <w:sz w:val="20"/>
          <w:szCs w:val="20"/>
          <w:rtl w:val="0"/>
        </w:rPr>
        <w:t xml:space="preserve">Meditations</w:t>
      </w:r>
      <w:r w:rsidDel="00000000" w:rsidR="00000000" w:rsidRPr="00000000">
        <w:rPr>
          <w:rFonts w:ascii="Cambria" w:cs="Cambria" w:eastAsia="Cambria" w:hAnsi="Cambria"/>
          <w:sz w:val="20"/>
          <w:szCs w:val="20"/>
          <w:rtl w:val="0"/>
        </w:rPr>
        <w:t xml:space="preserve">, trans. Maxwell Staniforth (Harmondsworth: Penguin, 1964), 112, V.47; see also 114, IX.29. See Plato, </w:t>
      </w:r>
      <w:r w:rsidDel="00000000" w:rsidR="00000000" w:rsidRPr="00000000">
        <w:rPr>
          <w:rFonts w:ascii="Cambria" w:cs="Cambria" w:eastAsia="Cambria" w:hAnsi="Cambria"/>
          <w:i w:val="1"/>
          <w:iCs w:val="1"/>
          <w:sz w:val="20"/>
          <w:szCs w:val="20"/>
          <w:rtl w:val="0"/>
        </w:rPr>
        <w:t xml:space="preserve">Republic</w:t>
      </w:r>
      <w:r w:rsidDel="00000000" w:rsidR="00000000" w:rsidRPr="00000000">
        <w:rPr>
          <w:rFonts w:ascii="Cambria" w:cs="Cambria" w:eastAsia="Cambria" w:hAnsi="Cambria"/>
          <w:sz w:val="20"/>
          <w:szCs w:val="20"/>
          <w:rtl w:val="0"/>
        </w:rPr>
        <w:t xml:space="preserve">, 2 vols., trans. Paul Shirley (Cambridge, MA: Harvard University Press, 1937), 516B, as cited in Nicholas Campion, </w:t>
      </w:r>
      <w:r w:rsidDel="00000000" w:rsidR="00000000" w:rsidRPr="00000000">
        <w:rPr>
          <w:rFonts w:ascii="Cambria" w:cs="Cambria" w:eastAsia="Cambria" w:hAnsi="Cambria"/>
          <w:i w:val="1"/>
          <w:iCs w:val="1"/>
          <w:sz w:val="20"/>
          <w:szCs w:val="20"/>
          <w:rtl w:val="0"/>
        </w:rPr>
        <w:t xml:space="preserve">Astrology and Cosmology in the World’s Religions</w:t>
      </w:r>
      <w:r w:rsidDel="00000000" w:rsidR="00000000" w:rsidRPr="00000000">
        <w:rPr>
          <w:rFonts w:ascii="Cambria" w:cs="Cambria" w:eastAsia="Cambria" w:hAnsi="Cambria"/>
          <w:sz w:val="20"/>
          <w:szCs w:val="20"/>
          <w:rtl w:val="0"/>
        </w:rPr>
        <w:t xml:space="preserve"> (New York: NYU Press, 2012), p. 148.</w:t>
      </w:r>
    </w:p>
  </w:footnote>
  <w:footnote w:id="7">
    <w:p w:rsidR="00000000" w:rsidDel="00000000" w:rsidP="00000000" w:rsidRDefault="00000000" w:rsidRPr="00000000" w14:paraId="000000D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Chris E. Corlett, Cameron T. Alldredge and Gary R. Elkins, ‘Feasibility of a Hypnosis Intervention for a Mystical Experience,’ </w:t>
      </w:r>
      <w:r w:rsidDel="00000000" w:rsidR="00000000" w:rsidRPr="00000000">
        <w:rPr>
          <w:rFonts w:ascii="Cambria" w:cs="Cambria" w:eastAsia="Cambria" w:hAnsi="Cambria"/>
          <w:i w:val="1"/>
          <w:iCs w:val="1"/>
          <w:sz w:val="20"/>
          <w:szCs w:val="20"/>
          <w:rtl w:val="0"/>
        </w:rPr>
        <w:t xml:space="preserve">International Journal of Clinical and Experimental Hypnosis</w:t>
      </w:r>
      <w:r w:rsidDel="00000000" w:rsidR="00000000" w:rsidRPr="00000000">
        <w:rPr>
          <w:rFonts w:ascii="Cambria" w:cs="Cambria" w:eastAsia="Cambria" w:hAnsi="Cambria"/>
          <w:sz w:val="20"/>
          <w:szCs w:val="20"/>
          <w:rtl w:val="0"/>
        </w:rPr>
        <w:t xml:space="preserve">, 73.4 (2025), 414-31.</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mailto:2526295@student.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