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516935" w:rsidR="00516935" w:rsidP="00516935" w:rsidRDefault="00516935" w14:paraId="54088388" w14:textId="77777777">
      <w:pPr>
        <w:jc w:val="center"/>
        <w:rPr>
          <w:b/>
          <w:bCs/>
          <w:sz w:val="32"/>
          <w:szCs w:val="32"/>
        </w:rPr>
      </w:pPr>
    </w:p>
    <w:p w:rsidRPr="00516935" w:rsidR="00516935" w:rsidP="00516935" w:rsidRDefault="00516935" w14:paraId="6461F74A" w14:textId="77777777">
      <w:pPr>
        <w:jc w:val="center"/>
        <w:rPr>
          <w:b/>
          <w:bCs/>
          <w:sz w:val="32"/>
          <w:szCs w:val="32"/>
        </w:rPr>
      </w:pPr>
    </w:p>
    <w:p w:rsidRPr="00516935" w:rsidR="00516935" w:rsidP="135E8D13" w:rsidRDefault="00516935" w14:paraId="72F38E00" w14:textId="77777777">
      <w:pPr>
        <w:jc w:val="center"/>
        <w:rPr>
          <w:b w:val="1"/>
          <w:bCs w:val="1"/>
          <w:sz w:val="36"/>
          <w:szCs w:val="36"/>
        </w:rPr>
      </w:pPr>
    </w:p>
    <w:p w:rsidRPr="00516935" w:rsidR="00516935" w:rsidP="135E8D13" w:rsidRDefault="00516935" w14:paraId="5B912C18" w14:textId="77777777">
      <w:pPr>
        <w:jc w:val="center"/>
        <w:rPr>
          <w:b w:val="1"/>
          <w:bCs w:val="1"/>
          <w:sz w:val="36"/>
          <w:szCs w:val="36"/>
        </w:rPr>
      </w:pPr>
    </w:p>
    <w:p w:rsidRPr="00516935" w:rsidR="00516935" w:rsidP="135E8D13" w:rsidRDefault="00516935" w14:paraId="483FCCF5" w14:textId="4EEB67FE">
      <w:pPr>
        <w:jc w:val="center"/>
        <w:rPr>
          <w:sz w:val="36"/>
          <w:szCs w:val="36"/>
        </w:rPr>
      </w:pPr>
    </w:p>
    <w:p w:rsidRPr="00516935" w:rsidR="00516935" w:rsidP="135E8D13" w:rsidRDefault="00516935" w14:paraId="35C3B473" w14:textId="76338298">
      <w:pPr>
        <w:pStyle w:val="Normal"/>
        <w:suppressLineNumbers w:val="0"/>
        <w:bidi w:val="0"/>
        <w:spacing w:before="0" w:beforeAutospacing="off" w:after="0" w:afterAutospacing="off" w:line="276" w:lineRule="auto"/>
        <w:ind w:left="0" w:right="0"/>
        <w:jc w:val="center"/>
        <w:rPr>
          <w:b w:val="1"/>
          <w:bCs w:val="1"/>
          <w:sz w:val="36"/>
          <w:szCs w:val="36"/>
        </w:rPr>
      </w:pPr>
      <w:r w:rsidRPr="135E8D13" w:rsidR="00516935">
        <w:rPr>
          <w:b w:val="1"/>
          <w:bCs w:val="1"/>
          <w:sz w:val="36"/>
          <w:szCs w:val="36"/>
        </w:rPr>
        <w:t>PROGRAMME: BSC H</w:t>
      </w:r>
      <w:r w:rsidRPr="135E8D13" w:rsidR="2E91D0A4">
        <w:rPr>
          <w:b w:val="1"/>
          <w:bCs w:val="1"/>
          <w:sz w:val="36"/>
          <w:szCs w:val="36"/>
        </w:rPr>
        <w:t>ealth and Social Care</w:t>
      </w:r>
    </w:p>
    <w:p w:rsidRPr="00516935" w:rsidR="00516935" w:rsidP="135E8D13" w:rsidRDefault="00516935" w14:paraId="6D3232C2" w14:textId="6BC62962">
      <w:pPr>
        <w:jc w:val="center"/>
        <w:rPr>
          <w:b w:val="1"/>
          <w:bCs w:val="1"/>
          <w:sz w:val="36"/>
          <w:szCs w:val="36"/>
        </w:rPr>
      </w:pPr>
      <w:r w:rsidRPr="135E8D13" w:rsidR="00516935">
        <w:rPr>
          <w:b w:val="1"/>
          <w:bCs w:val="1"/>
          <w:sz w:val="36"/>
          <w:szCs w:val="36"/>
        </w:rPr>
        <w:t>MODULE CODE: BMHP5016</w:t>
      </w:r>
    </w:p>
    <w:p w:rsidRPr="00516935" w:rsidR="00516935" w:rsidP="135E8D13" w:rsidRDefault="00516935" w14:paraId="7DAFFD29" w14:textId="5508A55B">
      <w:pPr>
        <w:pStyle w:val="Normal"/>
        <w:suppressLineNumbers w:val="0"/>
        <w:bidi w:val="0"/>
        <w:spacing w:before="0" w:beforeAutospacing="off" w:after="0" w:afterAutospacing="off" w:line="276" w:lineRule="auto"/>
        <w:ind w:left="0" w:right="0"/>
        <w:jc w:val="center"/>
        <w:rPr>
          <w:b w:val="1"/>
          <w:bCs w:val="1"/>
          <w:sz w:val="36"/>
          <w:szCs w:val="36"/>
        </w:rPr>
      </w:pPr>
      <w:r w:rsidRPr="135E8D13" w:rsidR="00516935">
        <w:rPr>
          <w:b w:val="1"/>
          <w:bCs w:val="1"/>
          <w:sz w:val="36"/>
          <w:szCs w:val="36"/>
        </w:rPr>
        <w:t xml:space="preserve">MODULE TITLE: </w:t>
      </w:r>
      <w:r w:rsidRPr="135E8D13" w:rsidR="36D29305">
        <w:rPr>
          <w:b w:val="1"/>
          <w:bCs w:val="1"/>
          <w:sz w:val="36"/>
          <w:szCs w:val="36"/>
        </w:rPr>
        <w:t>Principles of Health and Social Car</w:t>
      </w:r>
      <w:r w:rsidRPr="135E8D13" w:rsidR="14038843">
        <w:rPr>
          <w:b w:val="1"/>
          <w:bCs w:val="1"/>
          <w:sz w:val="36"/>
          <w:szCs w:val="36"/>
        </w:rPr>
        <w:t>e</w:t>
      </w:r>
    </w:p>
    <w:p w:rsidRPr="00516935" w:rsidR="00516935" w:rsidP="135E8D13" w:rsidRDefault="00516935" w14:paraId="39DC71CA" w14:textId="2243D012">
      <w:pPr>
        <w:jc w:val="center"/>
        <w:rPr>
          <w:b w:val="1"/>
          <w:bCs w:val="1"/>
          <w:sz w:val="36"/>
          <w:szCs w:val="36"/>
        </w:rPr>
      </w:pPr>
      <w:r w:rsidRPr="135E8D13" w:rsidR="00516935">
        <w:rPr>
          <w:b w:val="1"/>
          <w:bCs w:val="1"/>
          <w:sz w:val="36"/>
          <w:szCs w:val="36"/>
        </w:rPr>
        <w:t xml:space="preserve">STUDENT NAME: </w:t>
      </w:r>
      <w:r w:rsidRPr="135E8D13" w:rsidR="355A1B33">
        <w:rPr>
          <w:b w:val="1"/>
          <w:bCs w:val="1"/>
          <w:sz w:val="36"/>
          <w:szCs w:val="36"/>
        </w:rPr>
        <w:t>Nigget Saddiq</w:t>
      </w:r>
    </w:p>
    <w:p w:rsidRPr="00516935" w:rsidR="00516935" w:rsidP="135E8D13" w:rsidRDefault="00516935" w14:paraId="6276278E" w14:textId="25673FF2">
      <w:pPr>
        <w:jc w:val="center"/>
        <w:rPr>
          <w:b w:val="1"/>
          <w:bCs w:val="1"/>
          <w:sz w:val="36"/>
          <w:szCs w:val="36"/>
        </w:rPr>
      </w:pPr>
      <w:r w:rsidRPr="135E8D13" w:rsidR="00516935">
        <w:rPr>
          <w:b w:val="1"/>
          <w:bCs w:val="1"/>
          <w:sz w:val="36"/>
          <w:szCs w:val="36"/>
        </w:rPr>
        <w:t xml:space="preserve">STUDENT NUMBER: </w:t>
      </w:r>
      <w:r w:rsidRPr="135E8D13" w:rsidR="2885715D">
        <w:rPr>
          <w:b w:val="1"/>
          <w:bCs w:val="1"/>
          <w:sz w:val="36"/>
          <w:szCs w:val="36"/>
        </w:rPr>
        <w:t>2441030</w:t>
      </w:r>
    </w:p>
    <w:p w:rsidRPr="00516935" w:rsidR="00516935" w:rsidP="135E8D13" w:rsidRDefault="00516935" w14:paraId="7E02607C" w14:textId="69BD21BE">
      <w:pPr>
        <w:pStyle w:val="Normal"/>
        <w:suppressLineNumbers w:val="0"/>
        <w:bidi w:val="0"/>
        <w:spacing w:before="0" w:beforeAutospacing="off" w:after="0" w:afterAutospacing="off" w:line="276" w:lineRule="auto"/>
        <w:ind w:left="0" w:right="0"/>
        <w:jc w:val="center"/>
        <w:rPr>
          <w:b w:val="1"/>
          <w:bCs w:val="1"/>
          <w:sz w:val="36"/>
          <w:szCs w:val="36"/>
        </w:rPr>
      </w:pPr>
      <w:r w:rsidRPr="135E8D13" w:rsidR="00516935">
        <w:rPr>
          <w:b w:val="1"/>
          <w:bCs w:val="1"/>
          <w:sz w:val="36"/>
          <w:szCs w:val="36"/>
        </w:rPr>
        <w:t xml:space="preserve">ASSIGNMENT TITLE: </w:t>
      </w:r>
      <w:r w:rsidRPr="135E8D13" w:rsidR="74185930">
        <w:rPr>
          <w:b w:val="1"/>
          <w:bCs w:val="1"/>
          <w:sz w:val="36"/>
          <w:szCs w:val="36"/>
        </w:rPr>
        <w:t>Component</w:t>
      </w:r>
      <w:r w:rsidRPr="135E8D13" w:rsidR="3DB01EF7">
        <w:rPr>
          <w:b w:val="1"/>
          <w:bCs w:val="1"/>
          <w:sz w:val="36"/>
          <w:szCs w:val="36"/>
        </w:rPr>
        <w:t xml:space="preserve"> 2</w:t>
      </w:r>
      <w:r w:rsidRPr="135E8D13" w:rsidR="00516935">
        <w:rPr>
          <w:b w:val="1"/>
          <w:bCs w:val="1"/>
          <w:sz w:val="36"/>
          <w:szCs w:val="36"/>
        </w:rPr>
        <w:t xml:space="preserve"> – W</w:t>
      </w:r>
      <w:r w:rsidRPr="135E8D13" w:rsidR="5A5785CF">
        <w:rPr>
          <w:b w:val="1"/>
          <w:bCs w:val="1"/>
          <w:sz w:val="36"/>
          <w:szCs w:val="36"/>
        </w:rPr>
        <w:t>ritten Assignment</w:t>
      </w:r>
    </w:p>
    <w:p w:rsidRPr="00516935" w:rsidR="00516935" w:rsidP="00516935" w:rsidRDefault="00516935" w14:paraId="04AFEB72" w14:textId="1A10483D">
      <w:pPr>
        <w:jc w:val="center"/>
        <w:rPr>
          <w:b/>
          <w:bCs/>
        </w:rPr>
      </w:pPr>
      <w:r w:rsidRPr="00516935">
        <w:rPr>
          <w:b/>
          <w:bCs/>
        </w:rPr>
        <w:br w:type="page"/>
      </w:r>
    </w:p>
    <w:sdt>
      <w:sdtPr>
        <w:id w:val="-1432269533"/>
        <w:docPartObj>
          <w:docPartGallery w:val="Table of Contents"/>
          <w:docPartUnique/>
        </w:docPartObj>
      </w:sdtPr>
      <w:sdtEndPr>
        <w:rPr>
          <w:rFonts w:ascii="Arial" w:hAnsi="Arial" w:eastAsia="Arial" w:cs="Arial"/>
          <w:b/>
          <w:bCs/>
          <w:noProof/>
          <w:color w:val="auto"/>
          <w:sz w:val="22"/>
          <w:szCs w:val="22"/>
          <w:lang w:val="en-GB" w:eastAsia="en-IN"/>
        </w:rPr>
      </w:sdtEndPr>
      <w:sdtContent>
        <w:p w:rsidRPr="00DC1024" w:rsidR="00DC1024" w:rsidP="00DC1024" w:rsidRDefault="00DC1024" w14:paraId="1832FA7D" w14:textId="111B09BC">
          <w:pPr>
            <w:pStyle w:val="TOCHeading"/>
            <w:spacing w:line="360" w:lineRule="auto"/>
            <w:jc w:val="center"/>
            <w:rPr>
              <w:rFonts w:ascii="Arial" w:hAnsi="Arial" w:cs="Arial"/>
              <w:b/>
              <w:bCs/>
              <w:color w:val="000000" w:themeColor="text1"/>
              <w:sz w:val="28"/>
              <w:szCs w:val="28"/>
            </w:rPr>
          </w:pPr>
          <w:r w:rsidRPr="00DC1024">
            <w:rPr>
              <w:rFonts w:ascii="Arial" w:hAnsi="Arial" w:cs="Arial"/>
              <w:b/>
              <w:bCs/>
              <w:color w:val="000000" w:themeColor="text1"/>
              <w:sz w:val="28"/>
              <w:szCs w:val="28"/>
            </w:rPr>
            <w:t>Table of Contents</w:t>
          </w:r>
        </w:p>
        <w:p w:rsidRPr="00DC1024" w:rsidR="00DC1024" w:rsidP="00DC1024" w:rsidRDefault="00DC1024" w14:paraId="0EEE175A" w14:textId="746DBAA4">
          <w:pPr>
            <w:pStyle w:val="TOC1"/>
            <w:tabs>
              <w:tab w:val="right" w:leader="dot" w:pos="9350"/>
            </w:tabs>
            <w:spacing w:line="360" w:lineRule="auto"/>
            <w:jc w:val="both"/>
            <w:rPr>
              <w:noProof/>
              <w:color w:val="000000" w:themeColor="text1"/>
            </w:rPr>
          </w:pPr>
          <w:r w:rsidRPr="00DC1024">
            <w:rPr>
              <w:color w:val="000000" w:themeColor="text1"/>
            </w:rPr>
            <w:fldChar w:fldCharType="begin"/>
          </w:r>
          <w:r w:rsidRPr="00DC1024">
            <w:rPr>
              <w:color w:val="000000" w:themeColor="text1"/>
            </w:rPr>
            <w:instrText xml:space="preserve"> TOC \o "1-3" \h \z \u </w:instrText>
          </w:r>
          <w:r w:rsidRPr="00DC1024">
            <w:rPr>
              <w:color w:val="000000" w:themeColor="text1"/>
            </w:rPr>
            <w:fldChar w:fldCharType="separate"/>
          </w:r>
          <w:hyperlink w:history="1" w:anchor="_Toc233379146">
            <w:r w:rsidRPr="00DC1024">
              <w:rPr>
                <w:rStyle w:val="Hyperlink"/>
                <w:noProof/>
                <w:color w:val="000000" w:themeColor="text1"/>
              </w:rPr>
              <w:t>1. Introduction</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_Toc233379146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3</w:t>
            </w:r>
            <w:r w:rsidRPr="00DC1024">
              <w:rPr>
                <w:noProof/>
                <w:webHidden/>
                <w:color w:val="000000" w:themeColor="text1"/>
              </w:rPr>
              <w:fldChar w:fldCharType="end"/>
            </w:r>
          </w:hyperlink>
        </w:p>
        <w:p w:rsidRPr="00DC1024" w:rsidR="00DC1024" w:rsidP="00DC1024" w:rsidRDefault="00DC1024" w14:paraId="5F02918A" w14:textId="3C02B383">
          <w:pPr>
            <w:pStyle w:val="TOC2"/>
            <w:tabs>
              <w:tab w:val="right" w:leader="dot" w:pos="9350"/>
            </w:tabs>
            <w:spacing w:line="360" w:lineRule="auto"/>
            <w:jc w:val="both"/>
            <w:rPr>
              <w:noProof/>
              <w:color w:val="000000" w:themeColor="text1"/>
            </w:rPr>
          </w:pPr>
          <w:hyperlink w:history="1" w:anchor="_Toc233379147">
            <w:r w:rsidRPr="00DC1024">
              <w:rPr>
                <w:rStyle w:val="Hyperlink"/>
                <w:noProof/>
                <w:color w:val="000000" w:themeColor="text1"/>
              </w:rPr>
              <w:t>1.1 Background of Health and Social Care</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_Toc233379147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3</w:t>
            </w:r>
            <w:r w:rsidRPr="00DC1024">
              <w:rPr>
                <w:noProof/>
                <w:webHidden/>
                <w:color w:val="000000" w:themeColor="text1"/>
              </w:rPr>
              <w:fldChar w:fldCharType="end"/>
            </w:r>
          </w:hyperlink>
        </w:p>
        <w:p w:rsidRPr="00DC1024" w:rsidR="00DC1024" w:rsidP="00DC1024" w:rsidRDefault="00DC1024" w14:paraId="00963DAB" w14:textId="71E1A296">
          <w:pPr>
            <w:pStyle w:val="TOC2"/>
            <w:tabs>
              <w:tab w:val="right" w:leader="dot" w:pos="9350"/>
            </w:tabs>
            <w:spacing w:line="360" w:lineRule="auto"/>
            <w:jc w:val="both"/>
            <w:rPr>
              <w:noProof/>
              <w:color w:val="000000" w:themeColor="text1"/>
            </w:rPr>
          </w:pPr>
          <w:hyperlink w:history="1" w:anchor="_Toc233379148">
            <w:r w:rsidRPr="00DC1024">
              <w:rPr>
                <w:rStyle w:val="Hyperlink"/>
                <w:noProof/>
                <w:color w:val="000000" w:themeColor="text1"/>
              </w:rPr>
              <w:t>1.2 Importance of PCC and Partnership Working</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_Toc233379148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3</w:t>
            </w:r>
            <w:r w:rsidRPr="00DC1024">
              <w:rPr>
                <w:noProof/>
                <w:webHidden/>
                <w:color w:val="000000" w:themeColor="text1"/>
              </w:rPr>
              <w:fldChar w:fldCharType="end"/>
            </w:r>
          </w:hyperlink>
        </w:p>
        <w:p w:rsidRPr="00DC1024" w:rsidR="00DC1024" w:rsidP="00DC1024" w:rsidRDefault="00DC1024" w14:paraId="1EC87721" w14:textId="16C0EFA9">
          <w:pPr>
            <w:pStyle w:val="TOC2"/>
            <w:tabs>
              <w:tab w:val="right" w:leader="dot" w:pos="9350"/>
            </w:tabs>
            <w:spacing w:line="360" w:lineRule="auto"/>
            <w:jc w:val="both"/>
            <w:rPr>
              <w:noProof/>
              <w:color w:val="000000" w:themeColor="text1"/>
            </w:rPr>
          </w:pPr>
          <w:hyperlink w:history="1" w:anchor="_Toc233379149">
            <w:r w:rsidRPr="00DC1024">
              <w:rPr>
                <w:rStyle w:val="Hyperlink"/>
                <w:noProof/>
                <w:color w:val="000000" w:themeColor="text1"/>
              </w:rPr>
              <w:t>1.3 Purpose of the Report</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_Toc233379149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3</w:t>
            </w:r>
            <w:r w:rsidRPr="00DC1024">
              <w:rPr>
                <w:noProof/>
                <w:webHidden/>
                <w:color w:val="000000" w:themeColor="text1"/>
              </w:rPr>
              <w:fldChar w:fldCharType="end"/>
            </w:r>
          </w:hyperlink>
        </w:p>
        <w:p w:rsidRPr="00DC1024" w:rsidR="00DC1024" w:rsidP="00DC1024" w:rsidRDefault="00DC1024" w14:paraId="0B8EF4B3" w14:textId="3C218E10">
          <w:pPr>
            <w:pStyle w:val="TOC2"/>
            <w:tabs>
              <w:tab w:val="right" w:leader="dot" w:pos="9350"/>
            </w:tabs>
            <w:spacing w:line="360" w:lineRule="auto"/>
            <w:jc w:val="both"/>
            <w:rPr>
              <w:noProof/>
              <w:color w:val="000000" w:themeColor="text1"/>
            </w:rPr>
          </w:pPr>
          <w:hyperlink w:history="1" w:anchor="_Toc233379150">
            <w:r w:rsidRPr="00DC1024">
              <w:rPr>
                <w:rStyle w:val="Hyperlink"/>
                <w:noProof/>
                <w:color w:val="000000" w:themeColor="text1"/>
              </w:rPr>
              <w:t>1.4 Overview of the Report</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_Toc233379150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3</w:t>
            </w:r>
            <w:r w:rsidRPr="00DC1024">
              <w:rPr>
                <w:noProof/>
                <w:webHidden/>
                <w:color w:val="000000" w:themeColor="text1"/>
              </w:rPr>
              <w:fldChar w:fldCharType="end"/>
            </w:r>
          </w:hyperlink>
        </w:p>
        <w:p w:rsidRPr="00DC1024" w:rsidR="00DC1024" w:rsidP="00DC1024" w:rsidRDefault="00DC1024" w14:paraId="064E2F7D" w14:textId="211B91A3">
          <w:pPr>
            <w:pStyle w:val="TOC1"/>
            <w:tabs>
              <w:tab w:val="right" w:leader="dot" w:pos="9350"/>
            </w:tabs>
            <w:spacing w:line="360" w:lineRule="auto"/>
            <w:jc w:val="both"/>
            <w:rPr>
              <w:noProof/>
              <w:color w:val="000000" w:themeColor="text1"/>
            </w:rPr>
          </w:pPr>
          <w:hyperlink w:history="1" w:anchor="_Toc233379151">
            <w:r w:rsidRPr="00DC1024">
              <w:rPr>
                <w:rStyle w:val="Hyperlink"/>
                <w:noProof/>
                <w:color w:val="000000" w:themeColor="text1"/>
              </w:rPr>
              <w:t>2. Person Centred Care, Definition, Benefits and Limitations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_Toc233379151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3</w:t>
            </w:r>
            <w:r w:rsidRPr="00DC1024">
              <w:rPr>
                <w:noProof/>
                <w:webHidden/>
                <w:color w:val="000000" w:themeColor="text1"/>
              </w:rPr>
              <w:fldChar w:fldCharType="end"/>
            </w:r>
          </w:hyperlink>
        </w:p>
        <w:p w:rsidRPr="00DC1024" w:rsidR="00DC1024" w:rsidP="00DC1024" w:rsidRDefault="00DC1024" w14:paraId="00808FF0" w14:textId="06D89A24">
          <w:pPr>
            <w:pStyle w:val="TOC2"/>
            <w:tabs>
              <w:tab w:val="right" w:leader="dot" w:pos="9350"/>
            </w:tabs>
            <w:spacing w:line="360" w:lineRule="auto"/>
            <w:jc w:val="both"/>
            <w:rPr>
              <w:noProof/>
              <w:color w:val="000000" w:themeColor="text1"/>
            </w:rPr>
          </w:pPr>
          <w:hyperlink w:history="1" w:anchor="_Toc233379152">
            <w:r w:rsidRPr="00DC1024">
              <w:rPr>
                <w:rStyle w:val="Hyperlink"/>
                <w:noProof/>
                <w:color w:val="000000" w:themeColor="text1"/>
              </w:rPr>
              <w:t>2.1 Definition of Person-Centred Care</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_Toc233379152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3</w:t>
            </w:r>
            <w:r w:rsidRPr="00DC1024">
              <w:rPr>
                <w:noProof/>
                <w:webHidden/>
                <w:color w:val="000000" w:themeColor="text1"/>
              </w:rPr>
              <w:fldChar w:fldCharType="end"/>
            </w:r>
          </w:hyperlink>
        </w:p>
        <w:p w:rsidRPr="00DC1024" w:rsidR="00DC1024" w:rsidP="00DC1024" w:rsidRDefault="00DC1024" w14:paraId="5F1EAAE3" w14:textId="52915E08">
          <w:pPr>
            <w:pStyle w:val="TOC2"/>
            <w:tabs>
              <w:tab w:val="right" w:leader="dot" w:pos="9350"/>
            </w:tabs>
            <w:spacing w:line="360" w:lineRule="auto"/>
            <w:jc w:val="both"/>
            <w:rPr>
              <w:noProof/>
              <w:color w:val="000000" w:themeColor="text1"/>
            </w:rPr>
          </w:pPr>
          <w:hyperlink w:history="1" w:anchor="_Toc233379153">
            <w:r w:rsidRPr="00DC1024">
              <w:rPr>
                <w:rStyle w:val="Hyperlink"/>
                <w:noProof/>
                <w:color w:val="000000" w:themeColor="text1"/>
              </w:rPr>
              <w:t>2.2 Principles of PCC</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_Toc233379153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4</w:t>
            </w:r>
            <w:r w:rsidRPr="00DC1024">
              <w:rPr>
                <w:noProof/>
                <w:webHidden/>
                <w:color w:val="000000" w:themeColor="text1"/>
              </w:rPr>
              <w:fldChar w:fldCharType="end"/>
            </w:r>
          </w:hyperlink>
        </w:p>
        <w:p w:rsidRPr="00DC1024" w:rsidR="00DC1024" w:rsidP="00DC1024" w:rsidRDefault="00DC1024" w14:paraId="368EAD9B" w14:textId="4BEB2E33">
          <w:pPr>
            <w:pStyle w:val="TOC2"/>
            <w:tabs>
              <w:tab w:val="right" w:leader="dot" w:pos="9350"/>
            </w:tabs>
            <w:spacing w:line="360" w:lineRule="auto"/>
            <w:jc w:val="both"/>
            <w:rPr>
              <w:noProof/>
              <w:color w:val="000000" w:themeColor="text1"/>
            </w:rPr>
          </w:pPr>
          <w:hyperlink w:history="1" w:anchor="_Toc233379154">
            <w:r w:rsidRPr="00DC1024">
              <w:rPr>
                <w:rStyle w:val="Hyperlink"/>
                <w:noProof/>
                <w:color w:val="000000" w:themeColor="text1"/>
              </w:rPr>
              <w:t>2.3 Benefits of PCC</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_Toc233379154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4</w:t>
            </w:r>
            <w:r w:rsidRPr="00DC1024">
              <w:rPr>
                <w:noProof/>
                <w:webHidden/>
                <w:color w:val="000000" w:themeColor="text1"/>
              </w:rPr>
              <w:fldChar w:fldCharType="end"/>
            </w:r>
          </w:hyperlink>
        </w:p>
        <w:p w:rsidRPr="00DC1024" w:rsidR="00DC1024" w:rsidP="00DC1024" w:rsidRDefault="00DC1024" w14:paraId="1AA6E68E" w14:textId="0A371353">
          <w:pPr>
            <w:pStyle w:val="TOC2"/>
            <w:tabs>
              <w:tab w:val="right" w:leader="dot" w:pos="9350"/>
            </w:tabs>
            <w:spacing w:line="360" w:lineRule="auto"/>
            <w:jc w:val="both"/>
            <w:rPr>
              <w:noProof/>
              <w:color w:val="000000" w:themeColor="text1"/>
            </w:rPr>
          </w:pPr>
          <w:hyperlink w:history="1" w:anchor="_Toc233379155">
            <w:r w:rsidRPr="00DC1024">
              <w:rPr>
                <w:rStyle w:val="Hyperlink"/>
                <w:noProof/>
                <w:color w:val="000000" w:themeColor="text1"/>
              </w:rPr>
              <w:t>2.4 Limitations and Challenges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_Toc233379155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4</w:t>
            </w:r>
            <w:r w:rsidRPr="00DC1024">
              <w:rPr>
                <w:noProof/>
                <w:webHidden/>
                <w:color w:val="000000" w:themeColor="text1"/>
              </w:rPr>
              <w:fldChar w:fldCharType="end"/>
            </w:r>
          </w:hyperlink>
        </w:p>
        <w:p w:rsidRPr="00DC1024" w:rsidR="00DC1024" w:rsidP="00DC1024" w:rsidRDefault="00DC1024" w14:paraId="0FE7A7DC" w14:textId="0AFF85AE">
          <w:pPr>
            <w:pStyle w:val="TOC1"/>
            <w:tabs>
              <w:tab w:val="right" w:leader="dot" w:pos="9350"/>
            </w:tabs>
            <w:spacing w:line="360" w:lineRule="auto"/>
            <w:jc w:val="both"/>
            <w:rPr>
              <w:noProof/>
              <w:color w:val="000000" w:themeColor="text1"/>
            </w:rPr>
          </w:pPr>
          <w:hyperlink w:history="1" w:anchor="_Toc233379156">
            <w:r w:rsidRPr="00DC1024">
              <w:rPr>
                <w:rStyle w:val="Hyperlink"/>
                <w:noProof/>
                <w:color w:val="000000" w:themeColor="text1"/>
              </w:rPr>
              <w:t>3. Theory Underpinning Person Centred Care</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_Toc233379156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5</w:t>
            </w:r>
            <w:r w:rsidRPr="00DC1024">
              <w:rPr>
                <w:noProof/>
                <w:webHidden/>
                <w:color w:val="000000" w:themeColor="text1"/>
              </w:rPr>
              <w:fldChar w:fldCharType="end"/>
            </w:r>
          </w:hyperlink>
        </w:p>
        <w:p w:rsidRPr="00DC1024" w:rsidR="00DC1024" w:rsidP="00DC1024" w:rsidRDefault="00DC1024" w14:paraId="451F6755" w14:textId="3C380F32">
          <w:pPr>
            <w:pStyle w:val="TOC2"/>
            <w:tabs>
              <w:tab w:val="right" w:leader="dot" w:pos="9350"/>
            </w:tabs>
            <w:spacing w:line="360" w:lineRule="auto"/>
            <w:jc w:val="both"/>
            <w:rPr>
              <w:noProof/>
              <w:color w:val="000000" w:themeColor="text1"/>
            </w:rPr>
          </w:pPr>
          <w:hyperlink w:history="1" w:anchor="_Toc233379157">
            <w:r w:rsidRPr="00DC1024">
              <w:rPr>
                <w:rStyle w:val="Hyperlink"/>
                <w:noProof/>
                <w:color w:val="000000" w:themeColor="text1"/>
              </w:rPr>
              <w:t>3.1 Main Concepts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_Toc233379157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5</w:t>
            </w:r>
            <w:r w:rsidRPr="00DC1024">
              <w:rPr>
                <w:noProof/>
                <w:webHidden/>
                <w:color w:val="000000" w:themeColor="text1"/>
              </w:rPr>
              <w:fldChar w:fldCharType="end"/>
            </w:r>
          </w:hyperlink>
        </w:p>
        <w:p w:rsidRPr="00DC1024" w:rsidR="00DC1024" w:rsidP="00DC1024" w:rsidRDefault="00DC1024" w14:paraId="60CBFB7F" w14:textId="5360EDFB">
          <w:pPr>
            <w:pStyle w:val="TOC2"/>
            <w:tabs>
              <w:tab w:val="right" w:leader="dot" w:pos="9350"/>
            </w:tabs>
            <w:spacing w:line="360" w:lineRule="auto"/>
            <w:jc w:val="both"/>
            <w:rPr>
              <w:noProof/>
              <w:color w:val="000000" w:themeColor="text1"/>
            </w:rPr>
          </w:pPr>
          <w:hyperlink w:history="1" w:anchor="_Toc233379158">
            <w:r w:rsidRPr="00DC1024">
              <w:rPr>
                <w:rStyle w:val="Hyperlink"/>
                <w:noProof/>
                <w:color w:val="000000" w:themeColor="text1"/>
              </w:rPr>
              <w:t>3.2 Strengths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_Toc233379158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5</w:t>
            </w:r>
            <w:r w:rsidRPr="00DC1024">
              <w:rPr>
                <w:noProof/>
                <w:webHidden/>
                <w:color w:val="000000" w:themeColor="text1"/>
              </w:rPr>
              <w:fldChar w:fldCharType="end"/>
            </w:r>
          </w:hyperlink>
        </w:p>
        <w:p w:rsidRPr="00DC1024" w:rsidR="00DC1024" w:rsidP="00DC1024" w:rsidRDefault="00DC1024" w14:paraId="0C7C2C41" w14:textId="55D1E8D0">
          <w:pPr>
            <w:pStyle w:val="TOC2"/>
            <w:tabs>
              <w:tab w:val="right" w:leader="dot" w:pos="9350"/>
            </w:tabs>
            <w:spacing w:line="360" w:lineRule="auto"/>
            <w:jc w:val="both"/>
            <w:rPr>
              <w:noProof/>
              <w:color w:val="000000" w:themeColor="text1"/>
            </w:rPr>
          </w:pPr>
          <w:hyperlink w:history="1" w:anchor="_Toc233379159">
            <w:r w:rsidRPr="00DC1024">
              <w:rPr>
                <w:rStyle w:val="Hyperlink"/>
                <w:noProof/>
                <w:color w:val="000000" w:themeColor="text1"/>
              </w:rPr>
              <w:t>3.3 Weaknesses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_Toc233379159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5</w:t>
            </w:r>
            <w:r w:rsidRPr="00DC1024">
              <w:rPr>
                <w:noProof/>
                <w:webHidden/>
                <w:color w:val="000000" w:themeColor="text1"/>
              </w:rPr>
              <w:fldChar w:fldCharType="end"/>
            </w:r>
          </w:hyperlink>
        </w:p>
        <w:p w:rsidRPr="00DC1024" w:rsidR="00DC1024" w:rsidP="00DC1024" w:rsidRDefault="00DC1024" w14:paraId="12BA696C" w14:textId="761FEC61">
          <w:pPr>
            <w:pStyle w:val="TOC2"/>
            <w:tabs>
              <w:tab w:val="right" w:leader="dot" w:pos="9350"/>
            </w:tabs>
            <w:spacing w:line="360" w:lineRule="auto"/>
            <w:jc w:val="both"/>
            <w:rPr>
              <w:noProof/>
              <w:color w:val="000000" w:themeColor="text1"/>
            </w:rPr>
          </w:pPr>
          <w:hyperlink w:history="1" w:anchor="_Toc233379160">
            <w:r w:rsidRPr="00DC1024">
              <w:rPr>
                <w:rStyle w:val="Hyperlink"/>
                <w:noProof/>
                <w:color w:val="000000" w:themeColor="text1"/>
              </w:rPr>
              <w:t>3.4 Application in Community Mental Health Services (CHM)</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_Toc233379160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6</w:t>
            </w:r>
            <w:r w:rsidRPr="00DC1024">
              <w:rPr>
                <w:noProof/>
                <w:webHidden/>
                <w:color w:val="000000" w:themeColor="text1"/>
              </w:rPr>
              <w:fldChar w:fldCharType="end"/>
            </w:r>
          </w:hyperlink>
        </w:p>
        <w:p w:rsidRPr="00DC1024" w:rsidR="00DC1024" w:rsidP="00DC1024" w:rsidRDefault="00DC1024" w14:paraId="146B035E" w14:textId="6C766C2D">
          <w:pPr>
            <w:pStyle w:val="TOC1"/>
            <w:tabs>
              <w:tab w:val="right" w:leader="dot" w:pos="9350"/>
            </w:tabs>
            <w:spacing w:line="360" w:lineRule="auto"/>
            <w:jc w:val="both"/>
            <w:rPr>
              <w:noProof/>
              <w:color w:val="000000" w:themeColor="text1"/>
            </w:rPr>
          </w:pPr>
          <w:hyperlink w:history="1" w:anchor="_Toc233379161">
            <w:r w:rsidRPr="00DC1024">
              <w:rPr>
                <w:rStyle w:val="Hyperlink"/>
                <w:noProof/>
                <w:color w:val="000000" w:themeColor="text1"/>
              </w:rPr>
              <w:t>4. Ethical Fundamentals in Health and Social Care</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_Toc233379161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6</w:t>
            </w:r>
            <w:r w:rsidRPr="00DC1024">
              <w:rPr>
                <w:noProof/>
                <w:webHidden/>
                <w:color w:val="000000" w:themeColor="text1"/>
              </w:rPr>
              <w:fldChar w:fldCharType="end"/>
            </w:r>
          </w:hyperlink>
        </w:p>
        <w:p w:rsidRPr="00DC1024" w:rsidR="00DC1024" w:rsidP="00DC1024" w:rsidRDefault="00DC1024" w14:paraId="686CEA4A" w14:textId="0AB45F7D">
          <w:pPr>
            <w:pStyle w:val="TOC2"/>
            <w:tabs>
              <w:tab w:val="right" w:leader="dot" w:pos="9350"/>
            </w:tabs>
            <w:spacing w:line="360" w:lineRule="auto"/>
            <w:jc w:val="both"/>
            <w:rPr>
              <w:noProof/>
              <w:color w:val="000000" w:themeColor="text1"/>
            </w:rPr>
          </w:pPr>
          <w:hyperlink w:history="1" w:anchor="_Toc233379162">
            <w:r w:rsidRPr="00DC1024">
              <w:rPr>
                <w:rStyle w:val="Hyperlink"/>
                <w:noProof/>
                <w:color w:val="000000" w:themeColor="text1"/>
              </w:rPr>
              <w:t>4.1 Autonomy</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_Toc233379162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6</w:t>
            </w:r>
            <w:r w:rsidRPr="00DC1024">
              <w:rPr>
                <w:noProof/>
                <w:webHidden/>
                <w:color w:val="000000" w:themeColor="text1"/>
              </w:rPr>
              <w:fldChar w:fldCharType="end"/>
            </w:r>
          </w:hyperlink>
        </w:p>
        <w:p w:rsidRPr="00DC1024" w:rsidR="00DC1024" w:rsidP="00DC1024" w:rsidRDefault="00DC1024" w14:paraId="3564FB1D" w14:textId="112594DC">
          <w:pPr>
            <w:pStyle w:val="TOC2"/>
            <w:tabs>
              <w:tab w:val="right" w:leader="dot" w:pos="9350"/>
            </w:tabs>
            <w:spacing w:line="360" w:lineRule="auto"/>
            <w:jc w:val="both"/>
            <w:rPr>
              <w:noProof/>
              <w:color w:val="000000" w:themeColor="text1"/>
            </w:rPr>
          </w:pPr>
          <w:hyperlink w:history="1" w:anchor="_Toc233379163">
            <w:r w:rsidRPr="00DC1024">
              <w:rPr>
                <w:rStyle w:val="Hyperlink"/>
                <w:noProof/>
                <w:color w:val="000000" w:themeColor="text1"/>
              </w:rPr>
              <w:t>4.2 Beneficence</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_Toc233379163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6</w:t>
            </w:r>
            <w:r w:rsidRPr="00DC1024">
              <w:rPr>
                <w:noProof/>
                <w:webHidden/>
                <w:color w:val="000000" w:themeColor="text1"/>
              </w:rPr>
              <w:fldChar w:fldCharType="end"/>
            </w:r>
          </w:hyperlink>
        </w:p>
        <w:p w:rsidRPr="00DC1024" w:rsidR="00DC1024" w:rsidP="00DC1024" w:rsidRDefault="00DC1024" w14:paraId="7E026664" w14:textId="61286141">
          <w:pPr>
            <w:pStyle w:val="TOC2"/>
            <w:tabs>
              <w:tab w:val="right" w:leader="dot" w:pos="9350"/>
            </w:tabs>
            <w:spacing w:line="360" w:lineRule="auto"/>
            <w:jc w:val="both"/>
            <w:rPr>
              <w:noProof/>
              <w:color w:val="000000" w:themeColor="text1"/>
            </w:rPr>
          </w:pPr>
          <w:hyperlink w:history="1" w:anchor="_Toc233379164">
            <w:r w:rsidRPr="00DC1024">
              <w:rPr>
                <w:rStyle w:val="Hyperlink"/>
                <w:noProof/>
                <w:color w:val="000000" w:themeColor="text1"/>
              </w:rPr>
              <w:t>4.3 non-maleficence</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_Toc233379164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6</w:t>
            </w:r>
            <w:r w:rsidRPr="00DC1024">
              <w:rPr>
                <w:noProof/>
                <w:webHidden/>
                <w:color w:val="000000" w:themeColor="text1"/>
              </w:rPr>
              <w:fldChar w:fldCharType="end"/>
            </w:r>
          </w:hyperlink>
        </w:p>
        <w:p w:rsidRPr="00DC1024" w:rsidR="00DC1024" w:rsidP="00DC1024" w:rsidRDefault="00DC1024" w14:paraId="3D1F08E2" w14:textId="4541C9F9">
          <w:pPr>
            <w:pStyle w:val="TOC2"/>
            <w:tabs>
              <w:tab w:val="right" w:leader="dot" w:pos="9350"/>
            </w:tabs>
            <w:spacing w:line="360" w:lineRule="auto"/>
            <w:jc w:val="both"/>
            <w:rPr>
              <w:noProof/>
              <w:color w:val="000000" w:themeColor="text1"/>
            </w:rPr>
          </w:pPr>
          <w:hyperlink w:history="1" w:anchor="_Toc233379165">
            <w:r w:rsidRPr="00DC1024">
              <w:rPr>
                <w:rStyle w:val="Hyperlink"/>
                <w:noProof/>
                <w:color w:val="000000" w:themeColor="text1"/>
              </w:rPr>
              <w:t>4.4 Justice</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_Toc233379165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6</w:t>
            </w:r>
            <w:r w:rsidRPr="00DC1024">
              <w:rPr>
                <w:noProof/>
                <w:webHidden/>
                <w:color w:val="000000" w:themeColor="text1"/>
              </w:rPr>
              <w:fldChar w:fldCharType="end"/>
            </w:r>
          </w:hyperlink>
        </w:p>
        <w:p w:rsidRPr="00DC1024" w:rsidR="00DC1024" w:rsidP="00DC1024" w:rsidRDefault="00DC1024" w14:paraId="6AA497FF" w14:textId="5A70878F">
          <w:pPr>
            <w:pStyle w:val="TOC2"/>
            <w:tabs>
              <w:tab w:val="right" w:leader="dot" w:pos="9350"/>
            </w:tabs>
            <w:spacing w:line="360" w:lineRule="auto"/>
            <w:jc w:val="both"/>
            <w:rPr>
              <w:noProof/>
              <w:color w:val="000000" w:themeColor="text1"/>
            </w:rPr>
          </w:pPr>
          <w:hyperlink w:history="1" w:anchor="_Toc233379166">
            <w:r w:rsidRPr="00DC1024">
              <w:rPr>
                <w:rStyle w:val="Hyperlink"/>
                <w:noProof/>
                <w:color w:val="000000" w:themeColor="text1"/>
              </w:rPr>
              <w:t>4.5 Confidentiality</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_Toc233379166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7</w:t>
            </w:r>
            <w:r w:rsidRPr="00DC1024">
              <w:rPr>
                <w:noProof/>
                <w:webHidden/>
                <w:color w:val="000000" w:themeColor="text1"/>
              </w:rPr>
              <w:fldChar w:fldCharType="end"/>
            </w:r>
          </w:hyperlink>
        </w:p>
        <w:p w:rsidRPr="00DC1024" w:rsidR="00DC1024" w:rsidP="00DC1024" w:rsidRDefault="00DC1024" w14:paraId="4767FFEE" w14:textId="60D6CB62">
          <w:pPr>
            <w:pStyle w:val="TOC2"/>
            <w:tabs>
              <w:tab w:val="right" w:leader="dot" w:pos="9350"/>
            </w:tabs>
            <w:spacing w:line="360" w:lineRule="auto"/>
            <w:jc w:val="both"/>
            <w:rPr>
              <w:noProof/>
              <w:color w:val="000000" w:themeColor="text1"/>
            </w:rPr>
          </w:pPr>
          <w:hyperlink w:history="1" w:anchor="_Toc233379167">
            <w:r w:rsidRPr="00DC1024">
              <w:rPr>
                <w:rStyle w:val="Hyperlink"/>
                <w:noProof/>
                <w:color w:val="000000" w:themeColor="text1"/>
              </w:rPr>
              <w:t>4.6 Dignity</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_Toc233379167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7</w:t>
            </w:r>
            <w:r w:rsidRPr="00DC1024">
              <w:rPr>
                <w:noProof/>
                <w:webHidden/>
                <w:color w:val="000000" w:themeColor="text1"/>
              </w:rPr>
              <w:fldChar w:fldCharType="end"/>
            </w:r>
          </w:hyperlink>
        </w:p>
        <w:p w:rsidRPr="00DC1024" w:rsidR="00DC1024" w:rsidP="00DC1024" w:rsidRDefault="00DC1024" w14:paraId="7BD235AF" w14:textId="1E51ADB2">
          <w:pPr>
            <w:pStyle w:val="TOC1"/>
            <w:tabs>
              <w:tab w:val="right" w:leader="dot" w:pos="9350"/>
            </w:tabs>
            <w:spacing w:line="360" w:lineRule="auto"/>
            <w:jc w:val="both"/>
            <w:rPr>
              <w:noProof/>
              <w:color w:val="000000" w:themeColor="text1"/>
            </w:rPr>
          </w:pPr>
          <w:hyperlink w:history="1" w:anchor="_Toc233379168">
            <w:r w:rsidRPr="00DC1024">
              <w:rPr>
                <w:rStyle w:val="Hyperlink"/>
                <w:noProof/>
                <w:color w:val="000000" w:themeColor="text1"/>
              </w:rPr>
              <w:t>5. Partnership Working in Health and Social Care</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_Toc233379168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7</w:t>
            </w:r>
            <w:r w:rsidRPr="00DC1024">
              <w:rPr>
                <w:noProof/>
                <w:webHidden/>
                <w:color w:val="000000" w:themeColor="text1"/>
              </w:rPr>
              <w:fldChar w:fldCharType="end"/>
            </w:r>
          </w:hyperlink>
        </w:p>
        <w:p w:rsidRPr="00DC1024" w:rsidR="00DC1024" w:rsidP="00DC1024" w:rsidRDefault="00DC1024" w14:paraId="4A626DD0" w14:textId="01906831">
          <w:pPr>
            <w:pStyle w:val="TOC2"/>
            <w:tabs>
              <w:tab w:val="right" w:leader="dot" w:pos="9350"/>
            </w:tabs>
            <w:spacing w:line="360" w:lineRule="auto"/>
            <w:jc w:val="both"/>
            <w:rPr>
              <w:noProof/>
              <w:color w:val="000000" w:themeColor="text1"/>
            </w:rPr>
          </w:pPr>
          <w:hyperlink w:history="1" w:anchor="_Toc233379169">
            <w:r w:rsidRPr="00DC1024">
              <w:rPr>
                <w:rStyle w:val="Hyperlink"/>
                <w:noProof/>
                <w:color w:val="000000" w:themeColor="text1"/>
              </w:rPr>
              <w:t>5.1 Definition</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_Toc233379169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7</w:t>
            </w:r>
            <w:r w:rsidRPr="00DC1024">
              <w:rPr>
                <w:noProof/>
                <w:webHidden/>
                <w:color w:val="000000" w:themeColor="text1"/>
              </w:rPr>
              <w:fldChar w:fldCharType="end"/>
            </w:r>
          </w:hyperlink>
        </w:p>
        <w:p w:rsidRPr="00DC1024" w:rsidR="00DC1024" w:rsidP="00DC1024" w:rsidRDefault="00DC1024" w14:paraId="3D1BAC7D" w14:textId="56FDA110">
          <w:pPr>
            <w:pStyle w:val="TOC2"/>
            <w:tabs>
              <w:tab w:val="right" w:leader="dot" w:pos="9350"/>
            </w:tabs>
            <w:spacing w:line="360" w:lineRule="auto"/>
            <w:jc w:val="both"/>
            <w:rPr>
              <w:noProof/>
              <w:color w:val="000000" w:themeColor="text1"/>
            </w:rPr>
          </w:pPr>
          <w:hyperlink w:history="1" w:anchor="_Toc233379170">
            <w:r w:rsidRPr="00DC1024">
              <w:rPr>
                <w:rStyle w:val="Hyperlink"/>
                <w:noProof/>
                <w:color w:val="000000" w:themeColor="text1"/>
              </w:rPr>
              <w:t>5.2 Benefits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_Toc233379170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7</w:t>
            </w:r>
            <w:r w:rsidRPr="00DC1024">
              <w:rPr>
                <w:noProof/>
                <w:webHidden/>
                <w:color w:val="000000" w:themeColor="text1"/>
              </w:rPr>
              <w:fldChar w:fldCharType="end"/>
            </w:r>
          </w:hyperlink>
        </w:p>
        <w:p w:rsidRPr="00DC1024" w:rsidR="00DC1024" w:rsidP="00DC1024" w:rsidRDefault="00DC1024" w14:paraId="69B50EC6" w14:textId="62FF66B7">
          <w:pPr>
            <w:pStyle w:val="TOC2"/>
            <w:tabs>
              <w:tab w:val="right" w:leader="dot" w:pos="9350"/>
            </w:tabs>
            <w:spacing w:line="360" w:lineRule="auto"/>
            <w:jc w:val="both"/>
            <w:rPr>
              <w:noProof/>
              <w:color w:val="000000" w:themeColor="text1"/>
            </w:rPr>
          </w:pPr>
          <w:hyperlink w:history="1" w:anchor="_Toc233379171">
            <w:r w:rsidRPr="00DC1024">
              <w:rPr>
                <w:rStyle w:val="Hyperlink"/>
                <w:noProof/>
                <w:color w:val="000000" w:themeColor="text1"/>
              </w:rPr>
              <w:t>5.3 Challenges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_Toc233379171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7</w:t>
            </w:r>
            <w:r w:rsidRPr="00DC1024">
              <w:rPr>
                <w:noProof/>
                <w:webHidden/>
                <w:color w:val="000000" w:themeColor="text1"/>
              </w:rPr>
              <w:fldChar w:fldCharType="end"/>
            </w:r>
          </w:hyperlink>
        </w:p>
        <w:p w:rsidRPr="00DC1024" w:rsidR="00DC1024" w:rsidP="00DC1024" w:rsidRDefault="00DC1024" w14:paraId="6204BA30" w14:textId="56219D64">
          <w:pPr>
            <w:pStyle w:val="TOC2"/>
            <w:tabs>
              <w:tab w:val="right" w:leader="dot" w:pos="9350"/>
            </w:tabs>
            <w:spacing w:line="360" w:lineRule="auto"/>
            <w:jc w:val="both"/>
            <w:rPr>
              <w:noProof/>
              <w:color w:val="000000" w:themeColor="text1"/>
            </w:rPr>
          </w:pPr>
          <w:hyperlink w:history="1" w:anchor="_Toc233379172">
            <w:r w:rsidRPr="00DC1024">
              <w:rPr>
                <w:rStyle w:val="Hyperlink"/>
                <w:noProof/>
                <w:color w:val="000000" w:themeColor="text1"/>
              </w:rPr>
              <w:t>5.4 Critical Evaluation</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_Toc233379172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8</w:t>
            </w:r>
            <w:r w:rsidRPr="00DC1024">
              <w:rPr>
                <w:noProof/>
                <w:webHidden/>
                <w:color w:val="000000" w:themeColor="text1"/>
              </w:rPr>
              <w:fldChar w:fldCharType="end"/>
            </w:r>
          </w:hyperlink>
        </w:p>
        <w:p w:rsidRPr="00DC1024" w:rsidR="00DC1024" w:rsidP="00DC1024" w:rsidRDefault="00DC1024" w14:paraId="6A67B1BB" w14:textId="2BD3B430">
          <w:pPr>
            <w:pStyle w:val="TOC1"/>
            <w:tabs>
              <w:tab w:val="right" w:leader="dot" w:pos="9350"/>
            </w:tabs>
            <w:spacing w:line="360" w:lineRule="auto"/>
            <w:jc w:val="both"/>
            <w:rPr>
              <w:noProof/>
              <w:color w:val="000000" w:themeColor="text1"/>
            </w:rPr>
          </w:pPr>
          <w:hyperlink w:history="1" w:anchor="_Toc233379173">
            <w:r w:rsidRPr="00DC1024">
              <w:rPr>
                <w:rStyle w:val="Hyperlink"/>
                <w:noProof/>
                <w:color w:val="000000" w:themeColor="text1"/>
              </w:rPr>
              <w:t>6. Application of Partnership Working in Community Mental Health Services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_Toc233379173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8</w:t>
            </w:r>
            <w:r w:rsidRPr="00DC1024">
              <w:rPr>
                <w:noProof/>
                <w:webHidden/>
                <w:color w:val="000000" w:themeColor="text1"/>
              </w:rPr>
              <w:fldChar w:fldCharType="end"/>
            </w:r>
          </w:hyperlink>
        </w:p>
        <w:p w:rsidRPr="00DC1024" w:rsidR="00DC1024" w:rsidP="00DC1024" w:rsidRDefault="00DC1024" w14:paraId="271A3B29" w14:textId="6BD30BD3">
          <w:pPr>
            <w:pStyle w:val="TOC2"/>
            <w:tabs>
              <w:tab w:val="right" w:leader="dot" w:pos="9350"/>
            </w:tabs>
            <w:spacing w:line="360" w:lineRule="auto"/>
            <w:jc w:val="both"/>
            <w:rPr>
              <w:noProof/>
              <w:color w:val="000000" w:themeColor="text1"/>
            </w:rPr>
          </w:pPr>
          <w:hyperlink w:history="1" w:anchor="_Toc233379174">
            <w:r w:rsidRPr="00DC1024">
              <w:rPr>
                <w:rStyle w:val="Hyperlink"/>
                <w:noProof/>
                <w:color w:val="000000" w:themeColor="text1"/>
              </w:rPr>
              <w:t>6.1 NHS Professionals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_Toc233379174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8</w:t>
            </w:r>
            <w:r w:rsidRPr="00DC1024">
              <w:rPr>
                <w:noProof/>
                <w:webHidden/>
                <w:color w:val="000000" w:themeColor="text1"/>
              </w:rPr>
              <w:fldChar w:fldCharType="end"/>
            </w:r>
          </w:hyperlink>
        </w:p>
        <w:p w:rsidRPr="00DC1024" w:rsidR="00DC1024" w:rsidP="00DC1024" w:rsidRDefault="00DC1024" w14:paraId="345C60C6" w14:textId="4567BACA">
          <w:pPr>
            <w:pStyle w:val="TOC2"/>
            <w:tabs>
              <w:tab w:val="right" w:leader="dot" w:pos="9350"/>
            </w:tabs>
            <w:spacing w:line="360" w:lineRule="auto"/>
            <w:jc w:val="both"/>
            <w:rPr>
              <w:noProof/>
              <w:color w:val="000000" w:themeColor="text1"/>
            </w:rPr>
          </w:pPr>
          <w:hyperlink w:history="1" w:anchor="_Toc233379175">
            <w:r w:rsidRPr="00DC1024">
              <w:rPr>
                <w:rStyle w:val="Hyperlink"/>
                <w:noProof/>
                <w:color w:val="000000" w:themeColor="text1"/>
              </w:rPr>
              <w:t>6.2 Social Workers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_Toc233379175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8</w:t>
            </w:r>
            <w:r w:rsidRPr="00DC1024">
              <w:rPr>
                <w:noProof/>
                <w:webHidden/>
                <w:color w:val="000000" w:themeColor="text1"/>
              </w:rPr>
              <w:fldChar w:fldCharType="end"/>
            </w:r>
          </w:hyperlink>
        </w:p>
        <w:p w:rsidRPr="00DC1024" w:rsidR="00DC1024" w:rsidP="00DC1024" w:rsidRDefault="00DC1024" w14:paraId="56F94D57" w14:textId="3A44BC0F">
          <w:pPr>
            <w:pStyle w:val="TOC2"/>
            <w:tabs>
              <w:tab w:val="right" w:leader="dot" w:pos="9350"/>
            </w:tabs>
            <w:spacing w:line="360" w:lineRule="auto"/>
            <w:jc w:val="both"/>
            <w:rPr>
              <w:noProof/>
              <w:color w:val="000000" w:themeColor="text1"/>
            </w:rPr>
          </w:pPr>
          <w:hyperlink w:history="1" w:anchor="_Toc233379176">
            <w:r w:rsidRPr="00DC1024">
              <w:rPr>
                <w:rStyle w:val="Hyperlink"/>
                <w:noProof/>
                <w:color w:val="000000" w:themeColor="text1"/>
              </w:rPr>
              <w:t>6.3 Occupational Therapists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_Toc233379176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8</w:t>
            </w:r>
            <w:r w:rsidRPr="00DC1024">
              <w:rPr>
                <w:noProof/>
                <w:webHidden/>
                <w:color w:val="000000" w:themeColor="text1"/>
              </w:rPr>
              <w:fldChar w:fldCharType="end"/>
            </w:r>
          </w:hyperlink>
        </w:p>
        <w:p w:rsidRPr="00DC1024" w:rsidR="00DC1024" w:rsidP="00DC1024" w:rsidRDefault="00DC1024" w14:paraId="3518F266" w14:textId="6F9D7E99">
          <w:pPr>
            <w:pStyle w:val="TOC2"/>
            <w:tabs>
              <w:tab w:val="right" w:leader="dot" w:pos="9350"/>
            </w:tabs>
            <w:spacing w:line="360" w:lineRule="auto"/>
            <w:jc w:val="both"/>
            <w:rPr>
              <w:noProof/>
              <w:color w:val="000000" w:themeColor="text1"/>
            </w:rPr>
          </w:pPr>
          <w:hyperlink w:history="1" w:anchor="_Toc233379177">
            <w:r w:rsidRPr="00DC1024">
              <w:rPr>
                <w:rStyle w:val="Hyperlink"/>
                <w:noProof/>
                <w:color w:val="000000" w:themeColor="text1"/>
              </w:rPr>
              <w:t>6.4 Family Carers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_Toc233379177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9</w:t>
            </w:r>
            <w:r w:rsidRPr="00DC1024">
              <w:rPr>
                <w:noProof/>
                <w:webHidden/>
                <w:color w:val="000000" w:themeColor="text1"/>
              </w:rPr>
              <w:fldChar w:fldCharType="end"/>
            </w:r>
          </w:hyperlink>
        </w:p>
        <w:p w:rsidRPr="00DC1024" w:rsidR="00DC1024" w:rsidP="00DC1024" w:rsidRDefault="00DC1024" w14:paraId="19180D32" w14:textId="325CAE16">
          <w:pPr>
            <w:pStyle w:val="TOC2"/>
            <w:tabs>
              <w:tab w:val="right" w:leader="dot" w:pos="9350"/>
            </w:tabs>
            <w:spacing w:line="360" w:lineRule="auto"/>
            <w:jc w:val="both"/>
            <w:rPr>
              <w:noProof/>
              <w:color w:val="000000" w:themeColor="text1"/>
            </w:rPr>
          </w:pPr>
          <w:hyperlink w:history="1" w:anchor="_Toc233379178">
            <w:r w:rsidRPr="00DC1024">
              <w:rPr>
                <w:rStyle w:val="Hyperlink"/>
                <w:noProof/>
                <w:color w:val="000000" w:themeColor="text1"/>
              </w:rPr>
              <w:t>6.5 Voluntary Organisations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_Toc233379178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9</w:t>
            </w:r>
            <w:r w:rsidRPr="00DC1024">
              <w:rPr>
                <w:noProof/>
                <w:webHidden/>
                <w:color w:val="000000" w:themeColor="text1"/>
              </w:rPr>
              <w:fldChar w:fldCharType="end"/>
            </w:r>
          </w:hyperlink>
        </w:p>
        <w:p w:rsidRPr="00DC1024" w:rsidR="00DC1024" w:rsidP="00DC1024" w:rsidRDefault="00DC1024" w14:paraId="4ABEFE58" w14:textId="1AA99B42">
          <w:pPr>
            <w:pStyle w:val="TOC2"/>
            <w:tabs>
              <w:tab w:val="right" w:leader="dot" w:pos="9350"/>
            </w:tabs>
            <w:spacing w:line="360" w:lineRule="auto"/>
            <w:jc w:val="both"/>
            <w:rPr>
              <w:noProof/>
              <w:color w:val="000000" w:themeColor="text1"/>
            </w:rPr>
          </w:pPr>
          <w:hyperlink w:history="1" w:anchor="_Toc233379179">
            <w:r w:rsidRPr="00DC1024">
              <w:rPr>
                <w:rStyle w:val="Hyperlink"/>
                <w:noProof/>
                <w:color w:val="000000" w:themeColor="text1"/>
              </w:rPr>
              <w:t>6.6 Effectiveness and Barriers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_Toc233379179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9</w:t>
            </w:r>
            <w:r w:rsidRPr="00DC1024">
              <w:rPr>
                <w:noProof/>
                <w:webHidden/>
                <w:color w:val="000000" w:themeColor="text1"/>
              </w:rPr>
              <w:fldChar w:fldCharType="end"/>
            </w:r>
          </w:hyperlink>
        </w:p>
        <w:p w:rsidRPr="00DC1024" w:rsidR="00DC1024" w:rsidP="00DC1024" w:rsidRDefault="00DC1024" w14:paraId="1C30653D" w14:textId="197914C1">
          <w:pPr>
            <w:pStyle w:val="TOC1"/>
            <w:tabs>
              <w:tab w:val="right" w:leader="dot" w:pos="9350"/>
            </w:tabs>
            <w:spacing w:line="360" w:lineRule="auto"/>
            <w:jc w:val="both"/>
            <w:rPr>
              <w:noProof/>
              <w:color w:val="000000" w:themeColor="text1"/>
            </w:rPr>
          </w:pPr>
          <w:hyperlink w:history="1" w:anchor="_Toc233379180">
            <w:r w:rsidRPr="00DC1024">
              <w:rPr>
                <w:rStyle w:val="Hyperlink"/>
                <w:noProof/>
                <w:color w:val="000000" w:themeColor="text1"/>
              </w:rPr>
              <w:t>7. Policy and Legislation Relating to Person Centred Care and Partnership Working</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_Toc233379180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9</w:t>
            </w:r>
            <w:r w:rsidRPr="00DC1024">
              <w:rPr>
                <w:noProof/>
                <w:webHidden/>
                <w:color w:val="000000" w:themeColor="text1"/>
              </w:rPr>
              <w:fldChar w:fldCharType="end"/>
            </w:r>
          </w:hyperlink>
        </w:p>
        <w:p w:rsidRPr="00DC1024" w:rsidR="00DC1024" w:rsidP="00DC1024" w:rsidRDefault="00DC1024" w14:paraId="07A8A4E3" w14:textId="777FE036">
          <w:pPr>
            <w:pStyle w:val="TOC2"/>
            <w:tabs>
              <w:tab w:val="right" w:leader="dot" w:pos="9350"/>
            </w:tabs>
            <w:spacing w:line="360" w:lineRule="auto"/>
            <w:jc w:val="both"/>
            <w:rPr>
              <w:noProof/>
              <w:color w:val="000000" w:themeColor="text1"/>
            </w:rPr>
          </w:pPr>
          <w:hyperlink w:history="1" w:anchor="_Toc233379181">
            <w:r w:rsidRPr="00DC1024">
              <w:rPr>
                <w:rStyle w:val="Hyperlink"/>
                <w:noProof/>
                <w:color w:val="000000" w:themeColor="text1"/>
              </w:rPr>
              <w:t>7.1 Health and Care Act 2022</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_Toc233379181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9</w:t>
            </w:r>
            <w:r w:rsidRPr="00DC1024">
              <w:rPr>
                <w:noProof/>
                <w:webHidden/>
                <w:color w:val="000000" w:themeColor="text1"/>
              </w:rPr>
              <w:fldChar w:fldCharType="end"/>
            </w:r>
          </w:hyperlink>
        </w:p>
        <w:p w:rsidRPr="00DC1024" w:rsidR="00DC1024" w:rsidP="00DC1024" w:rsidRDefault="00DC1024" w14:paraId="6BCA5621" w14:textId="707C3439">
          <w:pPr>
            <w:pStyle w:val="TOC2"/>
            <w:tabs>
              <w:tab w:val="right" w:leader="dot" w:pos="9350"/>
            </w:tabs>
            <w:spacing w:line="360" w:lineRule="auto"/>
            <w:jc w:val="both"/>
            <w:rPr>
              <w:noProof/>
              <w:color w:val="000000" w:themeColor="text1"/>
            </w:rPr>
          </w:pPr>
          <w:hyperlink w:history="1" w:anchor="_Toc233379182">
            <w:r w:rsidRPr="00DC1024">
              <w:rPr>
                <w:rStyle w:val="Hyperlink"/>
                <w:noProof/>
                <w:color w:val="000000" w:themeColor="text1"/>
              </w:rPr>
              <w:t>7.2 Care Act 2014</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_Toc233379182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10</w:t>
            </w:r>
            <w:r w:rsidRPr="00DC1024">
              <w:rPr>
                <w:noProof/>
                <w:webHidden/>
                <w:color w:val="000000" w:themeColor="text1"/>
              </w:rPr>
              <w:fldChar w:fldCharType="end"/>
            </w:r>
          </w:hyperlink>
        </w:p>
        <w:p w:rsidRPr="00DC1024" w:rsidR="00DC1024" w:rsidP="00DC1024" w:rsidRDefault="00DC1024" w14:paraId="4C571CA2" w14:textId="6FD8A6E5">
          <w:pPr>
            <w:pStyle w:val="TOC2"/>
            <w:tabs>
              <w:tab w:val="right" w:leader="dot" w:pos="9350"/>
            </w:tabs>
            <w:spacing w:line="360" w:lineRule="auto"/>
            <w:jc w:val="both"/>
            <w:rPr>
              <w:noProof/>
              <w:color w:val="000000" w:themeColor="text1"/>
            </w:rPr>
          </w:pPr>
          <w:hyperlink w:history="1" w:anchor="_Toc233379183">
            <w:r w:rsidRPr="00DC1024">
              <w:rPr>
                <w:rStyle w:val="Hyperlink"/>
                <w:noProof/>
                <w:color w:val="000000" w:themeColor="text1"/>
              </w:rPr>
              <w:t>7.3 Mental Capacity Act 2005</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_Toc233379183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10</w:t>
            </w:r>
            <w:r w:rsidRPr="00DC1024">
              <w:rPr>
                <w:noProof/>
                <w:webHidden/>
                <w:color w:val="000000" w:themeColor="text1"/>
              </w:rPr>
              <w:fldChar w:fldCharType="end"/>
            </w:r>
          </w:hyperlink>
        </w:p>
        <w:p w:rsidRPr="00DC1024" w:rsidR="00DC1024" w:rsidP="00DC1024" w:rsidRDefault="00DC1024" w14:paraId="44F25B60" w14:textId="1DBBA5B9">
          <w:pPr>
            <w:pStyle w:val="TOC2"/>
            <w:tabs>
              <w:tab w:val="right" w:leader="dot" w:pos="9350"/>
            </w:tabs>
            <w:spacing w:line="360" w:lineRule="auto"/>
            <w:jc w:val="both"/>
            <w:rPr>
              <w:noProof/>
              <w:color w:val="000000" w:themeColor="text1"/>
            </w:rPr>
          </w:pPr>
          <w:hyperlink w:history="1" w:anchor="_Toc233379184">
            <w:r w:rsidRPr="00DC1024">
              <w:rPr>
                <w:rStyle w:val="Hyperlink"/>
                <w:noProof/>
                <w:color w:val="000000" w:themeColor="text1"/>
              </w:rPr>
              <w:t>7.4 Equality Act 2010</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_Toc233379184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10</w:t>
            </w:r>
            <w:r w:rsidRPr="00DC1024">
              <w:rPr>
                <w:noProof/>
                <w:webHidden/>
                <w:color w:val="000000" w:themeColor="text1"/>
              </w:rPr>
              <w:fldChar w:fldCharType="end"/>
            </w:r>
          </w:hyperlink>
        </w:p>
        <w:p w:rsidRPr="00DC1024" w:rsidR="00DC1024" w:rsidP="00DC1024" w:rsidRDefault="00DC1024" w14:paraId="20A85AA1" w14:textId="74827A10">
          <w:pPr>
            <w:pStyle w:val="TOC2"/>
            <w:tabs>
              <w:tab w:val="right" w:leader="dot" w:pos="9350"/>
            </w:tabs>
            <w:spacing w:line="360" w:lineRule="auto"/>
            <w:jc w:val="both"/>
            <w:rPr>
              <w:noProof/>
              <w:color w:val="000000" w:themeColor="text1"/>
            </w:rPr>
          </w:pPr>
          <w:hyperlink w:history="1" w:anchor="_Toc233379185">
            <w:r w:rsidRPr="00DC1024">
              <w:rPr>
                <w:rStyle w:val="Hyperlink"/>
                <w:noProof/>
                <w:color w:val="000000" w:themeColor="text1"/>
              </w:rPr>
              <w:t>7.5 NHS Long Term Plan</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_Toc233379185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10</w:t>
            </w:r>
            <w:r w:rsidRPr="00DC1024">
              <w:rPr>
                <w:noProof/>
                <w:webHidden/>
                <w:color w:val="000000" w:themeColor="text1"/>
              </w:rPr>
              <w:fldChar w:fldCharType="end"/>
            </w:r>
          </w:hyperlink>
        </w:p>
        <w:p w:rsidRPr="00DC1024" w:rsidR="00DC1024" w:rsidP="00DC1024" w:rsidRDefault="00DC1024" w14:paraId="75A9836A" w14:textId="0C47AEE6">
          <w:pPr>
            <w:pStyle w:val="TOC1"/>
            <w:tabs>
              <w:tab w:val="right" w:leader="dot" w:pos="9350"/>
            </w:tabs>
            <w:spacing w:line="360" w:lineRule="auto"/>
            <w:jc w:val="both"/>
            <w:rPr>
              <w:noProof/>
              <w:color w:val="000000" w:themeColor="text1"/>
            </w:rPr>
          </w:pPr>
          <w:hyperlink w:history="1" w:anchor="_Toc233379186">
            <w:r w:rsidRPr="00DC1024">
              <w:rPr>
                <w:rStyle w:val="Hyperlink"/>
                <w:noProof/>
                <w:color w:val="000000" w:themeColor="text1"/>
              </w:rPr>
              <w:t>8. Recommendations for Future Development in the UK</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_Toc233379186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10</w:t>
            </w:r>
            <w:r w:rsidRPr="00DC1024">
              <w:rPr>
                <w:noProof/>
                <w:webHidden/>
                <w:color w:val="000000" w:themeColor="text1"/>
              </w:rPr>
              <w:fldChar w:fldCharType="end"/>
            </w:r>
          </w:hyperlink>
        </w:p>
        <w:p w:rsidRPr="00DC1024" w:rsidR="00DC1024" w:rsidP="00DC1024" w:rsidRDefault="00DC1024" w14:paraId="03236ACE" w14:textId="5BF4713A">
          <w:pPr>
            <w:pStyle w:val="TOC1"/>
            <w:tabs>
              <w:tab w:val="right" w:leader="dot" w:pos="9350"/>
            </w:tabs>
            <w:spacing w:line="360" w:lineRule="auto"/>
            <w:jc w:val="both"/>
            <w:rPr>
              <w:noProof/>
              <w:color w:val="000000" w:themeColor="text1"/>
            </w:rPr>
          </w:pPr>
          <w:hyperlink w:history="1" w:anchor="_Toc233379187">
            <w:r w:rsidRPr="00DC1024">
              <w:rPr>
                <w:rStyle w:val="Hyperlink"/>
                <w:noProof/>
                <w:color w:val="000000" w:themeColor="text1"/>
              </w:rPr>
              <w:t>9. Conclusion</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_Toc233379187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11</w:t>
            </w:r>
            <w:r w:rsidRPr="00DC1024">
              <w:rPr>
                <w:noProof/>
                <w:webHidden/>
                <w:color w:val="000000" w:themeColor="text1"/>
              </w:rPr>
              <w:fldChar w:fldCharType="end"/>
            </w:r>
          </w:hyperlink>
        </w:p>
        <w:p w:rsidRPr="00DC1024" w:rsidR="00DC1024" w:rsidP="00DC1024" w:rsidRDefault="00DC1024" w14:paraId="00C50687" w14:textId="1DC47839">
          <w:pPr>
            <w:pStyle w:val="TOC1"/>
            <w:tabs>
              <w:tab w:val="right" w:leader="dot" w:pos="9350"/>
            </w:tabs>
            <w:spacing w:line="360" w:lineRule="auto"/>
            <w:jc w:val="both"/>
            <w:rPr>
              <w:noProof/>
              <w:color w:val="000000" w:themeColor="text1"/>
            </w:rPr>
          </w:pPr>
          <w:hyperlink w:history="1" w:anchor="_Toc233379188">
            <w:r w:rsidRPr="00DC1024">
              <w:rPr>
                <w:rStyle w:val="Hyperlink"/>
                <w:noProof/>
                <w:color w:val="000000" w:themeColor="text1"/>
              </w:rPr>
              <w:t>References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_Toc233379188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12</w:t>
            </w:r>
            <w:r w:rsidRPr="00DC1024">
              <w:rPr>
                <w:noProof/>
                <w:webHidden/>
                <w:color w:val="000000" w:themeColor="text1"/>
              </w:rPr>
              <w:fldChar w:fldCharType="end"/>
            </w:r>
          </w:hyperlink>
        </w:p>
        <w:p w:rsidR="00DC1024" w:rsidP="00DC1024" w:rsidRDefault="00DC1024" w14:paraId="76C05BDB" w14:textId="1544F295">
          <w:pPr>
            <w:spacing w:line="360" w:lineRule="auto"/>
            <w:jc w:val="both"/>
          </w:pPr>
          <w:r w:rsidRPr="00DC1024">
            <w:rPr>
              <w:b/>
              <w:bCs/>
              <w:noProof/>
              <w:color w:val="000000" w:themeColor="text1"/>
            </w:rPr>
            <w:fldChar w:fldCharType="end"/>
          </w:r>
        </w:p>
      </w:sdtContent>
    </w:sdt>
    <w:p w:rsidRPr="00516935" w:rsidR="00516935" w:rsidRDefault="00516935" w14:paraId="671F10A7" w14:textId="77777777">
      <w:pPr>
        <w:rPr>
          <w:b/>
          <w:bCs/>
        </w:rPr>
      </w:pPr>
      <w:r w:rsidRPr="00516935">
        <w:rPr>
          <w:b/>
          <w:bCs/>
        </w:rPr>
        <w:br w:type="page"/>
      </w:r>
    </w:p>
    <w:p w:rsidRPr="00516935" w:rsidR="00340C0E" w:rsidP="00516935" w:rsidRDefault="00000000" w14:paraId="00000001" w14:textId="4EF34EB3">
      <w:pPr>
        <w:pStyle w:val="Heading1"/>
        <w:rPr>
          <w:b w:val="0"/>
        </w:rPr>
      </w:pPr>
      <w:bookmarkStart w:name="_Toc233379146" w:id="0"/>
      <w:r w:rsidRPr="00516935">
        <w:lastRenderedPageBreak/>
        <w:t>1. Introduction</w:t>
      </w:r>
      <w:bookmarkEnd w:id="0"/>
    </w:p>
    <w:p w:rsidRPr="00516935" w:rsidR="00340C0E" w:rsidP="00516935" w:rsidRDefault="00000000" w14:paraId="00000002" w14:textId="77777777">
      <w:pPr>
        <w:pStyle w:val="Heading2"/>
        <w:rPr>
          <w:b w:val="0"/>
        </w:rPr>
      </w:pPr>
      <w:bookmarkStart w:name="_Toc233379147" w:id="1"/>
      <w:r w:rsidRPr="00516935">
        <w:t>1.1 Background of Health and Social Care</w:t>
      </w:r>
      <w:bookmarkEnd w:id="1"/>
    </w:p>
    <w:p w:rsidRPr="00516935" w:rsidR="00340C0E" w:rsidP="135E8D13" w:rsidRDefault="00000000" w14:paraId="00000003" w14:textId="5CD267F0">
      <w:pPr>
        <w:pStyle w:val="Normal"/>
        <w:suppressLineNumbers w:val="0"/>
        <w:bidi w:val="0"/>
        <w:spacing w:before="0" w:beforeAutospacing="off" w:after="0" w:afterAutospacing="off" w:line="360" w:lineRule="auto"/>
        <w:ind w:left="0" w:right="0"/>
        <w:jc w:val="both"/>
      </w:pPr>
      <w:r w:rsidR="00000000">
        <w:rPr/>
        <w:t xml:space="preserve">The purpose of health and social care is to provide coordinated support </w:t>
      </w:r>
      <w:r w:rsidR="7B857841">
        <w:rPr/>
        <w:t xml:space="preserve">through </w:t>
      </w:r>
      <w:r w:rsidR="00000000">
        <w:rPr/>
        <w:t>various organisations to enhance people's physical, mental, and social wellbeing (Glasby, 2026). The growing need for mental health assistance in the UK has brought attention to the necessity of coordinated, person-centred treatment and effective partnership working to deliver improved results for service users, making community mental health services an acceptable location for this report (Ham, 2024).</w:t>
      </w:r>
    </w:p>
    <w:p w:rsidRPr="00516935" w:rsidR="00340C0E" w:rsidP="00516935" w:rsidRDefault="00000000" w14:paraId="00000004" w14:textId="77777777">
      <w:pPr>
        <w:pStyle w:val="Heading2"/>
      </w:pPr>
      <w:bookmarkStart w:name="_Toc233379148" w:id="2"/>
      <w:r w:rsidRPr="00516935">
        <w:t>1.2 Importance of PCC and Partnership Working</w:t>
      </w:r>
      <w:bookmarkEnd w:id="2"/>
    </w:p>
    <w:p w:rsidRPr="00516935" w:rsidR="00340C0E" w:rsidP="135E8D13" w:rsidRDefault="00000000" w14:paraId="00000005" w14:textId="641C645C">
      <w:pPr>
        <w:pStyle w:val="Normal"/>
        <w:suppressLineNumbers w:val="0"/>
        <w:bidi w:val="0"/>
        <w:spacing w:before="0" w:beforeAutospacing="off" w:after="0" w:afterAutospacing="off" w:line="360" w:lineRule="auto"/>
        <w:ind w:left="0" w:right="0"/>
        <w:jc w:val="both"/>
      </w:pPr>
      <w:r w:rsidR="00000000">
        <w:rPr/>
        <w:t xml:space="preserve">By </w:t>
      </w:r>
      <w:r w:rsidR="1A69D248">
        <w:rPr/>
        <w:t xml:space="preserve">involving </w:t>
      </w:r>
      <w:r w:rsidR="00000000">
        <w:rPr/>
        <w:t>individuals in decisions and encouraging professionals to work together, the quality of care is enhanced through partnership working and person-centred care. Integrated people-centred services have been shown to enhance health outcomes and service efficiency (WHO, 2021).</w:t>
      </w:r>
    </w:p>
    <w:p w:rsidRPr="00516935" w:rsidR="00340C0E" w:rsidP="00516935" w:rsidRDefault="00000000" w14:paraId="00000006" w14:textId="77777777">
      <w:pPr>
        <w:pStyle w:val="Heading2"/>
      </w:pPr>
      <w:bookmarkStart w:name="_Toc233379149" w:id="3"/>
      <w:r w:rsidRPr="00516935">
        <w:t>1.3 Purpose of the Report</w:t>
      </w:r>
      <w:bookmarkEnd w:id="3"/>
    </w:p>
    <w:p w:rsidRPr="00516935" w:rsidR="00340C0E" w:rsidP="135E8D13" w:rsidRDefault="00000000" w14:paraId="00000007" w14:textId="7384D0E2">
      <w:pPr>
        <w:pStyle w:val="Normal"/>
        <w:suppressLineNumbers w:val="0"/>
        <w:bidi w:val="0"/>
        <w:spacing w:before="0" w:beforeAutospacing="off" w:after="0" w:afterAutospacing="off" w:line="360" w:lineRule="auto"/>
        <w:ind w:left="0" w:right="0"/>
        <w:jc w:val="both"/>
      </w:pPr>
      <w:r w:rsidR="00000000">
        <w:rPr/>
        <w:t xml:space="preserve">This report critically </w:t>
      </w:r>
      <w:r w:rsidR="5926ECAC">
        <w:rPr/>
        <w:t xml:space="preserve">examines </w:t>
      </w:r>
      <w:r w:rsidR="00000000">
        <w:rPr/>
        <w:t>person-centred care, partnership working, relevant theory, ethics, and legislation in Community Mental Health Services.</w:t>
      </w:r>
    </w:p>
    <w:p w:rsidRPr="00516935" w:rsidR="00340C0E" w:rsidP="00516935" w:rsidRDefault="00000000" w14:paraId="00000008" w14:textId="77777777">
      <w:pPr>
        <w:pStyle w:val="Heading2"/>
      </w:pPr>
      <w:bookmarkStart w:name="_Toc233379150" w:id="4"/>
      <w:r w:rsidRPr="00516935">
        <w:t>1.4 Overview of the Report</w:t>
      </w:r>
      <w:bookmarkEnd w:id="4"/>
    </w:p>
    <w:p w:rsidRPr="00516935" w:rsidR="00340C0E" w:rsidRDefault="00000000" w14:paraId="00000009" w14:textId="77777777">
      <w:pPr>
        <w:spacing w:line="360" w:lineRule="auto"/>
        <w:jc w:val="both"/>
      </w:pPr>
      <w:r w:rsidRPr="00516935">
        <w:t>The report covers benefits, limitations, application of the concept, and improvements for the future.</w:t>
      </w:r>
    </w:p>
    <w:p w:rsidRPr="00516935" w:rsidR="00340C0E" w:rsidP="00516935" w:rsidRDefault="00000000" w14:paraId="0000000A" w14:textId="77777777">
      <w:pPr>
        <w:pStyle w:val="Heading1"/>
      </w:pPr>
      <w:bookmarkStart w:name="_Toc233379151" w:id="5"/>
      <w:r w:rsidRPr="00516935">
        <w:t>2. Person Centred Care, Definition, Benefits and Limitations</w:t>
      </w:r>
      <w:bookmarkEnd w:id="5"/>
      <w:r w:rsidRPr="00516935">
        <w:t xml:space="preserve"> </w:t>
      </w:r>
    </w:p>
    <w:p w:rsidRPr="00516935" w:rsidR="00340C0E" w:rsidP="00516935" w:rsidRDefault="00000000" w14:paraId="0000000B" w14:textId="0EF5C90F">
      <w:pPr>
        <w:pStyle w:val="Heading2"/>
      </w:pPr>
      <w:bookmarkStart w:name="_Toc233379152" w:id="6"/>
      <w:r w:rsidRPr="00516935">
        <w:t xml:space="preserve">2.1 Definition of </w:t>
      </w:r>
      <w:r w:rsidRPr="00516935" w:rsidR="00516935">
        <w:t>Person-Centred</w:t>
      </w:r>
      <w:r w:rsidRPr="00516935">
        <w:t xml:space="preserve"> Care</w:t>
      </w:r>
      <w:bookmarkEnd w:id="6"/>
    </w:p>
    <w:p w:rsidRPr="00516935" w:rsidR="00340C0E" w:rsidRDefault="00000000" w14:paraId="0000000C" w14:textId="77777777">
      <w:pPr>
        <w:spacing w:line="360" w:lineRule="auto"/>
        <w:jc w:val="both"/>
      </w:pPr>
      <w:r w:rsidRPr="00516935">
        <w:t>A person-centred approach is an approach that considers each individual's unique needs and preferences.</w:t>
      </w:r>
    </w:p>
    <w:p w:rsidRPr="00516935" w:rsidR="00340C0E" w:rsidP="135E8D13" w:rsidRDefault="00000000" w14:paraId="0000000D" w14:textId="74557D9D">
      <w:pPr>
        <w:pStyle w:val="Normal"/>
        <w:suppressLineNumbers w:val="0"/>
        <w:bidi w:val="0"/>
        <w:spacing w:before="0" w:beforeAutospacing="off" w:after="0" w:afterAutospacing="off" w:line="360" w:lineRule="auto"/>
        <w:ind w:left="0" w:right="0"/>
        <w:jc w:val="both"/>
      </w:pPr>
      <w:r w:rsidR="00000000">
        <w:rPr/>
        <w:t xml:space="preserve">Person-centred care (PCC) is an approach that puts the person at the </w:t>
      </w:r>
      <w:r w:rsidR="1BA88314">
        <w:rPr/>
        <w:t xml:space="preserve">centre </w:t>
      </w:r>
      <w:r w:rsidR="00000000">
        <w:rPr/>
        <w:t xml:space="preserve">of </w:t>
      </w:r>
      <w:r w:rsidR="509FD4CD">
        <w:rPr/>
        <w:t xml:space="preserve">the </w:t>
      </w:r>
      <w:r w:rsidR="00000000">
        <w:rPr/>
        <w:t>planning, providing, and reviewing</w:t>
      </w:r>
      <w:r w:rsidR="2C516F3B">
        <w:rPr/>
        <w:t xml:space="preserve"> their</w:t>
      </w:r>
      <w:r w:rsidR="00000000">
        <w:rPr/>
        <w:t xml:space="preserve"> care. PCC is more than just illness; it values personal preference, life experiences, </w:t>
      </w:r>
      <w:r w:rsidR="00000000">
        <w:rPr/>
        <w:t xml:space="preserve">and shared decision making (McCance and McCormack, 2025). In Community Mental Health Services, this involves creating care plans with the service user rather than deciding for them. This helps promote respect, trust, and recovery, and values each person's unique needs. </w:t>
      </w:r>
    </w:p>
    <w:p w:rsidRPr="00516935" w:rsidR="00340C0E" w:rsidP="00516935" w:rsidRDefault="00000000" w14:paraId="0000000E" w14:textId="77777777">
      <w:pPr>
        <w:pStyle w:val="Heading2"/>
      </w:pPr>
      <w:bookmarkStart w:name="_Toc233379153" w:id="7"/>
      <w:r w:rsidRPr="00516935">
        <w:t>2.2 Principles of PCC</w:t>
      </w:r>
      <w:bookmarkEnd w:id="7"/>
    </w:p>
    <w:p w:rsidRPr="00516935" w:rsidR="00340C0E" w:rsidRDefault="00000000" w14:paraId="0000000F" w14:textId="77777777">
      <w:pPr>
        <w:spacing w:line="360" w:lineRule="auto"/>
        <w:jc w:val="both"/>
      </w:pPr>
      <w:r w:rsidRPr="00516935">
        <w:t>These include the principles of dignity, respect, compassion, effective communication, shared decision making, and coordinated support (McCormack, 2024). The principles promote reflection and understanding of personal goals and cultural values prior to planning care. For instance, a depressed person should be included in making decisions about therapy and recovery rather than putting a rigid treatment plan into place. These are principles that help to build relationships, but implementation may require the skills of staff, leadership, and organisational support.</w:t>
      </w:r>
    </w:p>
    <w:p w:rsidRPr="00516935" w:rsidR="00340C0E" w:rsidP="00516935" w:rsidRDefault="00000000" w14:paraId="00000010" w14:textId="77777777">
      <w:pPr>
        <w:pStyle w:val="Heading2"/>
      </w:pPr>
      <w:bookmarkStart w:name="_Toc233379154" w:id="8"/>
      <w:r w:rsidRPr="00516935">
        <w:t>2.3 Benefits of PCC</w:t>
      </w:r>
      <w:bookmarkEnd w:id="8"/>
    </w:p>
    <w:p w:rsidRPr="00516935" w:rsidR="00340C0E" w:rsidRDefault="00000000" w14:paraId="00000011" w14:textId="77777777">
      <w:pPr>
        <w:spacing w:line="360" w:lineRule="auto"/>
        <w:jc w:val="both"/>
      </w:pPr>
      <w:r w:rsidRPr="00516935">
        <w:t>PCC enhances satisfaction, communication, and adherence to treatment. Empathy has been shown to be linked to increased patient trust and emotional health and healing (Probst et al., 2025). Person-centred approaches also benefit patient experience and minimise unnecessary hospital use, according to the Health Foundation (2022). In Community Mental Health Services, inclusion of service users in recovery planning can help to enhance engagement with the service and build confidence in self-management, in the longer term. These benefits improve clinical results and quality of service. According to the Health Foundation (2022), person-centred methods enhance patient satisfaction and lower preventable hospital admissions by improving treatment planning.</w:t>
      </w:r>
    </w:p>
    <w:p w:rsidRPr="00516935" w:rsidR="00340C0E" w:rsidP="00516935" w:rsidRDefault="00000000" w14:paraId="00000012" w14:textId="77777777">
      <w:pPr>
        <w:pStyle w:val="Heading2"/>
      </w:pPr>
      <w:bookmarkStart w:name="_Toc233379155" w:id="9"/>
      <w:r w:rsidRPr="00516935">
        <w:t>2.4 Limitations and Challenges</w:t>
      </w:r>
      <w:bookmarkEnd w:id="9"/>
    </w:p>
    <w:p w:rsidRPr="00516935" w:rsidR="00340C0E" w:rsidRDefault="00000000" w14:paraId="00000013" w14:textId="77777777">
      <w:pPr>
        <w:spacing w:line="360" w:lineRule="auto"/>
        <w:jc w:val="both"/>
      </w:pPr>
      <w:r w:rsidRPr="00516935">
        <w:t>Although there are obvious benefits, PCC comes with its share of implementation challenges. Opportunities for meaningful involvement are reduced due to limited staffing, high workload and time pressures, as well as inconsistent training (Kelsall-Knight and Stevens, 2024). Other barriers that were also highlighted in a systematic review protocol included organisational barriers, limited resources, and communication challenges (Li et al., 2025). For instance, if there are high workloads in NHS community mental health teams, there may be less time for shared decision-making. Despite the widespread promotion of PCC in UK legislation, professionals are frequently unable to spend enough time with service consumers due to organisational demands. As a result, collaborative decision-making may not always yield the desired results.</w:t>
      </w:r>
    </w:p>
    <w:p w:rsidRPr="00516935" w:rsidR="00340C0E" w:rsidP="00516935" w:rsidRDefault="00000000" w14:paraId="00000014" w14:textId="77777777">
      <w:pPr>
        <w:pStyle w:val="Heading1"/>
      </w:pPr>
      <w:bookmarkStart w:name="_Toc233379156" w:id="10"/>
      <w:r w:rsidRPr="00516935">
        <w:lastRenderedPageBreak/>
        <w:t>3. Theory Underpinning Person Centred Care</w:t>
      </w:r>
      <w:bookmarkEnd w:id="10"/>
      <w:r w:rsidRPr="00516935">
        <w:t xml:space="preserve"> </w:t>
      </w:r>
    </w:p>
    <w:p w:rsidRPr="00516935" w:rsidR="00340C0E" w:rsidRDefault="00000000" w14:paraId="00000015" w14:textId="77777777">
      <w:pPr>
        <w:spacing w:line="360" w:lineRule="auto"/>
        <w:jc w:val="both"/>
        <w:rPr>
          <w:b/>
          <w:bCs/>
        </w:rPr>
      </w:pPr>
      <w:r w:rsidRPr="00516935">
        <w:rPr>
          <w:b/>
          <w:bCs/>
        </w:rPr>
        <w:t>McCormack and McCance Person Centred Practice Framework</w:t>
      </w:r>
    </w:p>
    <w:p w:rsidRPr="00516935" w:rsidR="00340C0E" w:rsidP="00516935" w:rsidRDefault="00000000" w14:paraId="00000016" w14:textId="77777777">
      <w:pPr>
        <w:pStyle w:val="Heading2"/>
      </w:pPr>
      <w:bookmarkStart w:name="_Toc233379157" w:id="11"/>
      <w:r w:rsidRPr="00516935">
        <w:t>3.1 Main Concepts</w:t>
      </w:r>
      <w:bookmarkEnd w:id="11"/>
    </w:p>
    <w:p w:rsidRPr="00516935" w:rsidR="00340C0E" w:rsidRDefault="00000000" w14:paraId="00000017" w14:textId="516EA1D7">
      <w:pPr>
        <w:spacing w:line="360" w:lineRule="auto"/>
        <w:jc w:val="both"/>
      </w:pPr>
      <w:r w:rsidRPr="00516935">
        <w:t xml:space="preserve">The McCormack and McCance Person Centred Practice Framework </w:t>
      </w:r>
      <w:r w:rsidRPr="00516935" w:rsidR="00516935">
        <w:t>help</w:t>
      </w:r>
      <w:r w:rsidRPr="00516935">
        <w:t xml:space="preserve"> to describe the journey of person-centred practice and the four components of competent practitioner, supportive care setting, and respectful relationships (McCance and McCormack 2025). The framework consists of four interlinked components: prerequisites, the practice environment, person-centred processes, and expected outcomes. It promotes practitioners to acknowledge the importance of individual values, engage with the service user in decision-making, and establish therapeutic relationships. The Health Foundation (2022) found that engagement helps to enhance the care experience and lead to better long-term outcomes. While the framework offers a thorough structure for PCC, it is predicated on companies having enough leadership and staffing. Due to the ongoing staffing difficulties in many NHS mental health services, this assumption restricts practical implementation.</w:t>
      </w:r>
    </w:p>
    <w:p w:rsidRPr="00516935" w:rsidR="00340C0E" w:rsidP="00516935" w:rsidRDefault="00000000" w14:paraId="00000018" w14:textId="77777777">
      <w:pPr>
        <w:pStyle w:val="Heading2"/>
      </w:pPr>
      <w:bookmarkStart w:name="_Toc233379158" w:id="12"/>
      <w:r w:rsidRPr="00516935">
        <w:t>3.2 Strengths</w:t>
      </w:r>
      <w:bookmarkEnd w:id="12"/>
    </w:p>
    <w:p w:rsidRPr="00516935" w:rsidR="00340C0E" w:rsidRDefault="00000000" w14:paraId="00000019" w14:textId="77777777">
      <w:pPr>
        <w:spacing w:line="360" w:lineRule="auto"/>
        <w:jc w:val="both"/>
      </w:pPr>
      <w:r w:rsidRPr="00516935">
        <w:t>One of the key strengths of the framework is the emphasis on individualised care rather than the standardised approach of treatment (McCormack, 2024). It promotes effective communication, empathy, and shared decision-making, which are particularly valuable in mental health services. Studies have shown that those who are involved in treatment decisions keep up their treatment and recovery (</w:t>
      </w:r>
      <w:proofErr w:type="spellStart"/>
      <w:r w:rsidRPr="00516935">
        <w:t>Hormazábal</w:t>
      </w:r>
      <w:proofErr w:type="spellEnd"/>
      <w:r w:rsidRPr="00516935">
        <w:t>-Salgado et al., 2024). The framework also facilitates multidisciplinary team working by promoting shared working by the nurses, social workers, and others to achieve a shared purpose.</w:t>
      </w:r>
    </w:p>
    <w:p w:rsidRPr="00516935" w:rsidR="00340C0E" w:rsidP="00516935" w:rsidRDefault="00000000" w14:paraId="0000001A" w14:textId="77777777">
      <w:pPr>
        <w:pStyle w:val="Heading2"/>
      </w:pPr>
      <w:bookmarkStart w:name="_Toc233379159" w:id="13"/>
      <w:r w:rsidRPr="00516935">
        <w:t>3.3 Weaknesses</w:t>
      </w:r>
      <w:bookmarkEnd w:id="13"/>
    </w:p>
    <w:p w:rsidRPr="00516935" w:rsidR="00340C0E" w:rsidRDefault="00000000" w14:paraId="0000001B" w14:textId="30756C84">
      <w:pPr>
        <w:spacing w:line="360" w:lineRule="auto"/>
        <w:jc w:val="both"/>
      </w:pPr>
      <w:r w:rsidR="00000000">
        <w:rPr/>
        <w:t xml:space="preserve">The system has benefits, but it is hard to implement uniformly. Means that opportunities for meaningful person-centred practice (Kelsall-Knight and Stevens, 2024) are often reduced, both because of a heavy workload and because of a lack of workforce and/or organisational resources. In </w:t>
      </w:r>
      <w:r w:rsidR="32FA07DE">
        <w:rPr/>
        <w:t>several</w:t>
      </w:r>
      <w:r w:rsidR="00000000">
        <w:rPr/>
        <w:t xml:space="preserve"> NHS services, workers have high caseloads, making it more difficult to regularly discuss with staff in a personalised way. Therefore, it is difficult to apply all the elements of the framework uniformly in various settings.</w:t>
      </w:r>
    </w:p>
    <w:p w:rsidRPr="00516935" w:rsidR="00340C0E" w:rsidP="00516935" w:rsidRDefault="00000000" w14:paraId="0000001C" w14:textId="77777777">
      <w:pPr>
        <w:pStyle w:val="Heading2"/>
      </w:pPr>
      <w:bookmarkStart w:name="_Toc233379160" w:id="14"/>
      <w:r w:rsidRPr="00516935">
        <w:lastRenderedPageBreak/>
        <w:t>3.4 Application in Community Mental Health Services (CHM)</w:t>
      </w:r>
      <w:bookmarkEnd w:id="14"/>
    </w:p>
    <w:p w:rsidRPr="00516935" w:rsidR="00340C0E" w:rsidRDefault="00000000" w14:paraId="0000001D" w14:textId="77777777">
      <w:pPr>
        <w:spacing w:line="360" w:lineRule="auto"/>
        <w:jc w:val="both"/>
      </w:pPr>
      <w:r w:rsidRPr="00516935">
        <w:t>The framework is very applicable to Community Mental Health Services, and recovery is reliant on partnership, trust, and shared planning. Individuals work with professionals to create a care plan that is personal to them and incorporates their goals and aspirations. This approach has proven to be effective in promoting recovery, communication, and continuity of care. However, there must be skilled staff, supportive leadership, and effective services that facilitate a consistent person-centred approach throughout the whole care pathway to be successful.</w:t>
      </w:r>
    </w:p>
    <w:p w:rsidRPr="00516935" w:rsidR="00340C0E" w:rsidP="00516935" w:rsidRDefault="00000000" w14:paraId="0000001E" w14:textId="77777777">
      <w:pPr>
        <w:pStyle w:val="Heading1"/>
      </w:pPr>
      <w:bookmarkStart w:name="_Toc233379161" w:id="15"/>
      <w:r w:rsidRPr="00516935">
        <w:t>4. Ethical Fundamentals in Health and Social Care</w:t>
      </w:r>
      <w:bookmarkEnd w:id="15"/>
      <w:r w:rsidRPr="00516935">
        <w:t xml:space="preserve"> </w:t>
      </w:r>
    </w:p>
    <w:p w:rsidRPr="00516935" w:rsidR="00340C0E" w:rsidP="00516935" w:rsidRDefault="00000000" w14:paraId="0000001F" w14:textId="77777777">
      <w:pPr>
        <w:pStyle w:val="Heading2"/>
      </w:pPr>
      <w:bookmarkStart w:name="_Toc233379162" w:id="16"/>
      <w:r w:rsidRPr="00516935">
        <w:t>4.1 Autonomy</w:t>
      </w:r>
      <w:bookmarkEnd w:id="16"/>
    </w:p>
    <w:p w:rsidRPr="00516935" w:rsidR="00340C0E" w:rsidRDefault="00000000" w14:paraId="00000020" w14:textId="77777777">
      <w:pPr>
        <w:spacing w:line="360" w:lineRule="auto"/>
        <w:jc w:val="both"/>
      </w:pPr>
      <w:r w:rsidRPr="00516935">
        <w:t>Autonomy is an individual's right to make informed choices with regard to care. A mental health worker should collaborate with a service user when the user has decision-making capacity when planning treatment within the framework of community mental health services (</w:t>
      </w:r>
      <w:proofErr w:type="spellStart"/>
      <w:r w:rsidRPr="00516935">
        <w:t>Hormazábal</w:t>
      </w:r>
      <w:proofErr w:type="spellEnd"/>
      <w:r w:rsidRPr="00516935">
        <w:t>-Salgado et al., 2024).</w:t>
      </w:r>
    </w:p>
    <w:p w:rsidRPr="00516935" w:rsidR="00340C0E" w:rsidP="00516935" w:rsidRDefault="00000000" w14:paraId="00000021" w14:textId="77777777">
      <w:pPr>
        <w:pStyle w:val="Heading2"/>
      </w:pPr>
      <w:bookmarkStart w:name="_Toc233379163" w:id="17"/>
      <w:r w:rsidRPr="00516935">
        <w:t>4.2 Beneficence</w:t>
      </w:r>
      <w:bookmarkEnd w:id="17"/>
    </w:p>
    <w:p w:rsidRPr="00516935" w:rsidR="00340C0E" w:rsidRDefault="00000000" w14:paraId="00000022" w14:textId="77777777">
      <w:pPr>
        <w:spacing w:line="360" w:lineRule="auto"/>
        <w:jc w:val="both"/>
      </w:pPr>
      <w:r w:rsidRPr="00516935">
        <w:t>When choosing a profession, the person must show beneficence by doing what is in the person's best interest. This is done through community teams' provision of timely assessment, counselling, and recovery support to enhance wellbeing (McCormack, 2024).</w:t>
      </w:r>
    </w:p>
    <w:p w:rsidRPr="00516935" w:rsidR="00340C0E" w:rsidP="00516935" w:rsidRDefault="00000000" w14:paraId="00000023" w14:textId="67C6E076">
      <w:pPr>
        <w:pStyle w:val="Heading2"/>
      </w:pPr>
      <w:bookmarkStart w:name="_Toc233379164" w:id="18"/>
      <w:r w:rsidRPr="00516935">
        <w:t xml:space="preserve">4.3 </w:t>
      </w:r>
      <w:r w:rsidRPr="00516935" w:rsidR="00516935">
        <w:t>non-maleficence</w:t>
      </w:r>
      <w:bookmarkEnd w:id="18"/>
    </w:p>
    <w:p w:rsidRPr="00516935" w:rsidR="00340C0E" w:rsidRDefault="00000000" w14:paraId="00000024" w14:textId="77777777">
      <w:pPr>
        <w:spacing w:line="360" w:lineRule="auto"/>
        <w:jc w:val="both"/>
      </w:pPr>
      <w:r w:rsidRPr="00516935">
        <w:t>Non-Maleficence: Avoid harm. Staff should thoroughly evaluate risks, ensure safe interventions, and regularly review and reassess to minimise physical and psychological harm (McCance and McCormack 2025).</w:t>
      </w:r>
    </w:p>
    <w:p w:rsidRPr="00516935" w:rsidR="00340C0E" w:rsidP="00516935" w:rsidRDefault="00000000" w14:paraId="00000025" w14:textId="77777777">
      <w:pPr>
        <w:pStyle w:val="Heading2"/>
      </w:pPr>
      <w:bookmarkStart w:name="_Toc233379165" w:id="19"/>
      <w:r w:rsidRPr="00516935">
        <w:t>4.4 Justice</w:t>
      </w:r>
      <w:bookmarkEnd w:id="19"/>
    </w:p>
    <w:p w:rsidRPr="00516935" w:rsidR="00340C0E" w:rsidRDefault="00000000" w14:paraId="00000026" w14:textId="77777777">
      <w:pPr>
        <w:spacing w:line="360" w:lineRule="auto"/>
        <w:jc w:val="both"/>
      </w:pPr>
      <w:r w:rsidRPr="00516935">
        <w:t>Justice ensures equal access to health care services, irrespective of age, gender, ethnicity or disability. Equitable distribution of community mental health services can help to minimize inequalities in the provision of mental health services (Ham, 2024).</w:t>
      </w:r>
    </w:p>
    <w:p w:rsidRPr="00516935" w:rsidR="00340C0E" w:rsidP="00516935" w:rsidRDefault="00000000" w14:paraId="00000027" w14:textId="77777777">
      <w:pPr>
        <w:pStyle w:val="Heading2"/>
      </w:pPr>
      <w:bookmarkStart w:name="_Toc233379166" w:id="20"/>
      <w:r w:rsidRPr="00516935">
        <w:lastRenderedPageBreak/>
        <w:t>4.5 Confidentiality</w:t>
      </w:r>
      <w:bookmarkEnd w:id="20"/>
    </w:p>
    <w:p w:rsidRPr="00516935" w:rsidR="00340C0E" w:rsidRDefault="00000000" w14:paraId="00000028" w14:textId="77777777">
      <w:pPr>
        <w:spacing w:line="360" w:lineRule="auto"/>
        <w:jc w:val="both"/>
      </w:pPr>
      <w:r w:rsidRPr="00516935">
        <w:t>Confidentiality is the sharing of personal information in a manner that is necessary and within legal and professional boundaries. This fosters trust between the service users and the service providers (Glasby, 2026).</w:t>
      </w:r>
    </w:p>
    <w:p w:rsidRPr="00516935" w:rsidR="00340C0E" w:rsidP="00516935" w:rsidRDefault="00000000" w14:paraId="00000029" w14:textId="77777777">
      <w:pPr>
        <w:pStyle w:val="Heading2"/>
      </w:pPr>
      <w:bookmarkStart w:name="_Toc233379167" w:id="21"/>
      <w:r w:rsidRPr="00516935">
        <w:t>4.6 Dignity</w:t>
      </w:r>
      <w:bookmarkEnd w:id="21"/>
    </w:p>
    <w:p w:rsidRPr="00516935" w:rsidR="00340C0E" w:rsidRDefault="00000000" w14:paraId="0000002A" w14:textId="77777777">
      <w:pPr>
        <w:spacing w:line="360" w:lineRule="auto"/>
        <w:jc w:val="both"/>
      </w:pPr>
      <w:r w:rsidRPr="00516935">
        <w:t>Dignity means to treat all persons with respect, compassion, and empathy. Empathic care has been shown to increase trust and recovery in community mental health services, as well as satisfaction with care (Probst et al., 2025).</w:t>
      </w:r>
    </w:p>
    <w:p w:rsidRPr="00516935" w:rsidR="00340C0E" w:rsidP="00516935" w:rsidRDefault="00000000" w14:paraId="0000002B" w14:textId="77777777">
      <w:pPr>
        <w:pStyle w:val="Heading1"/>
      </w:pPr>
      <w:bookmarkStart w:name="_Toc233379168" w:id="22"/>
      <w:r w:rsidRPr="00516935">
        <w:t>5. Partnership Working in Health and Social Care</w:t>
      </w:r>
      <w:bookmarkEnd w:id="22"/>
      <w:r w:rsidRPr="00516935">
        <w:t xml:space="preserve"> </w:t>
      </w:r>
    </w:p>
    <w:p w:rsidRPr="00516935" w:rsidR="00340C0E" w:rsidP="00516935" w:rsidRDefault="00000000" w14:paraId="0000002C" w14:textId="77777777">
      <w:pPr>
        <w:pStyle w:val="Heading2"/>
      </w:pPr>
      <w:bookmarkStart w:name="_Toc233379169" w:id="23"/>
      <w:r w:rsidRPr="00516935">
        <w:t>5.1 Definition</w:t>
      </w:r>
      <w:bookmarkEnd w:id="23"/>
    </w:p>
    <w:p w:rsidRPr="00516935" w:rsidR="00340C0E" w:rsidRDefault="00000000" w14:paraId="0000002D" w14:textId="77777777">
      <w:pPr>
        <w:spacing w:line="360" w:lineRule="auto"/>
        <w:jc w:val="both"/>
      </w:pPr>
      <w:r w:rsidRPr="00516935">
        <w:t>Partnership working is the way health, social care, and community services organise their work to provide coordinated, person-centred services. It is an integration of professional knowledge and engagement of users of care to enhance the quality of care (Viljoen et al., 2024). This involves working together between NHS staff, social workers, occupational therapists, and voluntary organisations in Community Mental Health Services.</w:t>
      </w:r>
    </w:p>
    <w:p w:rsidRPr="00516935" w:rsidR="00340C0E" w:rsidP="00516935" w:rsidRDefault="00000000" w14:paraId="0000002E" w14:textId="77777777">
      <w:pPr>
        <w:pStyle w:val="Heading2"/>
      </w:pPr>
      <w:bookmarkStart w:name="_Toc233379170" w:id="24"/>
      <w:r w:rsidRPr="00516935">
        <w:t>5.2 Benefits</w:t>
      </w:r>
      <w:bookmarkEnd w:id="24"/>
    </w:p>
    <w:p w:rsidRPr="00516935" w:rsidR="00340C0E" w:rsidRDefault="00000000" w14:paraId="0000002F" w14:textId="77777777">
      <w:pPr>
        <w:spacing w:line="360" w:lineRule="auto"/>
        <w:jc w:val="both"/>
      </w:pPr>
      <w:r w:rsidRPr="00516935">
        <w:t>Ideal partnership working enhances communication, minimises duplication of services, and helps to promote continuity of care (Barr et al., 2024). According to the World Health Organization (2021), people-centred care, which is integrated, enhances health outcomes and builds service efficiency. An example of this is care planning and keeping primary care in place between community mental health nurses and social workers to facilitate the person to receive clinical care and social support through one integrated plan.</w:t>
      </w:r>
    </w:p>
    <w:p w:rsidRPr="00516935" w:rsidR="00340C0E" w:rsidP="00516935" w:rsidRDefault="00000000" w14:paraId="00000030" w14:textId="77777777">
      <w:pPr>
        <w:pStyle w:val="Heading2"/>
      </w:pPr>
      <w:bookmarkStart w:name="_Toc233379171" w:id="25"/>
      <w:r w:rsidRPr="00516935">
        <w:t>5.3 Challenges</w:t>
      </w:r>
      <w:bookmarkEnd w:id="25"/>
    </w:p>
    <w:p w:rsidRPr="00516935" w:rsidR="00340C0E" w:rsidRDefault="00000000" w14:paraId="00000031" w14:textId="7E487D14">
      <w:pPr>
        <w:spacing w:line="360" w:lineRule="auto"/>
        <w:jc w:val="both"/>
      </w:pPr>
      <w:r w:rsidR="00000000">
        <w:rPr/>
        <w:t xml:space="preserve">However, there are </w:t>
      </w:r>
      <w:r w:rsidR="2D30122A">
        <w:rPr/>
        <w:t>a few</w:t>
      </w:r>
      <w:r w:rsidR="00000000">
        <w:rPr/>
        <w:t xml:space="preserve"> challenges to partnership working. Effective collaboration is limited by different organisational priorities, poor sharing of information, workforce shortages, and limited funding (Matos et al., 2025). Agencies may miss the opportunity to refer and </w:t>
      </w:r>
      <w:r w:rsidR="00000000">
        <w:rPr/>
        <w:t>impact</w:t>
      </w:r>
      <w:r w:rsidR="00000000">
        <w:rPr/>
        <w:t xml:space="preserve"> the </w:t>
      </w:r>
      <w:r w:rsidR="00000000">
        <w:rPr/>
        <w:t>continuity of care due to communication issues. There are also fewer opportunities for regular multidisciplinary meetings due to the high workloads of staff in NHS teams.</w:t>
      </w:r>
    </w:p>
    <w:p w:rsidRPr="00516935" w:rsidR="00340C0E" w:rsidP="00516935" w:rsidRDefault="00000000" w14:paraId="00000032" w14:textId="77777777">
      <w:pPr>
        <w:pStyle w:val="Heading2"/>
      </w:pPr>
      <w:bookmarkStart w:name="_Toc233379172" w:id="26"/>
      <w:r w:rsidRPr="00516935">
        <w:t>5.4 Critical Evaluation</w:t>
      </w:r>
      <w:bookmarkEnd w:id="26"/>
    </w:p>
    <w:p w:rsidRPr="00516935" w:rsidR="00340C0E" w:rsidRDefault="00000000" w14:paraId="00000033" w14:textId="77777777">
      <w:pPr>
        <w:spacing w:line="360" w:lineRule="auto"/>
        <w:jc w:val="both"/>
      </w:pPr>
      <w:r w:rsidRPr="00516935">
        <w:t>Partnership working is important to person-centred care as this can involve more than one service, and more than one person's expertise, to deliver the complex mental health needs (Glasby, 2026). Effective collaboration will enhance decision-making, recovery, and community support. However, effective leadership, shared goals, and clear communication are needed to achieve positive results. If these are not in place, then the services become disjointed, and the value people truly believe in person-centred practice is reduced, and so too is the quality of the services. It is therefore important to recognise that partnership working is not a one-off organisational partnership, but a continuous process that calls for a commitment of the organisations.</w:t>
      </w:r>
    </w:p>
    <w:p w:rsidRPr="00516935" w:rsidR="00340C0E" w:rsidP="00516935" w:rsidRDefault="00000000" w14:paraId="00000034" w14:textId="77777777">
      <w:pPr>
        <w:pStyle w:val="Heading1"/>
      </w:pPr>
      <w:bookmarkStart w:name="_Toc233379173" w:id="27"/>
      <w:r w:rsidRPr="00516935">
        <w:t>6. Application of Partnership Working in Community Mental Health Services</w:t>
      </w:r>
      <w:bookmarkEnd w:id="27"/>
      <w:r w:rsidRPr="00516935">
        <w:t xml:space="preserve"> </w:t>
      </w:r>
    </w:p>
    <w:p w:rsidRPr="00516935" w:rsidR="00340C0E" w:rsidP="00516935" w:rsidRDefault="00000000" w14:paraId="00000035" w14:textId="77777777">
      <w:pPr>
        <w:pStyle w:val="Heading2"/>
      </w:pPr>
      <w:bookmarkStart w:name="_Toc233379174" w:id="28"/>
      <w:r w:rsidRPr="00516935">
        <w:t>6.1 NHS Professionals</w:t>
      </w:r>
      <w:bookmarkEnd w:id="28"/>
    </w:p>
    <w:p w:rsidRPr="00516935" w:rsidR="00340C0E" w:rsidRDefault="00000000" w14:paraId="00000036" w14:textId="77777777">
      <w:pPr>
        <w:spacing w:line="360" w:lineRule="auto"/>
        <w:jc w:val="both"/>
      </w:pPr>
      <w:r w:rsidRPr="00516935">
        <w:t>NHS professionals, such as psychiatrists, mental health nurses, and psychologists, determine needs, treat those needs, and review recovery plans. Coordinated care is promoted by regular communication (Barr et al., 2024).</w:t>
      </w:r>
    </w:p>
    <w:p w:rsidRPr="00516935" w:rsidR="00340C0E" w:rsidP="00516935" w:rsidRDefault="00000000" w14:paraId="00000037" w14:textId="77777777">
      <w:pPr>
        <w:pStyle w:val="Heading2"/>
      </w:pPr>
      <w:bookmarkStart w:name="_Toc233379175" w:id="29"/>
      <w:r w:rsidRPr="00516935">
        <w:t>6.2 Social Workers</w:t>
      </w:r>
      <w:bookmarkEnd w:id="29"/>
    </w:p>
    <w:p w:rsidRPr="00516935" w:rsidR="00340C0E" w:rsidRDefault="00000000" w14:paraId="00000038" w14:textId="77777777">
      <w:pPr>
        <w:spacing w:line="360" w:lineRule="auto"/>
        <w:jc w:val="both"/>
      </w:pPr>
      <w:r w:rsidRPr="00516935">
        <w:t>Social workers assist people to receive housing, financial aid, and other community services. They are included because they are social factors that affect mental health, and they can assist long-term recovery (Glasby, 2026).</w:t>
      </w:r>
    </w:p>
    <w:p w:rsidRPr="00516935" w:rsidR="00340C0E" w:rsidP="00516935" w:rsidRDefault="00000000" w14:paraId="00000039" w14:textId="77777777">
      <w:pPr>
        <w:pStyle w:val="Heading2"/>
      </w:pPr>
      <w:bookmarkStart w:name="_Toc233379176" w:id="30"/>
      <w:r w:rsidRPr="00516935">
        <w:t>6.3 Occupational Therapists</w:t>
      </w:r>
      <w:bookmarkEnd w:id="30"/>
    </w:p>
    <w:p w:rsidRPr="00516935" w:rsidR="00340C0E" w:rsidRDefault="00000000" w14:paraId="0000003A" w14:textId="77777777">
      <w:pPr>
        <w:spacing w:line="360" w:lineRule="auto"/>
        <w:jc w:val="both"/>
      </w:pPr>
      <w:r w:rsidRPr="00516935">
        <w:t>An occupational therapist can teach service users to gain new skills that can be used in their daily lives, to re-enter the education or employment setting, and to become more independent. These interventions can help with recovery that is not tied to clinical treatment (McCormack, 2024).</w:t>
      </w:r>
    </w:p>
    <w:p w:rsidRPr="00516935" w:rsidR="00340C0E" w:rsidP="00516935" w:rsidRDefault="00000000" w14:paraId="0000003B" w14:textId="77777777">
      <w:pPr>
        <w:pStyle w:val="Heading2"/>
      </w:pPr>
      <w:bookmarkStart w:name="_Toc233379177" w:id="31"/>
      <w:r w:rsidRPr="00516935">
        <w:lastRenderedPageBreak/>
        <w:t>6.4 Family Carers</w:t>
      </w:r>
      <w:bookmarkEnd w:id="31"/>
    </w:p>
    <w:p w:rsidRPr="00516935" w:rsidR="00340C0E" w:rsidRDefault="00000000" w14:paraId="0000003C" w14:textId="77777777">
      <w:pPr>
        <w:spacing w:line="360" w:lineRule="auto"/>
        <w:jc w:val="both"/>
      </w:pPr>
      <w:r w:rsidRPr="00516935">
        <w:t>Family carers are able to offer emotional support and support to monitor progress between appointments. Carer participation in care planning helps to ensure continuity of care and be respectful of confidentiality and choice (</w:t>
      </w:r>
      <w:proofErr w:type="spellStart"/>
      <w:r w:rsidRPr="00516935">
        <w:t>Hormazábal</w:t>
      </w:r>
      <w:proofErr w:type="spellEnd"/>
      <w:r w:rsidRPr="00516935">
        <w:t>-Salgado et al., 2024).</w:t>
      </w:r>
    </w:p>
    <w:p w:rsidRPr="00516935" w:rsidR="00340C0E" w:rsidP="00516935" w:rsidRDefault="00000000" w14:paraId="0000003D" w14:textId="77777777">
      <w:pPr>
        <w:pStyle w:val="Heading2"/>
      </w:pPr>
      <w:bookmarkStart w:name="_Toc233379178" w:id="32"/>
      <w:r w:rsidRPr="00516935">
        <w:t>6.5 Voluntary Organisations</w:t>
      </w:r>
      <w:bookmarkEnd w:id="32"/>
    </w:p>
    <w:p w:rsidRPr="00516935" w:rsidR="00340C0E" w:rsidRDefault="00000000" w14:paraId="0000003E" w14:textId="77777777">
      <w:pPr>
        <w:spacing w:line="360" w:lineRule="auto"/>
        <w:jc w:val="both"/>
      </w:pPr>
      <w:r w:rsidRPr="00516935">
        <w:t>Peer support, counselling, and community activities provided by voluntary organisations help to reduce social isolation. These services support the NHS service and promote community engagement (Matos et al., 2025).</w:t>
      </w:r>
    </w:p>
    <w:p w:rsidRPr="00516935" w:rsidR="00340C0E" w:rsidP="00516935" w:rsidRDefault="00000000" w14:paraId="0000003F" w14:textId="77777777">
      <w:pPr>
        <w:pStyle w:val="Heading2"/>
      </w:pPr>
      <w:bookmarkStart w:name="_Toc233379179" w:id="33"/>
      <w:r w:rsidRPr="00516935">
        <w:t>6.6 Effectiveness and Barriers</w:t>
      </w:r>
      <w:bookmarkEnd w:id="33"/>
    </w:p>
    <w:p w:rsidRPr="00516935" w:rsidR="00340C0E" w:rsidRDefault="00000000" w14:paraId="00000040" w14:textId="77777777">
      <w:pPr>
        <w:spacing w:line="360" w:lineRule="auto"/>
        <w:jc w:val="both"/>
      </w:pPr>
      <w:r w:rsidRPr="00516935">
        <w:t>Shared knowledge and expertise enhance communication, continuity, and person-centred care with partner working. Joint meetings between NHS professionals and social workers, for example, can help to minimise duplication of assessments. However, due to varying priorities, information sharing, and pressures on the workforce, there is not always effective collaboration. Thus, partnership working needs to be based on common objectives, effective communication and joint leadership (Viljoen et al., 2024).</w:t>
      </w:r>
    </w:p>
    <w:p w:rsidRPr="00516935" w:rsidR="00340C0E" w:rsidP="00516935" w:rsidRDefault="00000000" w14:paraId="00000041" w14:textId="77777777">
      <w:pPr>
        <w:pStyle w:val="Heading1"/>
      </w:pPr>
      <w:bookmarkStart w:name="_Toc233379180" w:id="34"/>
      <w:r w:rsidRPr="00516935">
        <w:t>7. Policy and Legislation Relating to Person Centred Care and Partnership Working</w:t>
      </w:r>
      <w:bookmarkEnd w:id="34"/>
    </w:p>
    <w:p w:rsidRPr="00516935" w:rsidR="00340C0E" w:rsidP="00516935" w:rsidRDefault="00000000" w14:paraId="00000042" w14:textId="77777777">
      <w:pPr>
        <w:pStyle w:val="Heading2"/>
      </w:pPr>
      <w:bookmarkStart w:name="_Toc233379181" w:id="35"/>
      <w:r w:rsidRPr="00516935">
        <w:t>7.1 Health and Care Act 2022</w:t>
      </w:r>
      <w:bookmarkEnd w:id="35"/>
    </w:p>
    <w:p w:rsidRPr="00516935" w:rsidR="00340C0E" w:rsidRDefault="00000000" w14:paraId="00000043" w14:textId="11B77D13">
      <w:pPr>
        <w:spacing w:line="360" w:lineRule="auto"/>
        <w:jc w:val="both"/>
      </w:pPr>
      <w:r w:rsidRPr="00516935">
        <w:t xml:space="preserve">The Health and Care Act 2022 </w:t>
      </w:r>
      <w:r w:rsidRPr="00516935" w:rsidR="00516935">
        <w:t>promote</w:t>
      </w:r>
      <w:r w:rsidRPr="00516935">
        <w:t xml:space="preserve"> the development of ICSs, such as NHS organisations and local authorities working together to plan services. This helps to facilitate coordinated person-centred care (Ham, 2024). The Health and Care Act of 2022 </w:t>
      </w:r>
      <w:r w:rsidRPr="00516935" w:rsidR="00516935">
        <w:t>promote</w:t>
      </w:r>
      <w:r w:rsidRPr="00516935">
        <w:t xml:space="preserve"> Integrated Care Systems, but information exchange, workforce capability, and local finance are still necessary for effective collaboration. Therefore, successful partnership functioning cannot be ensured by legislation alone.</w:t>
      </w:r>
    </w:p>
    <w:p w:rsidRPr="00516935" w:rsidR="00340C0E" w:rsidP="00516935" w:rsidRDefault="00000000" w14:paraId="00000044" w14:textId="77777777">
      <w:pPr>
        <w:pStyle w:val="Heading2"/>
      </w:pPr>
      <w:bookmarkStart w:name="_Toc233379182" w:id="36"/>
      <w:r w:rsidRPr="00516935">
        <w:lastRenderedPageBreak/>
        <w:t>7.2 Care Act 2014</w:t>
      </w:r>
      <w:bookmarkEnd w:id="36"/>
    </w:p>
    <w:p w:rsidRPr="00516935" w:rsidR="00340C0E" w:rsidRDefault="00000000" w14:paraId="00000045" w14:textId="77777777">
      <w:pPr>
        <w:spacing w:line="360" w:lineRule="auto"/>
        <w:jc w:val="both"/>
      </w:pPr>
      <w:r w:rsidRPr="00516935">
        <w:t>The Care Act 2014 is designed to encourage wellbeing, tailor care plans to individuals, and collaboration between organisations. These roles enhance partnership working and support to people with more complex needs (Glasby, 2026).</w:t>
      </w:r>
    </w:p>
    <w:p w:rsidRPr="00516935" w:rsidR="00340C0E" w:rsidP="00516935" w:rsidRDefault="00000000" w14:paraId="00000046" w14:textId="77777777">
      <w:pPr>
        <w:pStyle w:val="Heading2"/>
      </w:pPr>
      <w:bookmarkStart w:name="_Toc233379183" w:id="37"/>
      <w:r w:rsidRPr="00516935">
        <w:t>7.3 Mental Capacity Act 2005</w:t>
      </w:r>
      <w:bookmarkEnd w:id="37"/>
    </w:p>
    <w:p w:rsidRPr="00516935" w:rsidR="00340C0E" w:rsidRDefault="00000000" w14:paraId="00000047" w14:textId="4F0F48B0">
      <w:pPr>
        <w:spacing w:line="360" w:lineRule="auto"/>
        <w:jc w:val="both"/>
      </w:pPr>
      <w:r w:rsidR="00000000">
        <w:rPr/>
        <w:t xml:space="preserve">The Mental Capacity Act 2005 offers safeguards to people who might not have the capacity to </w:t>
      </w:r>
      <w:r w:rsidR="625E271A">
        <w:rPr/>
        <w:t>decide</w:t>
      </w:r>
      <w:r w:rsidR="00000000">
        <w:rPr/>
        <w:t xml:space="preserve"> and encourages them to be involved in decisions if they can. This will help to </w:t>
      </w:r>
      <w:r w:rsidR="00000000">
        <w:rPr/>
        <w:t>establish</w:t>
      </w:r>
      <w:r w:rsidR="00000000">
        <w:rPr/>
        <w:t xml:space="preserve"> autonomy and person-centred practice (McCance and McCormack, 2025).</w:t>
      </w:r>
    </w:p>
    <w:p w:rsidRPr="00516935" w:rsidR="00340C0E" w:rsidP="00516935" w:rsidRDefault="00000000" w14:paraId="00000048" w14:textId="77777777">
      <w:pPr>
        <w:pStyle w:val="Heading2"/>
      </w:pPr>
      <w:bookmarkStart w:name="_Toc233379184" w:id="38"/>
      <w:r w:rsidRPr="00516935">
        <w:t>7.4 Equality Act 2010</w:t>
      </w:r>
      <w:bookmarkEnd w:id="38"/>
    </w:p>
    <w:p w:rsidRPr="00516935" w:rsidR="00340C0E" w:rsidRDefault="00000000" w14:paraId="00000049" w14:textId="77777777">
      <w:pPr>
        <w:spacing w:line="360" w:lineRule="auto"/>
        <w:jc w:val="both"/>
      </w:pPr>
      <w:r w:rsidRPr="00516935">
        <w:t>Under the Equality Act 2010, it is the duty to provide equal opportunities to access services, free from discrimination. Equal treatment contributes to inclusive and person-centred mental health care (Ham, 2024).</w:t>
      </w:r>
    </w:p>
    <w:p w:rsidRPr="00516935" w:rsidR="00340C0E" w:rsidRDefault="00000000" w14:paraId="0000004B" w14:textId="65221688">
      <w:pPr>
        <w:spacing w:line="360" w:lineRule="auto"/>
        <w:jc w:val="both"/>
      </w:pPr>
      <w:r w:rsidRPr="00516935">
        <w:t>The Health and Social Care Act 2008 (Regulated Activities) Regulations 2014 were published on 1st August 2014.</w:t>
      </w:r>
      <w:r w:rsidR="00516935">
        <w:t xml:space="preserve"> </w:t>
      </w:r>
      <w:r w:rsidRPr="00516935">
        <w:t>Safe, effective, and compassionate care, supporting dignity, quality, and accountability (Kelsall-Knight and Stevens, 2024), are all part of these regulations.</w:t>
      </w:r>
    </w:p>
    <w:p w:rsidRPr="00516935" w:rsidR="00340C0E" w:rsidP="00516935" w:rsidRDefault="00000000" w14:paraId="0000004C" w14:textId="77777777">
      <w:pPr>
        <w:pStyle w:val="Heading2"/>
      </w:pPr>
      <w:bookmarkStart w:name="_Toc233379185" w:id="39"/>
      <w:r w:rsidRPr="00516935">
        <w:t>7.5 NHS Long Term Plan</w:t>
      </w:r>
      <w:bookmarkEnd w:id="39"/>
    </w:p>
    <w:p w:rsidRPr="00516935" w:rsidR="00340C0E" w:rsidRDefault="00000000" w14:paraId="0000004D" w14:textId="77777777">
      <w:pPr>
        <w:spacing w:line="360" w:lineRule="auto"/>
        <w:jc w:val="both"/>
      </w:pPr>
      <w:r w:rsidRPr="00516935">
        <w:t>The NHS Long Term Plan encourages better communication and working together between organisations and provides more integrated community-based mental health services. The NHS is currently following the direction of service policy, and according to WHO (2021) integrated people-centred services would enhance outcomes and service efficiency.</w:t>
      </w:r>
    </w:p>
    <w:p w:rsidRPr="00516935" w:rsidR="00340C0E" w:rsidP="00516935" w:rsidRDefault="00000000" w14:paraId="0000004E" w14:textId="77777777">
      <w:pPr>
        <w:pStyle w:val="Heading1"/>
      </w:pPr>
      <w:bookmarkStart w:name="_Toc233379186" w:id="40"/>
      <w:r w:rsidRPr="00516935">
        <w:t>8. Recommendations for Future Development in the UK</w:t>
      </w:r>
      <w:bookmarkEnd w:id="40"/>
      <w:r w:rsidRPr="00516935">
        <w:t xml:space="preserve"> </w:t>
      </w:r>
    </w:p>
    <w:p w:rsidRPr="00516935" w:rsidR="00340C0E" w:rsidRDefault="00000000" w14:paraId="0000004F" w14:textId="77777777">
      <w:pPr>
        <w:spacing w:line="360" w:lineRule="auto"/>
        <w:jc w:val="both"/>
        <w:rPr>
          <w:b/>
          <w:bCs/>
          <w:i/>
          <w:iCs/>
        </w:rPr>
      </w:pPr>
      <w:r w:rsidRPr="00516935">
        <w:rPr>
          <w:b/>
          <w:bCs/>
          <w:i/>
          <w:iCs/>
        </w:rPr>
        <w:t>Greater Integrated Digital Care Records</w:t>
      </w:r>
    </w:p>
    <w:p w:rsidRPr="00516935" w:rsidR="00340C0E" w:rsidRDefault="00000000" w14:paraId="00000050" w14:textId="77777777">
      <w:pPr>
        <w:spacing w:line="360" w:lineRule="auto"/>
        <w:jc w:val="both"/>
      </w:pPr>
      <w:r w:rsidRPr="00516935">
        <w:t>Digital care records should be introduced and integrated within health and social care organisations across the board to enable better information sharing and eliminate duplication of services. Coordinate, person-centred care (Barr et al., 2024) is better facilitated by better data access.</w:t>
      </w:r>
    </w:p>
    <w:p w:rsidRPr="00516935" w:rsidR="00340C0E" w:rsidRDefault="00000000" w14:paraId="00000051" w14:textId="77777777">
      <w:pPr>
        <w:spacing w:line="360" w:lineRule="auto"/>
        <w:jc w:val="both"/>
        <w:rPr>
          <w:b/>
          <w:bCs/>
          <w:i/>
          <w:iCs/>
        </w:rPr>
      </w:pPr>
      <w:r w:rsidRPr="00516935">
        <w:rPr>
          <w:b/>
          <w:bCs/>
          <w:i/>
          <w:iCs/>
        </w:rPr>
        <w:t>Greater Workforce Training at PCC</w:t>
      </w:r>
    </w:p>
    <w:p w:rsidRPr="00516935" w:rsidR="00340C0E" w:rsidRDefault="00000000" w14:paraId="00000052" w14:textId="77777777">
      <w:pPr>
        <w:spacing w:line="360" w:lineRule="auto"/>
        <w:jc w:val="both"/>
      </w:pPr>
      <w:r w:rsidRPr="00516935">
        <w:lastRenderedPageBreak/>
        <w:t>Training should reinforce the skills and understanding of person-centred care, communication, and shared decision-making. Staff competence will promote consistent care delivery and improved patient experiences (McCormack, 2024).</w:t>
      </w:r>
    </w:p>
    <w:p w:rsidRPr="00516935" w:rsidR="00340C0E" w:rsidRDefault="00000000" w14:paraId="00000053" w14:textId="77777777">
      <w:pPr>
        <w:spacing w:line="360" w:lineRule="auto"/>
        <w:jc w:val="both"/>
        <w:rPr>
          <w:b/>
          <w:bCs/>
          <w:i/>
          <w:iCs/>
        </w:rPr>
      </w:pPr>
      <w:r w:rsidRPr="00516935">
        <w:rPr>
          <w:b/>
          <w:bCs/>
          <w:i/>
          <w:iCs/>
        </w:rPr>
        <w:t>Stronger Service User Involvement in Decision Making</w:t>
      </w:r>
    </w:p>
    <w:p w:rsidRPr="00516935" w:rsidR="00340C0E" w:rsidRDefault="00000000" w14:paraId="00000054" w14:textId="77777777">
      <w:pPr>
        <w:spacing w:line="360" w:lineRule="auto"/>
        <w:jc w:val="both"/>
      </w:pPr>
      <w:r w:rsidRPr="00516935">
        <w:t>Health organisations should seek greater involvement of service users in service planning, delivery, and service evaluation. The more involved, the greater the satisfaction with recovery, personalised care, and outcomes (</w:t>
      </w:r>
      <w:proofErr w:type="spellStart"/>
      <w:r w:rsidRPr="00516935">
        <w:t>Hormazábal</w:t>
      </w:r>
      <w:proofErr w:type="spellEnd"/>
      <w:r w:rsidRPr="00516935">
        <w:t>-Salgado et al., 2024).</w:t>
      </w:r>
    </w:p>
    <w:p w:rsidRPr="00516935" w:rsidR="00340C0E" w:rsidP="00516935" w:rsidRDefault="00000000" w14:paraId="00000055" w14:textId="77777777">
      <w:pPr>
        <w:pStyle w:val="Heading1"/>
      </w:pPr>
      <w:bookmarkStart w:name="_Toc233379187" w:id="41"/>
      <w:r w:rsidRPr="00516935">
        <w:t>9. Conclusion</w:t>
      </w:r>
      <w:bookmarkEnd w:id="41"/>
      <w:r w:rsidRPr="00516935">
        <w:t xml:space="preserve"> </w:t>
      </w:r>
    </w:p>
    <w:p w:rsidR="00516935" w:rsidRDefault="00000000" w14:paraId="00000056" w14:textId="364EE400">
      <w:pPr>
        <w:spacing w:line="360" w:lineRule="auto"/>
        <w:jc w:val="both"/>
      </w:pPr>
      <w:r w:rsidRPr="00516935">
        <w:t>Person-centred care and partnership working are critical to effective Community Mental Health Services. The use of relevant theory, ethical principles, and legislation supports effective coordinated practice and enhances outcomes. Further investment will build on integrated systems, workforce development, and active engagement of service users to enhance the quality and sustainability of the services.</w:t>
      </w:r>
    </w:p>
    <w:p w:rsidR="00516935" w:rsidRDefault="00516935" w14:paraId="0B8DB08A" w14:textId="77777777">
      <w:r>
        <w:br w:type="page"/>
      </w:r>
    </w:p>
    <w:p w:rsidR="00340C0E" w:rsidP="00516935" w:rsidRDefault="00516935" w14:paraId="3CC39599" w14:textId="01A6111E">
      <w:pPr>
        <w:pStyle w:val="Heading1"/>
      </w:pPr>
      <w:bookmarkStart w:name="_Toc233379188" w:id="42"/>
      <w:r>
        <w:lastRenderedPageBreak/>
        <w:t>References</w:t>
      </w:r>
      <w:bookmarkEnd w:id="42"/>
    </w:p>
    <w:p w:rsidRPr="00516935" w:rsidR="00516935" w:rsidP="00516935" w:rsidRDefault="00516935" w14:paraId="21809EE0" w14:textId="77777777">
      <w:pPr>
        <w:spacing w:line="360" w:lineRule="auto"/>
        <w:jc w:val="both"/>
      </w:pPr>
      <w:r w:rsidRPr="00516935">
        <w:t>Probst, S., Menon, T., Stefanelli, A., Bergin, S.M., Brand, G. and Tehan, P., 2025. Empathy in wound care: a scoping review of its role, impact, and barriers to person‐centred healing. </w:t>
      </w:r>
      <w:r w:rsidRPr="00516935">
        <w:rPr>
          <w:i/>
          <w:iCs/>
        </w:rPr>
        <w:t>International wound journal</w:t>
      </w:r>
      <w:r w:rsidRPr="00516935">
        <w:t>, </w:t>
      </w:r>
      <w:r w:rsidRPr="00516935">
        <w:rPr>
          <w:i/>
          <w:iCs/>
        </w:rPr>
        <w:t>22</w:t>
      </w:r>
      <w:r w:rsidRPr="00516935">
        <w:t xml:space="preserve">(6), p.e70687. </w:t>
      </w:r>
      <w:hyperlink w:history="1" r:id="rId8">
        <w:r w:rsidRPr="00516935">
          <w:rPr>
            <w:rStyle w:val="Hyperlink"/>
          </w:rPr>
          <w:t>https://onlinelibrary.wiley.com/doi/pdf/10.1111/iwj.70687</w:t>
        </w:r>
      </w:hyperlink>
      <w:r w:rsidRPr="00516935">
        <w:t xml:space="preserve"> </w:t>
      </w:r>
    </w:p>
    <w:p w:rsidRPr="00516935" w:rsidR="00516935" w:rsidP="00516935" w:rsidRDefault="00516935" w14:paraId="5E5BB75D" w14:textId="77777777">
      <w:pPr>
        <w:spacing w:line="360" w:lineRule="auto"/>
        <w:jc w:val="both"/>
      </w:pPr>
      <w:r w:rsidRPr="00516935">
        <w:t>McCance, T. and McCormack, B., 2025. The Person-centred Nursing Framework: a mid-range theory for nursing practice. </w:t>
      </w:r>
      <w:r w:rsidRPr="00516935">
        <w:rPr>
          <w:i/>
          <w:iCs/>
        </w:rPr>
        <w:t>Journal of Research in Nursing</w:t>
      </w:r>
      <w:r w:rsidRPr="00516935">
        <w:t>, </w:t>
      </w:r>
      <w:r w:rsidRPr="00516935">
        <w:rPr>
          <w:i/>
          <w:iCs/>
        </w:rPr>
        <w:t>30</w:t>
      </w:r>
      <w:r w:rsidRPr="00516935">
        <w:t xml:space="preserve">(1), pp.47-60. </w:t>
      </w:r>
      <w:hyperlink w:history="1" r:id="rId9">
        <w:r w:rsidRPr="00516935">
          <w:rPr>
            <w:rStyle w:val="Hyperlink"/>
          </w:rPr>
          <w:t>https://journals.sagepub.com/doi/pdf/10.1177/17449871241281428</w:t>
        </w:r>
      </w:hyperlink>
      <w:r w:rsidRPr="00516935">
        <w:t xml:space="preserve"> </w:t>
      </w:r>
    </w:p>
    <w:p w:rsidRPr="00516935" w:rsidR="00516935" w:rsidP="00516935" w:rsidRDefault="00516935" w14:paraId="7F964944" w14:textId="77777777">
      <w:pPr>
        <w:spacing w:line="360" w:lineRule="auto"/>
        <w:jc w:val="both"/>
      </w:pPr>
      <w:r w:rsidRPr="00516935">
        <w:t>McCormack, B. ed., 2024. </w:t>
      </w:r>
      <w:r w:rsidRPr="00516935">
        <w:rPr>
          <w:i/>
          <w:iCs/>
        </w:rPr>
        <w:t>Developing Person-centred Cultures in Healthcare Education and Practice: An Essential Guide</w:t>
      </w:r>
      <w:r w:rsidRPr="00516935">
        <w:t xml:space="preserve">. John Wiley &amp; Sons. </w:t>
      </w:r>
      <w:hyperlink w:history="1" r:id="rId10">
        <w:r w:rsidRPr="00516935">
          <w:rPr>
            <w:rStyle w:val="Hyperlink"/>
          </w:rPr>
          <w:t>https://books.google.com/books?hl=en&amp;lr=&amp;id=JBT5EAAAQBAJ&amp;oi=fnd&amp;pg=PR9&amp;dq=+Fundamentals+of+Person-Centred+Healthcare+Practice.+Oxford:+Wiley+Blackwell.&amp;ots=iVW3-aM_IE&amp;sig=G6HLUpduf3gJguNrDWdPpC3At8o</w:t>
        </w:r>
      </w:hyperlink>
      <w:r w:rsidRPr="00516935">
        <w:t xml:space="preserve"> </w:t>
      </w:r>
    </w:p>
    <w:p w:rsidRPr="00516935" w:rsidR="00516935" w:rsidP="00516935" w:rsidRDefault="00516935" w14:paraId="4385B7C7" w14:textId="77777777">
      <w:pPr>
        <w:spacing w:line="360" w:lineRule="auto"/>
        <w:jc w:val="both"/>
      </w:pPr>
      <w:r w:rsidRPr="00516935">
        <w:t>Kelsall-Knight, L. and Stevens, R., 2024. Exploring the implementation of person-centred care in nursing practice. </w:t>
      </w:r>
      <w:r w:rsidRPr="00516935">
        <w:rPr>
          <w:i/>
          <w:iCs/>
        </w:rPr>
        <w:t>Nurs Stand</w:t>
      </w:r>
      <w:r w:rsidRPr="00516935">
        <w:t>, </w:t>
      </w:r>
      <w:r w:rsidRPr="00516935">
        <w:rPr>
          <w:i/>
          <w:iCs/>
        </w:rPr>
        <w:t>39</w:t>
      </w:r>
      <w:r w:rsidRPr="00516935">
        <w:t xml:space="preserve">(1), pp.70-5. </w:t>
      </w:r>
      <w:hyperlink w:history="1" r:id="rId11">
        <w:r w:rsidRPr="00516935">
          <w:rPr>
            <w:rStyle w:val="Hyperlink"/>
          </w:rPr>
          <w:t>https://www.researchgate.net/profile/Lucille-Kelsall-Knight/publication/376522858_Exploring_the_implementation_of_person-centred_care_in_nursing_practice/links/65f2cea6286738732d3e5ef0/Exploring-the-implementation-of-person-centred-care-in-nursing-practice.pdf</w:t>
        </w:r>
      </w:hyperlink>
      <w:r w:rsidRPr="00516935">
        <w:t xml:space="preserve"> </w:t>
      </w:r>
    </w:p>
    <w:p w:rsidRPr="00516935" w:rsidR="00516935" w:rsidP="00516935" w:rsidRDefault="00516935" w14:paraId="7BE833B7" w14:textId="77777777">
      <w:pPr>
        <w:spacing w:line="360" w:lineRule="auto"/>
        <w:jc w:val="both"/>
      </w:pPr>
      <w:r w:rsidRPr="00516935">
        <w:t>Barr, H., Anderson, E.S. and Hutchings, M., 2024. Understanding integrated care. </w:t>
      </w:r>
      <w:r w:rsidRPr="00516935">
        <w:rPr>
          <w:i/>
          <w:iCs/>
        </w:rPr>
        <w:t>Journal of interprofessional care</w:t>
      </w:r>
      <w:r w:rsidRPr="00516935">
        <w:t>, </w:t>
      </w:r>
      <w:r w:rsidRPr="00516935">
        <w:rPr>
          <w:i/>
          <w:iCs/>
        </w:rPr>
        <w:t>38</w:t>
      </w:r>
      <w:r w:rsidRPr="00516935">
        <w:t xml:space="preserve">(6), pp.974-984. </w:t>
      </w:r>
      <w:hyperlink w:history="1" r:id="rId12">
        <w:r w:rsidRPr="00516935">
          <w:rPr>
            <w:rStyle w:val="Hyperlink"/>
          </w:rPr>
          <w:t>https://www.tandfonline.com/doi/pdf/10.1080/13561820.2024.2405550</w:t>
        </w:r>
      </w:hyperlink>
      <w:r w:rsidRPr="00516935">
        <w:t xml:space="preserve"> </w:t>
      </w:r>
    </w:p>
    <w:p w:rsidRPr="00516935" w:rsidR="00516935" w:rsidP="00516935" w:rsidRDefault="00516935" w14:paraId="1614FF4D" w14:textId="77777777">
      <w:pPr>
        <w:spacing w:line="360" w:lineRule="auto"/>
        <w:jc w:val="both"/>
      </w:pPr>
      <w:r w:rsidRPr="00516935">
        <w:t>Glasby, J., 2026. Understanding health and social care. In </w:t>
      </w:r>
      <w:r w:rsidRPr="00516935">
        <w:rPr>
          <w:i/>
          <w:iCs/>
        </w:rPr>
        <w:t>Understanding Health and Social Care</w:t>
      </w:r>
      <w:r w:rsidRPr="00516935">
        <w:t xml:space="preserve">. Policy Press. </w:t>
      </w:r>
      <w:hyperlink w:history="1" r:id="rId13">
        <w:r w:rsidRPr="00516935">
          <w:rPr>
            <w:rStyle w:val="Hyperlink"/>
          </w:rPr>
          <w:t>https://cmls.org.uk/online/wp-content/uploads/2019/07/Understanding-health-and-social-care.pdf</w:t>
        </w:r>
      </w:hyperlink>
      <w:r w:rsidRPr="00516935">
        <w:t xml:space="preserve"> </w:t>
      </w:r>
    </w:p>
    <w:p w:rsidRPr="00516935" w:rsidR="00516935" w:rsidP="00516935" w:rsidRDefault="00516935" w14:paraId="3E92DE5A" w14:textId="77777777">
      <w:pPr>
        <w:spacing w:line="360" w:lineRule="auto"/>
        <w:jc w:val="both"/>
      </w:pPr>
      <w:r w:rsidRPr="00516935">
        <w:t>Glasby, J., 2026. Understanding health and social care. In </w:t>
      </w:r>
      <w:r w:rsidRPr="00516935">
        <w:rPr>
          <w:i/>
          <w:iCs/>
        </w:rPr>
        <w:t>Understanding Health and Social Care</w:t>
      </w:r>
      <w:r w:rsidRPr="00516935">
        <w:t xml:space="preserve">. Policy Press. </w:t>
      </w:r>
      <w:hyperlink w:history="1" r:id="rId14">
        <w:r w:rsidRPr="00516935">
          <w:rPr>
            <w:rStyle w:val="Hyperlink"/>
          </w:rPr>
          <w:t>https://cmls.org.uk/online/wp-content/uploads/2019/07/Understanding-health-and-social-care.pdf</w:t>
        </w:r>
      </w:hyperlink>
      <w:r w:rsidRPr="00516935">
        <w:t xml:space="preserve"> </w:t>
      </w:r>
    </w:p>
    <w:p w:rsidRPr="00516935" w:rsidR="00516935" w:rsidP="00516935" w:rsidRDefault="00516935" w14:paraId="2368F113" w14:textId="77777777">
      <w:pPr>
        <w:spacing w:line="360" w:lineRule="auto"/>
        <w:jc w:val="both"/>
      </w:pPr>
      <w:r w:rsidRPr="00516935">
        <w:t>Matos, R.C.D., Nascimento, G.D., Campos Fernandes, A. and Matos, C., 2025. Health and social care integration: insights from international implementation cases. </w:t>
      </w:r>
      <w:r w:rsidRPr="00516935">
        <w:rPr>
          <w:i/>
          <w:iCs/>
        </w:rPr>
        <w:t>Journal of Market Access &amp; Health Policy</w:t>
      </w:r>
      <w:r w:rsidRPr="00516935">
        <w:t>, </w:t>
      </w:r>
      <w:r w:rsidRPr="00516935">
        <w:rPr>
          <w:i/>
          <w:iCs/>
        </w:rPr>
        <w:t>13</w:t>
      </w:r>
      <w:r w:rsidRPr="00516935">
        <w:t xml:space="preserve">(2), p.28. </w:t>
      </w:r>
      <w:hyperlink w:history="1" r:id="rId15">
        <w:r w:rsidRPr="00516935">
          <w:rPr>
            <w:rStyle w:val="Hyperlink"/>
          </w:rPr>
          <w:t>https://www.mdpi.com/2001-6689/13/2/28</w:t>
        </w:r>
      </w:hyperlink>
      <w:r w:rsidRPr="00516935">
        <w:t xml:space="preserve"> </w:t>
      </w:r>
    </w:p>
    <w:p w:rsidRPr="00516935" w:rsidR="00516935" w:rsidP="00516935" w:rsidRDefault="00516935" w14:paraId="0BF5193B" w14:textId="77777777">
      <w:pPr>
        <w:spacing w:line="360" w:lineRule="auto"/>
        <w:jc w:val="both"/>
      </w:pPr>
      <w:proofErr w:type="spellStart"/>
      <w:r w:rsidRPr="00516935">
        <w:t>Hormazábal</w:t>
      </w:r>
      <w:proofErr w:type="spellEnd"/>
      <w:r w:rsidRPr="00516935">
        <w:t>-Salgado, R., Whitehead, D., Osman, A.D. and Hills, D., 2024. Person-centred decision-making in mental health: A scoping review. </w:t>
      </w:r>
      <w:r w:rsidRPr="00516935">
        <w:rPr>
          <w:i/>
          <w:iCs/>
        </w:rPr>
        <w:t>Issues in Mental Health Nursing</w:t>
      </w:r>
      <w:r w:rsidRPr="00516935">
        <w:t>, </w:t>
      </w:r>
      <w:r w:rsidRPr="00516935">
        <w:rPr>
          <w:i/>
          <w:iCs/>
        </w:rPr>
        <w:t>45</w:t>
      </w:r>
      <w:r w:rsidRPr="00516935">
        <w:t xml:space="preserve">(3), pp.294-310. </w:t>
      </w:r>
      <w:hyperlink w:history="1" r:id="rId16">
        <w:r w:rsidRPr="00516935">
          <w:rPr>
            <w:rStyle w:val="Hyperlink"/>
          </w:rPr>
          <w:t>https://www.tandfonline.com/doi/pdf/10.1080/01612840.2023.2288181</w:t>
        </w:r>
      </w:hyperlink>
      <w:r w:rsidRPr="00516935">
        <w:t xml:space="preserve"> </w:t>
      </w:r>
    </w:p>
    <w:p w:rsidRPr="00516935" w:rsidR="00516935" w:rsidP="00516935" w:rsidRDefault="00516935" w14:paraId="54D5B02B" w14:textId="77777777">
      <w:pPr>
        <w:spacing w:line="360" w:lineRule="auto"/>
        <w:jc w:val="both"/>
      </w:pPr>
      <w:r w:rsidRPr="00516935">
        <w:lastRenderedPageBreak/>
        <w:t>Li, W., Su, M., Li, Z. and Fan, X., 2025. Facilitators and barriers in the implementation of patient-centred care interventions among general practitioners: a systematic review protocol. </w:t>
      </w:r>
      <w:r w:rsidRPr="00516935">
        <w:rPr>
          <w:i/>
          <w:iCs/>
        </w:rPr>
        <w:t>Health Research Policy and Systems</w:t>
      </w:r>
      <w:r w:rsidRPr="00516935">
        <w:t>, </w:t>
      </w:r>
      <w:r w:rsidRPr="00516935">
        <w:rPr>
          <w:i/>
          <w:iCs/>
        </w:rPr>
        <w:t>23</w:t>
      </w:r>
      <w:r w:rsidRPr="00516935">
        <w:t xml:space="preserve">(1), p.15. </w:t>
      </w:r>
      <w:hyperlink w:history="1" r:id="rId17">
        <w:r w:rsidRPr="00516935">
          <w:rPr>
            <w:rStyle w:val="Hyperlink"/>
          </w:rPr>
          <w:t>https://link.springer.com/content/pdf/10.1186/s12961-024-01277-6.pdf</w:t>
        </w:r>
      </w:hyperlink>
      <w:r w:rsidRPr="00516935">
        <w:t xml:space="preserve"> </w:t>
      </w:r>
    </w:p>
    <w:p w:rsidRPr="00516935" w:rsidR="00516935" w:rsidP="00516935" w:rsidRDefault="00516935" w14:paraId="24D44341" w14:textId="77777777">
      <w:pPr>
        <w:spacing w:line="360" w:lineRule="auto"/>
        <w:jc w:val="both"/>
      </w:pPr>
      <w:r w:rsidRPr="00516935">
        <w:t>Viljoen, A., Leech, R., Slater, P.F. and Heyns, T., 2024. Defining Person-Centred Teamwork: A Concept Analysis. </w:t>
      </w:r>
      <w:r w:rsidRPr="00516935">
        <w:rPr>
          <w:i/>
          <w:iCs/>
        </w:rPr>
        <w:t>Trends in Nursing</w:t>
      </w:r>
      <w:r w:rsidRPr="00516935">
        <w:t>, </w:t>
      </w:r>
      <w:r w:rsidRPr="00516935">
        <w:rPr>
          <w:i/>
          <w:iCs/>
        </w:rPr>
        <w:t>4</w:t>
      </w:r>
      <w:r w:rsidRPr="00516935">
        <w:t xml:space="preserve">(1), p.73. </w:t>
      </w:r>
      <w:hyperlink w:history="1" r:id="rId18">
        <w:r w:rsidRPr="00516935">
          <w:rPr>
            <w:rStyle w:val="Hyperlink"/>
          </w:rPr>
          <w:t>https://pure.ulster.ac.uk/ws/portalfiles/portal/215810732/73-Article_Text-373-1-10-20241205.pdf</w:t>
        </w:r>
      </w:hyperlink>
      <w:r w:rsidRPr="00516935">
        <w:t xml:space="preserve"> </w:t>
      </w:r>
    </w:p>
    <w:p w:rsidRPr="00516935" w:rsidR="00516935" w:rsidP="00516935" w:rsidRDefault="00516935" w14:paraId="7E24E216" w14:textId="77777777">
      <w:pPr>
        <w:spacing w:line="360" w:lineRule="auto"/>
        <w:jc w:val="both"/>
        <w:rPr>
          <w:i/>
          <w:iCs/>
          <w:lang w:val="en-IN"/>
        </w:rPr>
      </w:pPr>
      <w:r w:rsidRPr="00516935">
        <w:t xml:space="preserve">WHO, 2026, </w:t>
      </w:r>
      <w:r w:rsidRPr="00516935">
        <w:rPr>
          <w:rFonts w:ascii="Times New Roman" w:hAnsi="Times New Roman" w:eastAsia="Times New Roman" w:cs="Times New Roman"/>
          <w:i/>
          <w:iCs/>
          <w:lang w:val="en-IN"/>
        </w:rPr>
        <w:t>Integrated people-centred care</w:t>
      </w:r>
      <w:r w:rsidRPr="00516935">
        <w:rPr>
          <w:lang w:val="en-IN"/>
        </w:rPr>
        <w:t xml:space="preserve">, Available at: </w:t>
      </w:r>
      <w:hyperlink w:history="1" r:id="rId19">
        <w:r w:rsidRPr="00516935">
          <w:rPr>
            <w:rStyle w:val="Hyperlink"/>
          </w:rPr>
          <w:t>World Health Organization (2021) Global Strategy on Integrated People-Centred Health Services. Geneva: World Health Organization.</w:t>
        </w:r>
      </w:hyperlink>
      <w:r w:rsidRPr="00516935">
        <w:t xml:space="preserve"> </w:t>
      </w:r>
    </w:p>
    <w:p w:rsidRPr="00516935" w:rsidR="00516935" w:rsidP="00516935" w:rsidRDefault="00516935" w14:paraId="68025F26" w14:textId="77777777">
      <w:pPr>
        <w:spacing w:line="360" w:lineRule="auto"/>
        <w:jc w:val="both"/>
      </w:pPr>
      <w:r w:rsidRPr="00516935">
        <w:t>McCormack, B. ed., 2024. </w:t>
      </w:r>
      <w:r w:rsidRPr="00516935">
        <w:rPr>
          <w:i/>
          <w:iCs/>
        </w:rPr>
        <w:t>Developing Person-centred Cultures in Healthcare Education and Practice: An Essential Guide</w:t>
      </w:r>
      <w:r w:rsidRPr="00516935">
        <w:t xml:space="preserve">. John Wiley &amp; Sons. </w:t>
      </w:r>
      <w:hyperlink w:history="1" r:id="rId20">
        <w:r w:rsidRPr="00516935">
          <w:rPr>
            <w:rStyle w:val="Hyperlink"/>
          </w:rPr>
          <w:t>https://books.google.com/books?hl=en&amp;lr=&amp;id=JBT5EAAAQBAJ&amp;oi=fnd&amp;pg=PR9&amp;dq=McCormack,+B.+(2024)+Developing+Person-centred+Cultures+in+Healthcare+Education+and+Practice:+An+Essential+Guide.+Oxford:+Wiley+Blackwell.&amp;ots=iVW3-aM4IA&amp;sig=-3lTorXUNrnLrDYBnncifpqYjnc</w:t>
        </w:r>
      </w:hyperlink>
      <w:r w:rsidRPr="00516935">
        <w:t xml:space="preserve"> </w:t>
      </w:r>
    </w:p>
    <w:p w:rsidRPr="00516935" w:rsidR="00516935" w:rsidP="00516935" w:rsidRDefault="00516935" w14:paraId="3E092A11" w14:textId="77777777">
      <w:pPr>
        <w:spacing w:line="360" w:lineRule="auto"/>
        <w:jc w:val="both"/>
        <w:rPr>
          <w:lang w:val="en-IN"/>
        </w:rPr>
      </w:pPr>
      <w:r w:rsidRPr="00516935">
        <w:t xml:space="preserve">Health Foundation, 2022, </w:t>
      </w:r>
      <w:r w:rsidRPr="00516935">
        <w:rPr>
          <w:rFonts w:ascii="Times New Roman" w:hAnsi="Times New Roman" w:eastAsia="Times New Roman" w:cs="Times New Roman"/>
          <w:i/>
          <w:iCs/>
          <w:lang w:val="en-IN"/>
        </w:rPr>
        <w:t>Person-centred care made simple</w:t>
      </w:r>
      <w:r w:rsidRPr="00516935">
        <w:t xml:space="preserve">, Available at: </w:t>
      </w:r>
      <w:hyperlink w:history="1" r:id="rId21">
        <w:r w:rsidRPr="00516935">
          <w:rPr>
            <w:rStyle w:val="Hyperlink"/>
          </w:rPr>
          <w:t>Health Foundation (2022) Person-centred Care Made Simple. London: The Health Foundation.</w:t>
        </w:r>
      </w:hyperlink>
      <w:r w:rsidRPr="00516935">
        <w:t xml:space="preserve"> </w:t>
      </w:r>
    </w:p>
    <w:p w:rsidRPr="00516935" w:rsidR="00516935" w:rsidP="00516935" w:rsidRDefault="00516935" w14:paraId="009FB249" w14:textId="77777777">
      <w:pPr>
        <w:spacing w:line="360" w:lineRule="auto"/>
        <w:jc w:val="both"/>
      </w:pPr>
      <w:r w:rsidRPr="00516935">
        <w:t>Ham, C., 2024. </w:t>
      </w:r>
      <w:r w:rsidRPr="00516935">
        <w:rPr>
          <w:i/>
          <w:iCs/>
        </w:rPr>
        <w:t>Health policy in Britain: The politics and organization of the National Health Service</w:t>
      </w:r>
      <w:r w:rsidRPr="00516935">
        <w:t xml:space="preserve">. Routledge. </w:t>
      </w:r>
      <w:hyperlink w:history="1" r:id="rId22">
        <w:r w:rsidRPr="00516935">
          <w:rPr>
            <w:rStyle w:val="Hyperlink"/>
          </w:rPr>
          <w:t>https://www.taylorfrancis.com/books/mono/10.4324/9781003571896/health-policy-britain-christopher-ham</w:t>
        </w:r>
      </w:hyperlink>
      <w:r w:rsidRPr="00516935">
        <w:t xml:space="preserve"> </w:t>
      </w:r>
    </w:p>
    <w:p w:rsidRPr="00516935" w:rsidR="00516935" w:rsidP="00516935" w:rsidRDefault="00516935" w14:paraId="10AB8F17" w14:textId="77777777"/>
    <w:p w:rsidRPr="00516935" w:rsidR="00340C0E" w:rsidRDefault="00340C0E" w14:paraId="00000057" w14:textId="77777777">
      <w:pPr>
        <w:spacing w:line="360" w:lineRule="auto"/>
        <w:jc w:val="both"/>
      </w:pPr>
    </w:p>
    <w:p w:rsidR="00340C0E" w:rsidRDefault="00340C0E" w14:paraId="00000058" w14:textId="77777777">
      <w:pPr>
        <w:spacing w:line="360" w:lineRule="auto"/>
        <w:jc w:val="both"/>
      </w:pPr>
    </w:p>
    <w:sectPr w:rsidR="00340C0E" w:rsidSect="00DC1024">
      <w:footerReference w:type="default" r:id="rId23"/>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516935" w:rsidR="00822708" w:rsidP="00516935" w:rsidRDefault="00822708" w14:paraId="105C20A9" w14:textId="77777777">
      <w:pPr>
        <w:spacing w:line="240" w:lineRule="auto"/>
      </w:pPr>
      <w:r w:rsidRPr="00516935">
        <w:separator/>
      </w:r>
    </w:p>
  </w:endnote>
  <w:endnote w:type="continuationSeparator" w:id="0">
    <w:p w:rsidRPr="00516935" w:rsidR="00822708" w:rsidP="00516935" w:rsidRDefault="00822708" w14:paraId="5B0251B9" w14:textId="77777777">
      <w:pPr>
        <w:spacing w:line="240" w:lineRule="auto"/>
      </w:pPr>
      <w:r w:rsidRPr="0051693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3F4681A5-0B9D-4EAE-A4EA-6F4145104DDC}" r:id="rId1"/>
  </w:font>
  <w:font w:name="Cambria">
    <w:panose1 w:val="02040503050406030204"/>
    <w:charset w:val="00"/>
    <w:family w:val="roman"/>
    <w:pitch w:val="variable"/>
    <w:sig w:usb0="E00006FF" w:usb1="420024FF" w:usb2="02000000" w:usb3="00000000" w:csb0="0000019F" w:csb1="00000000"/>
    <w:embedRegular w:fontKey="{22C20AA4-953F-435C-B8A4-94E8C4A489C7}" r:id="rI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4508449"/>
      <w:docPartObj>
        <w:docPartGallery w:val="Page Numbers (Bottom of Page)"/>
        <w:docPartUnique/>
      </w:docPartObj>
    </w:sdtPr>
    <w:sdtContent>
      <w:p w:rsidRPr="00516935" w:rsidR="00516935" w:rsidRDefault="00516935" w14:paraId="08170DDD" w14:textId="57E93F22">
        <w:pPr>
          <w:pStyle w:val="Footer"/>
          <w:jc w:val="right"/>
        </w:pPr>
        <w:r w:rsidRPr="00516935">
          <w:rPr>
            <w:sz w:val="20"/>
            <w:szCs w:val="20"/>
          </w:rPr>
          <w:fldChar w:fldCharType="begin"/>
        </w:r>
        <w:r w:rsidRPr="00516935">
          <w:rPr>
            <w:sz w:val="20"/>
            <w:szCs w:val="20"/>
          </w:rPr>
          <w:instrText xml:space="preserve"> PAGE   \* MERGEFORMAT </w:instrText>
        </w:r>
        <w:r w:rsidRPr="00516935">
          <w:rPr>
            <w:sz w:val="20"/>
            <w:szCs w:val="20"/>
          </w:rPr>
          <w:fldChar w:fldCharType="separate"/>
        </w:r>
        <w:r w:rsidRPr="00516935">
          <w:rPr>
            <w:sz w:val="20"/>
            <w:szCs w:val="20"/>
          </w:rPr>
          <w:t>2</w:t>
        </w:r>
        <w:r w:rsidRPr="00516935">
          <w:rPr>
            <w:sz w:val="20"/>
            <w:szCs w:val="20"/>
          </w:rPr>
          <w:fldChar w:fldCharType="end"/>
        </w:r>
      </w:p>
    </w:sdtContent>
  </w:sdt>
  <w:p w:rsidRPr="00516935" w:rsidR="00516935" w:rsidRDefault="00516935" w14:paraId="7162728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516935" w:rsidR="00822708" w:rsidP="00516935" w:rsidRDefault="00822708" w14:paraId="0B8C27D7" w14:textId="77777777">
      <w:pPr>
        <w:spacing w:line="240" w:lineRule="auto"/>
      </w:pPr>
      <w:r w:rsidRPr="00516935">
        <w:separator/>
      </w:r>
    </w:p>
  </w:footnote>
  <w:footnote w:type="continuationSeparator" w:id="0">
    <w:p w:rsidRPr="00516935" w:rsidR="00822708" w:rsidP="00516935" w:rsidRDefault="00822708" w14:paraId="47F58642" w14:textId="77777777">
      <w:pPr>
        <w:spacing w:line="240" w:lineRule="auto"/>
      </w:pPr>
      <w:r w:rsidRPr="00516935">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0C0E"/>
    <w:rsid w:val="00000000"/>
    <w:rsid w:val="00340C0E"/>
    <w:rsid w:val="00464733"/>
    <w:rsid w:val="00516935"/>
    <w:rsid w:val="00822708"/>
    <w:rsid w:val="00DC1024"/>
    <w:rsid w:val="135E8D13"/>
    <w:rsid w:val="14038843"/>
    <w:rsid w:val="182697D2"/>
    <w:rsid w:val="1A69D248"/>
    <w:rsid w:val="1BA88314"/>
    <w:rsid w:val="1EDFC3A2"/>
    <w:rsid w:val="2885715D"/>
    <w:rsid w:val="2C516F3B"/>
    <w:rsid w:val="2D30122A"/>
    <w:rsid w:val="2E91D0A4"/>
    <w:rsid w:val="32FA07DE"/>
    <w:rsid w:val="355A1B33"/>
    <w:rsid w:val="36D29305"/>
    <w:rsid w:val="3B70ABC9"/>
    <w:rsid w:val="3DB01EF7"/>
    <w:rsid w:val="4A13D68B"/>
    <w:rsid w:val="509FD4CD"/>
    <w:rsid w:val="52DFD8A5"/>
    <w:rsid w:val="58DA7E1F"/>
    <w:rsid w:val="5926ECAC"/>
    <w:rsid w:val="5A5785CF"/>
    <w:rsid w:val="625E271A"/>
    <w:rsid w:val="6332AC1F"/>
    <w:rsid w:val="642C886E"/>
    <w:rsid w:val="6B26B66D"/>
    <w:rsid w:val="74185930"/>
    <w:rsid w:val="751632F6"/>
    <w:rsid w:val="78C4584B"/>
    <w:rsid w:val="79BD4F05"/>
    <w:rsid w:val="7B857841"/>
    <w:rsid w:val="7C6FBEC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CC1CB"/>
  <w15:docId w15:val="{E93FB7D4-057C-44BA-B26C-DEF3EA911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uiPriority w:val="9"/>
    <w:qFormat/>
    <w:rsid w:val="00516935"/>
    <w:pPr>
      <w:keepNext/>
      <w:keepLines/>
      <w:spacing w:before="400" w:after="120" w:line="360" w:lineRule="auto"/>
      <w:jc w:val="both"/>
      <w:outlineLvl w:val="0"/>
    </w:pPr>
    <w:rPr>
      <w:b/>
      <w:sz w:val="28"/>
      <w:szCs w:val="40"/>
    </w:rPr>
  </w:style>
  <w:style w:type="paragraph" w:styleId="Heading2">
    <w:name w:val="heading 2"/>
    <w:basedOn w:val="Normal"/>
    <w:next w:val="Normal"/>
    <w:uiPriority w:val="9"/>
    <w:unhideWhenUsed/>
    <w:qFormat/>
    <w:rsid w:val="00516935"/>
    <w:pPr>
      <w:keepNext/>
      <w:keepLines/>
      <w:spacing w:before="360" w:after="120" w:line="360" w:lineRule="auto"/>
      <w:jc w:val="both"/>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516935"/>
    <w:pPr>
      <w:tabs>
        <w:tab w:val="center" w:pos="4513"/>
        <w:tab w:val="right" w:pos="9026"/>
      </w:tabs>
      <w:spacing w:line="240" w:lineRule="auto"/>
    </w:pPr>
  </w:style>
  <w:style w:type="character" w:styleId="HeaderChar" w:customStyle="1">
    <w:name w:val="Header Char"/>
    <w:basedOn w:val="DefaultParagraphFont"/>
    <w:link w:val="Header"/>
    <w:uiPriority w:val="99"/>
    <w:rsid w:val="00516935"/>
  </w:style>
  <w:style w:type="paragraph" w:styleId="Footer">
    <w:name w:val="footer"/>
    <w:basedOn w:val="Normal"/>
    <w:link w:val="FooterChar"/>
    <w:uiPriority w:val="99"/>
    <w:unhideWhenUsed/>
    <w:rsid w:val="00516935"/>
    <w:pPr>
      <w:tabs>
        <w:tab w:val="center" w:pos="4513"/>
        <w:tab w:val="right" w:pos="9026"/>
      </w:tabs>
      <w:spacing w:line="240" w:lineRule="auto"/>
    </w:pPr>
  </w:style>
  <w:style w:type="character" w:styleId="FooterChar" w:customStyle="1">
    <w:name w:val="Footer Char"/>
    <w:basedOn w:val="DefaultParagraphFont"/>
    <w:link w:val="Footer"/>
    <w:uiPriority w:val="99"/>
    <w:rsid w:val="00516935"/>
  </w:style>
  <w:style w:type="character" w:styleId="Hyperlink">
    <w:name w:val="Hyperlink"/>
    <w:basedOn w:val="DefaultParagraphFont"/>
    <w:uiPriority w:val="99"/>
    <w:unhideWhenUsed/>
    <w:rsid w:val="00516935"/>
    <w:rPr>
      <w:color w:val="0000FF" w:themeColor="hyperlink"/>
      <w:u w:val="single"/>
    </w:rPr>
  </w:style>
  <w:style w:type="paragraph" w:styleId="TOCHeading">
    <w:name w:val="TOC Heading"/>
    <w:basedOn w:val="Heading1"/>
    <w:next w:val="Normal"/>
    <w:uiPriority w:val="39"/>
    <w:unhideWhenUsed/>
    <w:qFormat/>
    <w:rsid w:val="00DC1024"/>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C1024"/>
    <w:pPr>
      <w:spacing w:after="100"/>
    </w:pPr>
  </w:style>
  <w:style w:type="paragraph" w:styleId="TOC2">
    <w:name w:val="toc 2"/>
    <w:basedOn w:val="Normal"/>
    <w:next w:val="Normal"/>
    <w:autoRedefine/>
    <w:uiPriority w:val="39"/>
    <w:unhideWhenUsed/>
    <w:rsid w:val="00DC102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onlinelibrary.wiley.com/doi/pdf/10.1111/iwj.70687" TargetMode="External" Id="rId8" /><Relationship Type="http://schemas.openxmlformats.org/officeDocument/2006/relationships/hyperlink" Target="https://cmls.org.uk/online/wp-content/uploads/2019/07/Understanding-health-and-social-care.pdf" TargetMode="External" Id="rId13" /><Relationship Type="http://schemas.openxmlformats.org/officeDocument/2006/relationships/hyperlink" Target="https://pure.ulster.ac.uk/ws/portalfiles/portal/215810732/73-Article_Text-373-1-10-20241205.pdf" TargetMode="External" Id="rId18" /><Relationship Type="http://schemas.openxmlformats.org/officeDocument/2006/relationships/settings" Target="settings.xml" Id="rId3" /><Relationship Type="http://schemas.openxmlformats.org/officeDocument/2006/relationships/hyperlink" Target="https://www.health.org.uk/resources-and-toolkits/quick-guides/person-centred-care-made-simple" TargetMode="External" Id="rId21" /><Relationship Type="http://schemas.openxmlformats.org/officeDocument/2006/relationships/hyperlink" Target="https://www.tandfonline.com/doi/pdf/10.1080/13561820.2024.2405550" TargetMode="External" Id="rId12" /><Relationship Type="http://schemas.openxmlformats.org/officeDocument/2006/relationships/hyperlink" Target="https://link.springer.com/content/pdf/10.1186/s12961-024-01277-6.pdf" TargetMode="External" Id="rId17" /><Relationship Type="http://schemas.openxmlformats.org/officeDocument/2006/relationships/theme" Target="theme/theme1.xml" Id="rId25" /><Relationship Type="http://schemas.openxmlformats.org/officeDocument/2006/relationships/styles" Target="styles.xml" Id="rId2" /><Relationship Type="http://schemas.openxmlformats.org/officeDocument/2006/relationships/hyperlink" Target="https://www.tandfonline.com/doi/pdf/10.1080/01612840.2023.2288181" TargetMode="External" Id="rId16" /><Relationship Type="http://schemas.openxmlformats.org/officeDocument/2006/relationships/hyperlink" Target="https://books.google.com/books?hl=en&amp;lr=&amp;id=JBT5EAAAQBAJ&amp;oi=fnd&amp;pg=PR9&amp;dq=McCormack,+B.+(2024)+Developing+Person-centred+Cultures+in+Healthcare+Education+and+Practice:+An+Essential+Guide.+Oxford:+Wiley+Blackwell.&amp;ots=iVW3-aM4IA&amp;sig=-3lTorXUNrnLrDYBnncifpqYjnc" TargetMode="External"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www.researchgate.net/profile/Lucille-Kelsall-Knight/publication/376522858_Exploring_the_implementation_of_person-centred_care_in_nursing_practice/links/65f2cea6286738732d3e5ef0/Exploring-the-implementation-of-person-centred-care-in-nursing-practice.pdf" TargetMode="External" Id="rId11" /><Relationship Type="http://schemas.openxmlformats.org/officeDocument/2006/relationships/fontTable" Target="fontTable.xml" Id="rId24" /><Relationship Type="http://schemas.openxmlformats.org/officeDocument/2006/relationships/footnotes" Target="footnotes.xml" Id="rId5" /><Relationship Type="http://schemas.openxmlformats.org/officeDocument/2006/relationships/hyperlink" Target="https://www.mdpi.com/2001-6689/13/2/28" TargetMode="External" Id="rId15" /><Relationship Type="http://schemas.openxmlformats.org/officeDocument/2006/relationships/footer" Target="footer1.xml" Id="rId23" /><Relationship Type="http://schemas.openxmlformats.org/officeDocument/2006/relationships/hyperlink" Target="https://books.google.com/books?hl=en&amp;lr=&amp;id=JBT5EAAAQBAJ&amp;oi=fnd&amp;pg=PR9&amp;dq=+Fundamentals+of+Person-Centred+Healthcare+Practice.+Oxford:+Wiley+Blackwell.&amp;ots=iVW3-aM_IE&amp;sig=G6HLUpduf3gJguNrDWdPpC3At8o" TargetMode="External" Id="rId10" /><Relationship Type="http://schemas.openxmlformats.org/officeDocument/2006/relationships/hyperlink" Target="https://www.who.int/health-topics/integrated-people-centered-care" TargetMode="External" Id="rId19" /><Relationship Type="http://schemas.openxmlformats.org/officeDocument/2006/relationships/webSettings" Target="webSettings.xml" Id="rId4" /><Relationship Type="http://schemas.openxmlformats.org/officeDocument/2006/relationships/hyperlink" Target="https://journals.sagepub.com/doi/pdf/10.1177/17449871241281428" TargetMode="External" Id="rId9" /><Relationship Type="http://schemas.openxmlformats.org/officeDocument/2006/relationships/hyperlink" Target="https://cmls.org.uk/online/wp-content/uploads/2019/07/Understanding-health-and-social-care.pdf" TargetMode="External" Id="rId14" /><Relationship Type="http://schemas.openxmlformats.org/officeDocument/2006/relationships/hyperlink" Target="https://www.taylorfrancis.com/books/mono/10.4324/9781003571896/health-policy-britain-christopher-ham" TargetMode="External" Id="rId22"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0A1797-428C-4EDE-B349-27780F7FB27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Nigget Saddiq (2441030)</lastModifiedBy>
  <revision>4</revision>
  <dcterms:created xsi:type="dcterms:W3CDTF">2026-06-26T09:36:00.0000000Z</dcterms:created>
  <dcterms:modified xsi:type="dcterms:W3CDTF">2026-07-03T09:40:51.7552199Z</dcterms:modified>
</coreProperties>
</file>