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8EC87" w14:textId="6C00F381" w:rsidR="009E4279" w:rsidRPr="009E4279" w:rsidRDefault="009E4279" w:rsidP="004C68D5">
      <w:pPr>
        <w:jc w:val="center"/>
      </w:pPr>
      <w:r>
        <w:t>Critically analyse whether Seneca wrote the ‘</w:t>
      </w:r>
      <w:r>
        <w:rPr>
          <w:i/>
        </w:rPr>
        <w:t>Apocolocyntosis’</w:t>
      </w:r>
      <w:r>
        <w:t xml:space="preserve"> and what </w:t>
      </w:r>
      <w:r w:rsidR="004C68D5">
        <w:t>purposes this work may have served.</w:t>
      </w:r>
    </w:p>
    <w:p w14:paraId="67E85807" w14:textId="76F43E09" w:rsidR="00A052C1" w:rsidRPr="00D3375B" w:rsidRDefault="00CB2FAE">
      <w:r>
        <w:t>The issue as to the true authorship of the work we have come to know as the Apocolocyntosis via Cassius Dio</w:t>
      </w:r>
      <w:r>
        <w:rPr>
          <w:rStyle w:val="FootnoteReference"/>
        </w:rPr>
        <w:footnoteReference w:id="1"/>
      </w:r>
      <w:r>
        <w:t xml:space="preserve"> or </w:t>
      </w:r>
      <w:r w:rsidRPr="00507F58">
        <w:rPr>
          <w:i/>
        </w:rPr>
        <w:t>Ludus de morte Divi Claudii</w:t>
      </w:r>
      <w:r w:rsidR="00D3375B">
        <w:rPr>
          <w:rStyle w:val="FootnoteReference"/>
          <w:i/>
        </w:rPr>
        <w:footnoteReference w:id="2"/>
      </w:r>
      <w:r w:rsidR="00BE70BE">
        <w:rPr>
          <w:i/>
        </w:rPr>
        <w:t xml:space="preserve"> </w:t>
      </w:r>
      <w:r w:rsidR="00D3375B">
        <w:t>via the manuscript tradition is perhaps best described by Rouse in his 1913 translation of the work who put rather succinctly that “it is</w:t>
      </w:r>
      <w:r w:rsidR="00D3375B" w:rsidRPr="00D3375B">
        <w:t xml:space="preserve"> </w:t>
      </w:r>
      <w:r w:rsidR="00D3375B" w:rsidRPr="002E39DD">
        <w:t>impossible to prove that it is his, and impossible to prove that it is not</w:t>
      </w:r>
      <w:r w:rsidR="00D3375B">
        <w:t>”</w:t>
      </w:r>
      <w:r w:rsidR="00D3375B">
        <w:rPr>
          <w:rStyle w:val="FootnoteReference"/>
        </w:rPr>
        <w:footnoteReference w:id="3"/>
      </w:r>
      <w:r w:rsidR="00D3375B">
        <w:t>. Whilst the consensus amongst scholars is that there is not a great deal to proscribe against this text having been written by Seneca</w:t>
      </w:r>
      <w:r w:rsidR="00B2032B">
        <w:t>,</w:t>
      </w:r>
      <w:r w:rsidR="00D3375B">
        <w:t xml:space="preserve"> the core of the </w:t>
      </w:r>
      <w:r w:rsidR="00B2032B">
        <w:t xml:space="preserve">debate comes down to three factors: the validity of the attribution of the text to Seneca made by Cassius Dio and the true meaning of the name, the style of writing and finally whether this polemic on Claudius can be compatible with other texts definitely written by Seneca in praise of </w:t>
      </w:r>
      <w:r w:rsidR="00803658">
        <w:t>Claudius</w:t>
      </w:r>
      <w:r w:rsidR="00803658">
        <w:rPr>
          <w:rStyle w:val="FootnoteReference"/>
        </w:rPr>
        <w:footnoteReference w:id="4"/>
      </w:r>
      <w:r w:rsidR="00803658">
        <w:t xml:space="preserve">. indefinitely more </w:t>
      </w:r>
      <w:r w:rsidR="000A63C7">
        <w:t>interesting</w:t>
      </w:r>
      <w:r w:rsidR="00803658">
        <w:t xml:space="preserve"> than attempting to conclusively answer an ultimately circular debate on who wrote what</w:t>
      </w:r>
      <w:r w:rsidR="002B2B13">
        <w:t>,</w:t>
      </w:r>
      <w:r w:rsidR="00803658">
        <w:t xml:space="preserve"> is to tackle the question of the purpose behind the </w:t>
      </w:r>
      <w:r w:rsidR="00803658" w:rsidRPr="009F6FCC">
        <w:rPr>
          <w:i/>
        </w:rPr>
        <w:t>Apocolocyntosis</w:t>
      </w:r>
      <w:r w:rsidR="000A63C7">
        <w:t xml:space="preserve">. </w:t>
      </w:r>
      <w:r w:rsidR="002B2B13">
        <w:t>Whether</w:t>
      </w:r>
      <w:r w:rsidR="000A63C7">
        <w:t xml:space="preserve"> it</w:t>
      </w:r>
      <w:r w:rsidR="002B2B13">
        <w:t xml:space="preserve"> is</w:t>
      </w:r>
      <w:r w:rsidR="000A63C7">
        <w:t xml:space="preserve"> simply Seneca lampooning the </w:t>
      </w:r>
      <w:r w:rsidR="002B2B13">
        <w:t xml:space="preserve">character of the </w:t>
      </w:r>
      <w:r w:rsidR="000A63C7">
        <w:t xml:space="preserve">old Emperor Claudius for comedic relief whilst lavishing tribute on the young Nero in </w:t>
      </w:r>
      <w:r w:rsidR="002B2B13">
        <w:t>order</w:t>
      </w:r>
      <w:r w:rsidR="000A63C7">
        <w:t xml:space="preserve"> to consolidate his new-found political power</w:t>
      </w:r>
      <w:r w:rsidR="002B2B13">
        <w:t xml:space="preserve"> or not; this essay will also </w:t>
      </w:r>
      <w:r w:rsidR="000A63C7">
        <w:t>attempt to explore the philosophical and significance behind</w:t>
      </w:r>
      <w:r w:rsidR="002B2B13">
        <w:t xml:space="preserve"> the </w:t>
      </w:r>
      <w:r w:rsidR="002B2B13" w:rsidRPr="009F6FCC">
        <w:rPr>
          <w:i/>
        </w:rPr>
        <w:t>Apocolocyntosis</w:t>
      </w:r>
      <w:r w:rsidR="002B2B13">
        <w:t xml:space="preserve"> to provide a conclusion</w:t>
      </w:r>
      <w:r w:rsidR="003169FB">
        <w:t xml:space="preserve"> </w:t>
      </w:r>
      <w:bookmarkStart w:id="0" w:name="_GoBack"/>
      <w:bookmarkEnd w:id="0"/>
      <w:r w:rsidR="002B2B13">
        <w:t xml:space="preserve">as to the possible purposes of </w:t>
      </w:r>
      <w:r w:rsidR="009F6FCC">
        <w:t>this work.</w:t>
      </w:r>
    </w:p>
    <w:p w14:paraId="34484137" w14:textId="77777777" w:rsidR="00C923E8" w:rsidRDefault="009F6FCC">
      <w:r>
        <w:t xml:space="preserve">Is the text referred to </w:t>
      </w:r>
      <w:r w:rsidR="00507F58">
        <w:t>i</w:t>
      </w:r>
      <w:r>
        <w:t>n</w:t>
      </w:r>
      <w:r w:rsidR="00507F58">
        <w:t xml:space="preserve"> the manuscript tradition </w:t>
      </w:r>
      <w:r>
        <w:t>the ‘</w:t>
      </w:r>
      <w:r w:rsidR="00507F58" w:rsidRPr="00507F58">
        <w:rPr>
          <w:i/>
        </w:rPr>
        <w:t>Ludus de morte Divi Claudii</w:t>
      </w:r>
      <w:r>
        <w:rPr>
          <w:i/>
        </w:rPr>
        <w:t>’</w:t>
      </w:r>
      <w:r>
        <w:rPr>
          <w:rStyle w:val="FootnoteReference"/>
          <w:i/>
        </w:rPr>
        <w:footnoteReference w:id="5"/>
      </w:r>
      <w:r w:rsidR="00507F58">
        <w:rPr>
          <w:i/>
        </w:rPr>
        <w:t xml:space="preserve"> </w:t>
      </w:r>
      <w:r w:rsidR="00507F58">
        <w:t xml:space="preserve">the same text Cassius Dio would </w:t>
      </w:r>
      <w:r>
        <w:t>dub</w:t>
      </w:r>
      <w:r w:rsidR="00507F58">
        <w:t xml:space="preserve"> the </w:t>
      </w:r>
      <w:r w:rsidR="00507F58" w:rsidRPr="009F6FCC">
        <w:rPr>
          <w:i/>
        </w:rPr>
        <w:t>Apocolocyntosis</w:t>
      </w:r>
      <w:r w:rsidR="009C7F7F">
        <w:t xml:space="preserve"> </w:t>
      </w:r>
      <w:r>
        <w:t>or ‘pumpkinification’</w:t>
      </w:r>
      <w:r>
        <w:rPr>
          <w:rStyle w:val="FootnoteReference"/>
        </w:rPr>
        <w:footnoteReference w:id="6"/>
      </w:r>
      <w:r>
        <w:t xml:space="preserve"> </w:t>
      </w:r>
      <w:r w:rsidR="009C7F7F">
        <w:t xml:space="preserve">and attribute to Seneca? Sullivan claims that there is </w:t>
      </w:r>
      <w:r w:rsidR="004F074D">
        <w:t>“little</w:t>
      </w:r>
      <w:r w:rsidR="009C7F7F">
        <w:t xml:space="preserve"> reason</w:t>
      </w:r>
      <w:r w:rsidR="004F074D">
        <w:t>”</w:t>
      </w:r>
      <w:r w:rsidR="00C923E8">
        <w:rPr>
          <w:rStyle w:val="FootnoteReference"/>
        </w:rPr>
        <w:footnoteReference w:id="7"/>
      </w:r>
      <w:r w:rsidR="009C7F7F">
        <w:t xml:space="preserve"> to doubt </w:t>
      </w:r>
      <w:r w:rsidR="004F074D">
        <w:t>Cassius Dio in his attribution of the work</w:t>
      </w:r>
      <w:r w:rsidR="004C68D5">
        <w:rPr>
          <w:rStyle w:val="FootnoteReference"/>
        </w:rPr>
        <w:footnoteReference w:id="8"/>
      </w:r>
      <w:r w:rsidR="004F074D">
        <w:t xml:space="preserve"> and lays out the possible reason</w:t>
      </w:r>
      <w:r w:rsidR="004C6706">
        <w:t xml:space="preserve">s </w:t>
      </w:r>
      <w:r w:rsidR="004F074D">
        <w:t xml:space="preserve">one may cast aspersions on the </w:t>
      </w:r>
      <w:r w:rsidR="004C6706">
        <w:t>assumption that the work is indeed by Seneca’s hand</w:t>
      </w:r>
      <w:r w:rsidR="004F074D">
        <w:t>.</w:t>
      </w:r>
      <w:r w:rsidR="004C6706">
        <w:t xml:space="preserve"> </w:t>
      </w:r>
      <w:r w:rsidR="00C923E8">
        <w:t xml:space="preserve">The three debates that being looked at here shall be the significance of the writing style presented in the text, the titular ‘pumpkinification’ and the lack thereof a metamorphosis into a pumpkin in addition to the compatibility of the presentation of Claudius between the Apocolocyntosis and Seneca’s other works. </w:t>
      </w:r>
    </w:p>
    <w:p w14:paraId="0A9F3AD8" w14:textId="50663FDD" w:rsidR="00C923E8" w:rsidRDefault="00C923E8">
      <w:r>
        <w:t xml:space="preserve">There is a discrepancy in the fact that the name Cassius Dio gives to the text is literally ‘Gourdification’ despite </w:t>
      </w:r>
      <w:r w:rsidR="00BF3824">
        <w:t>the work containing no reference to any literal gourd, however I am of the conviction that this can be explained. The more common explanation of the title of this work, as given by Rouse</w:t>
      </w:r>
      <w:r w:rsidR="00BF3824">
        <w:rPr>
          <w:rStyle w:val="FootnoteReference"/>
        </w:rPr>
        <w:footnoteReference w:id="9"/>
      </w:r>
      <w:r w:rsidR="00BF3824">
        <w:t xml:space="preserve"> in the introduction to his 1913 translation of the text, is that the word ‘</w:t>
      </w:r>
      <w:r w:rsidR="00BF3824" w:rsidRPr="00170FA6">
        <w:rPr>
          <w:i/>
        </w:rPr>
        <w:t>Apocolocyntosis</w:t>
      </w:r>
      <w:r w:rsidR="00BF3824">
        <w:t>’ is a play on the word ‘</w:t>
      </w:r>
      <w:r w:rsidR="00BF3824" w:rsidRPr="00170FA6">
        <w:rPr>
          <w:i/>
        </w:rPr>
        <w:t>Apotheosis</w:t>
      </w:r>
      <w:r w:rsidR="00BF3824">
        <w:t xml:space="preserve">’ or </w:t>
      </w:r>
      <w:r w:rsidR="00170FA6">
        <w:t>“</w:t>
      </w:r>
      <w:r w:rsidR="00BF3824">
        <w:t xml:space="preserve">the elevation of </w:t>
      </w:r>
      <w:r w:rsidR="00170FA6">
        <w:t xml:space="preserve">someone </w:t>
      </w:r>
      <w:r w:rsidR="00BF3824">
        <w:t>to divine status</w:t>
      </w:r>
      <w:r w:rsidR="00170FA6">
        <w:t>”</w:t>
      </w:r>
      <w:r w:rsidR="00BF3824">
        <w:rPr>
          <w:rStyle w:val="FootnoteReference"/>
        </w:rPr>
        <w:footnoteReference w:id="10"/>
      </w:r>
      <w:r w:rsidR="00170FA6">
        <w:t xml:space="preserve"> holds up best to scrutiny. Two other </w:t>
      </w:r>
      <w:r w:rsidR="00945EC1">
        <w:t>explanations that have been presented are that either Seneca wrote more than one work on the Apotheosis of Claudius, that the missing ‘Gourdification’ is due to the work missing its true ending or that the Gourd is referring to the unusual punishment of a bottomless dice shaker</w:t>
      </w:r>
      <w:r w:rsidR="004468DE">
        <w:rPr>
          <w:rStyle w:val="FootnoteReference"/>
        </w:rPr>
        <w:footnoteReference w:id="11"/>
      </w:r>
      <w:r w:rsidR="00945EC1">
        <w:t xml:space="preserve">. I must agree with Sullivan on this matter </w:t>
      </w:r>
      <w:r w:rsidR="008B7F29">
        <w:t>that quite rightly the ever-succinct Seneca would never write two similar texts when one would do the same job</w:t>
      </w:r>
      <w:r w:rsidR="008B7F29">
        <w:rPr>
          <w:rStyle w:val="FootnoteReference"/>
        </w:rPr>
        <w:footnoteReference w:id="12"/>
      </w:r>
      <w:r w:rsidR="008B7F29">
        <w:t xml:space="preserve"> and that if the Gourd being the dice-shaker sounds abstract to us as a modern audience now it would have sounded equally as absurd to a first-century one too</w:t>
      </w:r>
      <w:r w:rsidR="008B7F29">
        <w:rPr>
          <w:rStyle w:val="FootnoteReference"/>
        </w:rPr>
        <w:footnoteReference w:id="13"/>
      </w:r>
      <w:r w:rsidR="0009566F">
        <w:t>, therefore, It seems beyond reasonable doubt that the title is indeed just a simple bit of witty word-play.</w:t>
      </w:r>
    </w:p>
    <w:p w14:paraId="6D8B71E8" w14:textId="2A8877BC" w:rsidR="00B01F5D" w:rsidRPr="00013503" w:rsidRDefault="008D0FE9" w:rsidP="008D0FE9">
      <w:r>
        <w:t>The only scholar to significantly disagree with the consensus is Bagnani</w:t>
      </w:r>
      <w:r>
        <w:rPr>
          <w:rStyle w:val="FootnoteReference"/>
        </w:rPr>
        <w:footnoteReference w:id="14"/>
      </w:r>
      <w:r>
        <w:t xml:space="preserve">, who attributes the work to Petronius, although this work has not been available for me to view I believe Bagnani’s point to be that the style of this Menippean satire so closely resembles Petronius’s writing style from the </w:t>
      </w:r>
      <w:r w:rsidRPr="008D0FE9">
        <w:rPr>
          <w:i/>
        </w:rPr>
        <w:t>satyricon</w:t>
      </w:r>
      <w:r>
        <w:t xml:space="preserve"> that it must be Petronius from whom this work originates. Furthermore, there are scholars</w:t>
      </w:r>
      <w:r>
        <w:rPr>
          <w:rStyle w:val="FootnoteReference"/>
        </w:rPr>
        <w:footnoteReference w:id="15"/>
      </w:r>
      <w:r>
        <w:t xml:space="preserve"> who rightfully question whether this is the same Seneca lampooning Claudius in the </w:t>
      </w:r>
      <w:r w:rsidRPr="008D0FE9">
        <w:rPr>
          <w:i/>
        </w:rPr>
        <w:t>Apocolocyntosis</w:t>
      </w:r>
      <w:r>
        <w:t xml:space="preserve"> compared to the lavish praise the princeps received in Seneca’s works the ‘</w:t>
      </w:r>
      <w:r>
        <w:rPr>
          <w:i/>
        </w:rPr>
        <w:t xml:space="preserve">consilatio ad polybium’ </w:t>
      </w:r>
      <w:r>
        <w:t>and the funeral speech read by Nero at Claudius’ funeral.</w:t>
      </w:r>
      <w:r w:rsidR="00013503">
        <w:t xml:space="preserve"> I would argue that praise of Claudius in both of these other works makes sense as in the </w:t>
      </w:r>
      <w:r w:rsidR="00013503">
        <w:rPr>
          <w:i/>
        </w:rPr>
        <w:t>‘consilatio ad polybium’</w:t>
      </w:r>
      <w:r w:rsidR="00013503">
        <w:t xml:space="preserve"> he is clearly attempting to regain some favour in the Claudian court in the hope of return from his Corsican exile whilst the funeral speech made by Nero that was reportedly written by Seneca</w:t>
      </w:r>
      <w:r w:rsidR="00013503">
        <w:rPr>
          <w:rStyle w:val="FootnoteReference"/>
        </w:rPr>
        <w:footnoteReference w:id="16"/>
      </w:r>
      <w:r w:rsidR="00B01F5D">
        <w:t xml:space="preserve"> would have been entirely inappropriate for satire unlike the saturnalia festivities which would occur just two months later. Hence whilst it is easy to return to the sentiment from Rouse at the beginning of this essay, as I have shown it can be more than reasonable to suggest that the author of the Apocolocyntosis very plausibly is Seneca.</w:t>
      </w:r>
    </w:p>
    <w:p w14:paraId="188EED7F" w14:textId="430BD9FA" w:rsidR="00DB1AB3" w:rsidRDefault="00B01F5D">
      <w:r>
        <w:t>And what of the Apocolocyntosis’ function? One could simply look at the Apocolocyntosis text and take the view that it is merely a straight forward panegyric given by Seneca to the new emperor Nero; praise is only natural to give to a man who has released you from exile. Seneca certainly had a lot to thank Nero for</w:t>
      </w:r>
      <w:r w:rsidR="00A052C1">
        <w:t>, particularly also his</w:t>
      </w:r>
      <w:r>
        <w:t xml:space="preserve"> elevation to the very top of the new emperor’s closest group of advisors</w:t>
      </w:r>
      <w:r w:rsidR="002D424C">
        <w:t>,</w:t>
      </w:r>
      <w:r>
        <w:t xml:space="preserve"> even going on to gain the political office of suffect consul in 56AD.</w:t>
      </w:r>
      <w:r>
        <w:rPr>
          <w:rStyle w:val="FootnoteReference"/>
        </w:rPr>
        <w:footnoteReference w:id="17"/>
      </w:r>
      <w:r>
        <w:t xml:space="preserve"> It is asserted by most historians that the Apocolocyntosis must have been written sometime close to Claudius’ death</w:t>
      </w:r>
      <w:r w:rsidR="00A052C1">
        <w:t>,</w:t>
      </w:r>
      <w:r>
        <w:t xml:space="preserve"> either in 54AD</w:t>
      </w:r>
      <w:r>
        <w:rPr>
          <w:rStyle w:val="FootnoteReference"/>
        </w:rPr>
        <w:footnoteReference w:id="18"/>
      </w:r>
      <w:r>
        <w:t xml:space="preserve"> or 55AD</w:t>
      </w:r>
      <w:r>
        <w:rPr>
          <w:rStyle w:val="FootnoteReference"/>
        </w:rPr>
        <w:footnoteReference w:id="19"/>
      </w:r>
      <w:r w:rsidR="00A052C1">
        <w:t>,</w:t>
      </w:r>
      <w:r>
        <w:t xml:space="preserve">  and the correct atmosphere for satirising Claudius certainly seems to have existed in the months following his death as both Suetonius</w:t>
      </w:r>
      <w:r>
        <w:rPr>
          <w:rStyle w:val="FootnoteReference"/>
        </w:rPr>
        <w:footnoteReference w:id="20"/>
      </w:r>
      <w:r>
        <w:t xml:space="preserve"> and Cassius Dio</w:t>
      </w:r>
      <w:r>
        <w:rPr>
          <w:rStyle w:val="FootnoteReference"/>
        </w:rPr>
        <w:footnoteReference w:id="21"/>
      </w:r>
      <w:r>
        <w:t xml:space="preserve"> make mention of the various quips made by Seneca, his brother and significantly Nero himself with the now famous “food of the gods” witticism. </w:t>
      </w:r>
      <w:r w:rsidR="00A052C1">
        <w:t xml:space="preserve">One reason why </w:t>
      </w:r>
      <w:r w:rsidR="006D3BAD">
        <w:t>this may have been written by Seneca in the months following Claudius’ death is to highlight the contrast between the characteristics and actions of the two emperors. Whereas the appearance of Claudius is portrayed as evil and merciless, through the template of an incapable and confused old man, the imagery used to describe Nero</w:t>
      </w:r>
      <w:r w:rsidR="005C4F6D">
        <w:t>, including his good looks commonly</w:t>
      </w:r>
      <w:r w:rsidR="00DB1AB3">
        <w:rPr>
          <w:rStyle w:val="FootnoteReference"/>
        </w:rPr>
        <w:footnoteReference w:id="22"/>
      </w:r>
      <w:r w:rsidR="005C4F6D">
        <w:t xml:space="preserve"> related to a virtuous and just ruler, </w:t>
      </w:r>
      <w:r w:rsidR="00DB1AB3">
        <w:t>c</w:t>
      </w:r>
      <w:r w:rsidR="005C4F6D">
        <w:t>lear</w:t>
      </w:r>
      <w:r w:rsidR="00DB1AB3">
        <w:t>ly demonstrates</w:t>
      </w:r>
      <w:r w:rsidR="005C4F6D">
        <w:t xml:space="preserve"> the two </w:t>
      </w:r>
      <w:r w:rsidR="00DB1AB3">
        <w:t xml:space="preserve">opposing characteristics of these two men in power. It can be assumed that to emphasise the failure and incapability of the previous emperor, would ensure that the next reign, that of Nero, would seem more promising in comparison. Even perhaps a return to the days of the divine Augustus. </w:t>
      </w:r>
      <w:r w:rsidR="003F3A8E" w:rsidRPr="003F3A8E">
        <w:t>Comparing the sour character haggard appearance of Claudius to the bright and youthful Nero in the Apocolocyntosis provides an interesting rhetorical device which illuminates all the virtues which a ruler should not inherit.</w:t>
      </w:r>
      <w:r w:rsidR="003F3A8E">
        <w:t xml:space="preserve"> </w:t>
      </w:r>
      <w:r w:rsidR="00DB1AB3">
        <w:t>However</w:t>
      </w:r>
      <w:r w:rsidR="002D424C">
        <w:t>,</w:t>
      </w:r>
      <w:r w:rsidR="00DB1AB3">
        <w:t xml:space="preserve"> another motive explaining why Seneca may have written this piece is that of revenge, with the portrayal </w:t>
      </w:r>
      <w:r w:rsidR="002D424C">
        <w:t xml:space="preserve">of </w:t>
      </w:r>
      <w:r w:rsidR="00DB1AB3">
        <w:t>the previous emperor acting as a f</w:t>
      </w:r>
      <w:r w:rsidR="002D424C">
        <w:t>or</w:t>
      </w:r>
      <w:r w:rsidR="00DB1AB3">
        <w:t>m of mockery. Seneca certainly has motives for desecrating the memory of the newly deified Claudius</w:t>
      </w:r>
      <w:r w:rsidR="005D7190">
        <w:t xml:space="preserve">. </w:t>
      </w:r>
      <w:r w:rsidR="002D424C">
        <w:t>I</w:t>
      </w:r>
      <w:r w:rsidR="005D7190">
        <w:t>t was Claudius</w:t>
      </w:r>
      <w:r w:rsidR="002D424C">
        <w:t xml:space="preserve"> himself,</w:t>
      </w:r>
      <w:r w:rsidR="005D7190">
        <w:t xml:space="preserve"> who sent him in to exile during which Seneca lost both a young son and his mother</w:t>
      </w:r>
      <w:r w:rsidR="000C2376">
        <w:rPr>
          <w:rStyle w:val="FootnoteReference"/>
        </w:rPr>
        <w:footnoteReference w:id="23"/>
      </w:r>
      <w:r w:rsidR="005D7190">
        <w:t xml:space="preserve">. Seneca mocks the whole institution of Apotheosis through the intervention of Augustus’ speech, where he shows utter shame of his own </w:t>
      </w:r>
      <w:r w:rsidR="001E20EC">
        <w:t>deification</w:t>
      </w:r>
      <w:r w:rsidR="005D7190">
        <w:t xml:space="preserve"> if the same </w:t>
      </w:r>
      <w:r w:rsidR="001E20EC">
        <w:t xml:space="preserve">process </w:t>
      </w:r>
      <w:r w:rsidR="005D7190">
        <w:t>is to happen to Claudius, taking into account his character and actions. ‘</w:t>
      </w:r>
      <w:r w:rsidR="005D7190" w:rsidRPr="005D7190">
        <w:t>I am ashamed of my authority</w:t>
      </w:r>
      <w:r w:rsidR="005D7190">
        <w:t>’.</w:t>
      </w:r>
      <w:r w:rsidR="005D7190">
        <w:rPr>
          <w:rStyle w:val="FootnoteReference"/>
        </w:rPr>
        <w:footnoteReference w:id="24"/>
      </w:r>
      <w:r w:rsidR="001E20EC">
        <w:t xml:space="preserve"> </w:t>
      </w:r>
      <w:r w:rsidR="009626B1">
        <w:t xml:space="preserve">The use of Apocolocyntosis as a form of mockery, acts as a </w:t>
      </w:r>
      <w:r w:rsidR="00F10FF6">
        <w:t>platform by which</w:t>
      </w:r>
      <w:r w:rsidR="009626B1">
        <w:t xml:space="preserve"> Seneca</w:t>
      </w:r>
      <w:r w:rsidR="00F10FF6">
        <w:t xml:space="preserve"> conveys his grievance with the past Princeps.</w:t>
      </w:r>
      <w:r w:rsidR="003F3A8E">
        <w:t xml:space="preserve"> This could be seen as a formulae for revenge. By looking at not only the physical but philosophical aspects of the text, it is evident that Seneca is trying to convey and establish a moral code by which new emperors </w:t>
      </w:r>
      <w:r w:rsidR="002D424C">
        <w:t>were to</w:t>
      </w:r>
      <w:r w:rsidR="003F3A8E">
        <w:t xml:space="preserve"> follow, as well as praising and showing thankfulness to Nero for the reversal of Claudius’ actions in relation to exile. </w:t>
      </w:r>
    </w:p>
    <w:p w14:paraId="28CAD79B" w14:textId="0DDD3DAC" w:rsidR="000C2376" w:rsidRDefault="00E47FD3">
      <w:r>
        <w:t xml:space="preserve">By analysing the literary style and looking at the plausibility of other authorship, I can conclude that the Apocolocyntosis was most likely written by Seneca, as he beholds the motives and reasoning to write such a text. By investigating the court in the text, the use of language and imagery, historiography and the context of when this satire was written, I have been able to identify the different purposes that this text may have served. For example, as a philosophical blueprint on the virtues of a bad ruler, as appraisal of Nero’s characteristics in contrasts to Claudius, and as a text written to spite the name of Claudius in response to the actions made against him during his reign, particularly acting as </w:t>
      </w:r>
      <w:r w:rsidR="00345DAC">
        <w:t xml:space="preserve">work </w:t>
      </w:r>
      <w:r>
        <w:t xml:space="preserve">a </w:t>
      </w:r>
      <w:r w:rsidR="00345DAC">
        <w:t xml:space="preserve">of revenge. In terms of context and significance, in my opinion I believe that the philosophical manifesto containing the blueprint by which the young Nero should act in oppose to, in order to be a good emperor, is the most plausible. Seneca wrote this text as a way to slander the name of Claudius, as well as establishing the characteristics needed in order to be a successful and liked emperor. </w:t>
      </w:r>
    </w:p>
    <w:p w14:paraId="75964BE6" w14:textId="40C0985D" w:rsidR="00576D6A" w:rsidRDefault="00576D6A"/>
    <w:p w14:paraId="37A1F4F6" w14:textId="5B3F5EA7" w:rsidR="0068686F" w:rsidRDefault="0068686F"/>
    <w:p w14:paraId="291F0BFA" w14:textId="271B5176" w:rsidR="0068686F" w:rsidRDefault="0068686F"/>
    <w:p w14:paraId="5E10D4F6" w14:textId="46C6CAF1" w:rsidR="0068686F" w:rsidRDefault="0068686F"/>
    <w:p w14:paraId="536456C4" w14:textId="4B618787" w:rsidR="0068686F" w:rsidRDefault="0068686F"/>
    <w:p w14:paraId="77991637" w14:textId="46F62375" w:rsidR="0068686F" w:rsidRDefault="0068686F"/>
    <w:p w14:paraId="6BBB137F" w14:textId="02E7E0BB" w:rsidR="0068686F" w:rsidRDefault="0068686F"/>
    <w:p w14:paraId="14A52780" w14:textId="1EE90A82" w:rsidR="0068686F" w:rsidRDefault="0068686F"/>
    <w:p w14:paraId="6D44DFC3" w14:textId="7C70AD01" w:rsidR="0068686F" w:rsidRDefault="0068686F">
      <w:r>
        <w:t>Bibliography.</w:t>
      </w:r>
    </w:p>
    <w:p w14:paraId="09A9EB90" w14:textId="25ABEA38" w:rsidR="0068686F" w:rsidRDefault="0068686F">
      <w:r>
        <w:t>Cassius Dio</w:t>
      </w:r>
      <w:r w:rsidR="003F5217">
        <w:t xml:space="preserve">, Roman History. </w:t>
      </w:r>
      <w:r w:rsidR="003F5217" w:rsidRPr="003F5217">
        <w:t>E Cary</w:t>
      </w:r>
      <w:r w:rsidR="003F5217">
        <w:t xml:space="preserve"> (trans.). 1927. </w:t>
      </w:r>
      <w:r w:rsidR="003F5217" w:rsidRPr="003F5217">
        <w:t>Harvard University Press</w:t>
      </w:r>
      <w:r w:rsidR="003F5217">
        <w:t>.</w:t>
      </w:r>
    </w:p>
    <w:p w14:paraId="082B4AC6" w14:textId="389A5494" w:rsidR="003F5217" w:rsidRDefault="003F5217">
      <w:r>
        <w:t xml:space="preserve">Seneca, Apocolocyntosis. W.H.D. Rouse (trans.). 1913. </w:t>
      </w:r>
      <w:r w:rsidRPr="003F5217">
        <w:t>London. William Heinemann</w:t>
      </w:r>
    </w:p>
    <w:p w14:paraId="13AB9460" w14:textId="494B7336" w:rsidR="00A31D7F" w:rsidRDefault="00A31D7F">
      <w:r>
        <w:t>Seneca, Apocolocyntosis. J.P. Sullivan (trans.). 1966. Suffolk. Penguin Books.</w:t>
      </w:r>
    </w:p>
    <w:p w14:paraId="169AD5E2" w14:textId="4D0BF101" w:rsidR="003F5217" w:rsidRDefault="003F5217">
      <w:r>
        <w:t>Seneca,</w:t>
      </w:r>
      <w:r w:rsidRPr="003F5217">
        <w:t xml:space="preserve"> Moral Essays: volume 2. John W. Basore</w:t>
      </w:r>
      <w:r>
        <w:t xml:space="preserve"> (trans.) 1932 </w:t>
      </w:r>
      <w:r w:rsidRPr="003F5217">
        <w:t xml:space="preserve">. London and New York. Heinemann. </w:t>
      </w:r>
    </w:p>
    <w:p w14:paraId="3D95290D" w14:textId="6E8FB35C" w:rsidR="003F5217" w:rsidRDefault="003F5217">
      <w:r>
        <w:t xml:space="preserve">Suetonius, the lives of the twelve Caesars. </w:t>
      </w:r>
      <w:r w:rsidRPr="003F5217">
        <w:t>J. C. Rolfe</w:t>
      </w:r>
      <w:r>
        <w:t xml:space="preserve"> (trans.). 1913. Loeb Classical Library.</w:t>
      </w:r>
    </w:p>
    <w:p w14:paraId="19E0BAF9" w14:textId="5D71A152" w:rsidR="00A31D7F" w:rsidRDefault="00A31D7F"/>
    <w:p w14:paraId="6B46AFD6" w14:textId="5D1C3F9C" w:rsidR="00A31D7F" w:rsidRDefault="00A31D7F">
      <w:r>
        <w:t>Ball, A.P. 1978. Seneca’s Apocolocyntosis. London and New York: Garland Publishing</w:t>
      </w:r>
    </w:p>
    <w:p w14:paraId="1E2FC45E" w14:textId="27808FC6" w:rsidR="003F5217" w:rsidRDefault="00A31D7F">
      <w:r>
        <w:t>Harrison, G.W.H. Seneca in Performance. Chippenham: The Classical Press of Wales</w:t>
      </w:r>
    </w:p>
    <w:p w14:paraId="0A18607F" w14:textId="3F467F59" w:rsidR="00A31D7F" w:rsidRDefault="00A31D7F" w:rsidP="00A31D7F">
      <w:pPr>
        <w:rPr>
          <w:rFonts w:ascii="Helvetica" w:hAnsi="Helvetica" w:cs="Helvetica"/>
          <w:color w:val="333333"/>
          <w:sz w:val="20"/>
          <w:szCs w:val="20"/>
          <w:shd w:val="clear" w:color="auto" w:fill="FFFFFF"/>
        </w:rPr>
      </w:pPr>
      <w:r>
        <w:t xml:space="preserve">Bagnani, G. 1967. </w:t>
      </w:r>
      <w:r>
        <w:t>Arbiter of Elegance: A Study of the Life &amp; Works of C. Petronius</w:t>
      </w:r>
      <w:r>
        <w:t xml:space="preserve">. Toronto, </w:t>
      </w:r>
      <w:r>
        <w:rPr>
          <w:rFonts w:ascii="Helvetica" w:hAnsi="Helvetica" w:cs="Helvetica"/>
          <w:color w:val="333333"/>
          <w:sz w:val="20"/>
          <w:szCs w:val="20"/>
          <w:shd w:val="clear" w:color="auto" w:fill="FFFFFF"/>
        </w:rPr>
        <w:t>University of Toronto Press</w:t>
      </w:r>
    </w:p>
    <w:p w14:paraId="0E90459D" w14:textId="2744D2CC" w:rsidR="00A31D7F" w:rsidRDefault="00A31D7F" w:rsidP="00A31D7F">
      <w:pPr>
        <w:tabs>
          <w:tab w:val="left" w:pos="3330"/>
        </w:tabs>
      </w:pPr>
      <w:r w:rsidRPr="00A31D7F">
        <w:t>Howatson</w:t>
      </w:r>
      <w:r>
        <w:t xml:space="preserve">, M.C. 2011. </w:t>
      </w:r>
      <w:r>
        <w:t>The Oxford Companion to Classical Literature</w:t>
      </w:r>
      <w:r>
        <w:t>. Oxford: oxford university Press</w:t>
      </w:r>
    </w:p>
    <w:p w14:paraId="589F4989" w14:textId="107B7C94" w:rsidR="003169FB" w:rsidRDefault="00A31D7F" w:rsidP="003169FB">
      <w:pPr>
        <w:tabs>
          <w:tab w:val="left" w:pos="3330"/>
        </w:tabs>
      </w:pPr>
      <w:r>
        <w:t xml:space="preserve">Robinson, T.J. 2005. </w:t>
      </w:r>
      <w:r>
        <w:t>The Reckoning of a Monster in the Apocolocyntosis of Seneca</w:t>
      </w:r>
      <w:r>
        <w:t xml:space="preserve">. </w:t>
      </w:r>
      <w:r w:rsidR="003169FB">
        <w:t>(</w:t>
      </w:r>
      <w:r w:rsidR="003169FB">
        <w:t>Arethusa</w:t>
      </w:r>
      <w:r w:rsidR="003169FB">
        <w:t>,</w:t>
      </w:r>
    </w:p>
    <w:p w14:paraId="368C4C5B" w14:textId="0650A4E5" w:rsidR="00A31D7F" w:rsidRDefault="003169FB" w:rsidP="003169FB">
      <w:pPr>
        <w:tabs>
          <w:tab w:val="left" w:pos="3330"/>
        </w:tabs>
      </w:pPr>
      <w:r>
        <w:t>Volume 38, Number 2</w:t>
      </w:r>
      <w:r>
        <w:t xml:space="preserve">) </w:t>
      </w:r>
      <w:r w:rsidRPr="003169FB">
        <w:t>Johns Hopkins University Press</w:t>
      </w:r>
    </w:p>
    <w:p w14:paraId="5ED287BB" w14:textId="77777777" w:rsidR="003169FB" w:rsidRDefault="003169FB" w:rsidP="003169FB">
      <w:pPr>
        <w:tabs>
          <w:tab w:val="left" w:pos="3330"/>
        </w:tabs>
      </w:pPr>
    </w:p>
    <w:p w14:paraId="4051621C" w14:textId="77777777" w:rsidR="003F5217" w:rsidRDefault="003F5217"/>
    <w:sectPr w:rsidR="003F52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4A268" w14:textId="77777777" w:rsidR="00983496" w:rsidRDefault="00983496" w:rsidP="006605A4">
      <w:pPr>
        <w:spacing w:after="0" w:line="240" w:lineRule="auto"/>
      </w:pPr>
      <w:r>
        <w:separator/>
      </w:r>
    </w:p>
  </w:endnote>
  <w:endnote w:type="continuationSeparator" w:id="0">
    <w:p w14:paraId="7513FCFC" w14:textId="77777777" w:rsidR="00983496" w:rsidRDefault="00983496" w:rsidP="00660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F7B7D7" w14:textId="77777777" w:rsidR="00983496" w:rsidRDefault="00983496" w:rsidP="006605A4">
      <w:pPr>
        <w:spacing w:after="0" w:line="240" w:lineRule="auto"/>
      </w:pPr>
      <w:r>
        <w:separator/>
      </w:r>
    </w:p>
  </w:footnote>
  <w:footnote w:type="continuationSeparator" w:id="0">
    <w:p w14:paraId="2D7CB672" w14:textId="77777777" w:rsidR="00983496" w:rsidRDefault="00983496" w:rsidP="006605A4">
      <w:pPr>
        <w:spacing w:after="0" w:line="240" w:lineRule="auto"/>
      </w:pPr>
      <w:r>
        <w:continuationSeparator/>
      </w:r>
    </w:p>
  </w:footnote>
  <w:footnote w:id="1">
    <w:p w14:paraId="4884A9D5" w14:textId="54A4BC2A" w:rsidR="009626B1" w:rsidRDefault="009626B1">
      <w:pPr>
        <w:pStyle w:val="FootnoteText"/>
      </w:pPr>
      <w:r>
        <w:rPr>
          <w:rStyle w:val="FootnoteReference"/>
        </w:rPr>
        <w:footnoteRef/>
      </w:r>
      <w:r>
        <w:t xml:space="preserve"> Cass. Dio. 60.35</w:t>
      </w:r>
    </w:p>
  </w:footnote>
  <w:footnote w:id="2">
    <w:p w14:paraId="64908C05" w14:textId="47DAEA8C" w:rsidR="009626B1" w:rsidRDefault="009626B1">
      <w:pPr>
        <w:pStyle w:val="FootnoteText"/>
      </w:pPr>
      <w:r>
        <w:rPr>
          <w:rStyle w:val="FootnoteReference"/>
        </w:rPr>
        <w:footnoteRef/>
      </w:r>
      <w:r>
        <w:t xml:space="preserve"> Sullivan J.P. 1966. Pg.209</w:t>
      </w:r>
    </w:p>
  </w:footnote>
  <w:footnote w:id="3">
    <w:p w14:paraId="416EA0E4" w14:textId="6BC612C8" w:rsidR="009626B1" w:rsidRDefault="009626B1">
      <w:pPr>
        <w:pStyle w:val="FootnoteText"/>
      </w:pPr>
      <w:r>
        <w:rPr>
          <w:rStyle w:val="FootnoteReference"/>
        </w:rPr>
        <w:footnoteRef/>
      </w:r>
      <w:r>
        <w:t xml:space="preserve"> W.H.D. Rouse. 1913. Introduction to his translation of the Apocolocyntosis.</w:t>
      </w:r>
    </w:p>
  </w:footnote>
  <w:footnote w:id="4">
    <w:p w14:paraId="41BD83BF" w14:textId="36946E48" w:rsidR="009626B1" w:rsidRDefault="009626B1">
      <w:pPr>
        <w:pStyle w:val="FootnoteText"/>
      </w:pPr>
      <w:r>
        <w:rPr>
          <w:rStyle w:val="FootnoteReference"/>
        </w:rPr>
        <w:footnoteRef/>
      </w:r>
      <w:r>
        <w:t xml:space="preserve"> Sen. Consiliatio ad Polybium ch.12: the line: “</w:t>
      </w:r>
      <w:r w:rsidRPr="00803658">
        <w:t>fix your eyes upon Caesar whenever tears rise to them; they will become dry on beholding that greatest and most brilliant light</w:t>
      </w:r>
      <w:r>
        <w:t>”.</w:t>
      </w:r>
    </w:p>
  </w:footnote>
  <w:footnote w:id="5">
    <w:p w14:paraId="0A96984F" w14:textId="7B20C660" w:rsidR="009626B1" w:rsidRDefault="009626B1">
      <w:pPr>
        <w:pStyle w:val="FootnoteText"/>
      </w:pPr>
      <w:r>
        <w:rPr>
          <w:rStyle w:val="FootnoteReference"/>
        </w:rPr>
        <w:footnoteRef/>
      </w:r>
      <w:r>
        <w:t xml:space="preserve"> Sullivan J.P. 1966. Pg.209</w:t>
      </w:r>
    </w:p>
  </w:footnote>
  <w:footnote w:id="6">
    <w:p w14:paraId="553DAA85" w14:textId="3CF59680" w:rsidR="009626B1" w:rsidRDefault="009626B1">
      <w:pPr>
        <w:pStyle w:val="FootnoteText"/>
      </w:pPr>
      <w:r>
        <w:rPr>
          <w:rStyle w:val="FootnoteReference"/>
        </w:rPr>
        <w:footnoteRef/>
      </w:r>
      <w:r>
        <w:t xml:space="preserve"> W.H.D. Rouse. 1913. Introduction to his translation of the Apocolocyntosis. ‘pumpkinification’ appears to be the accepted modern English translation alongside ‘gourdification’ which isn’t mentioned here.</w:t>
      </w:r>
    </w:p>
  </w:footnote>
  <w:footnote w:id="7">
    <w:p w14:paraId="4B9F899D" w14:textId="09D9FFDB" w:rsidR="009626B1" w:rsidRDefault="009626B1">
      <w:pPr>
        <w:pStyle w:val="FootnoteText"/>
      </w:pPr>
      <w:r>
        <w:rPr>
          <w:rStyle w:val="FootnoteReference"/>
        </w:rPr>
        <w:footnoteRef/>
      </w:r>
      <w:r>
        <w:t xml:space="preserve"> Sullivan J.P. 1966. Pg. 209</w:t>
      </w:r>
    </w:p>
  </w:footnote>
  <w:footnote w:id="8">
    <w:p w14:paraId="53DCBCC0" w14:textId="24301505" w:rsidR="009626B1" w:rsidRDefault="009626B1">
      <w:pPr>
        <w:pStyle w:val="FootnoteText"/>
      </w:pPr>
      <w:r>
        <w:rPr>
          <w:rStyle w:val="FootnoteReference"/>
        </w:rPr>
        <w:footnoteRef/>
      </w:r>
      <w:r>
        <w:t xml:space="preserve"> Cass. Dio. 60.35: this passage is brought up </w:t>
      </w:r>
    </w:p>
  </w:footnote>
  <w:footnote w:id="9">
    <w:p w14:paraId="65D97667" w14:textId="502F0D86" w:rsidR="009626B1" w:rsidRDefault="009626B1">
      <w:pPr>
        <w:pStyle w:val="FootnoteText"/>
      </w:pPr>
      <w:r>
        <w:rPr>
          <w:rStyle w:val="FootnoteReference"/>
        </w:rPr>
        <w:footnoteRef/>
      </w:r>
      <w:r>
        <w:t xml:space="preserve"> W.H.D. Rouse. 1913. Introduction to his translation of the Apocolocyntosis</w:t>
      </w:r>
    </w:p>
  </w:footnote>
  <w:footnote w:id="10">
    <w:p w14:paraId="627EB570" w14:textId="52624B18" w:rsidR="009626B1" w:rsidRDefault="009626B1">
      <w:pPr>
        <w:pStyle w:val="FootnoteText"/>
      </w:pPr>
      <w:r>
        <w:rPr>
          <w:rStyle w:val="FootnoteReference"/>
        </w:rPr>
        <w:footnoteRef/>
      </w:r>
      <w:r>
        <w:t xml:space="preserve"> </w:t>
      </w:r>
      <w:r w:rsidRPr="00170FA6">
        <w:t>https://en.oxforddictionaries.com/definition/apotheosis</w:t>
      </w:r>
    </w:p>
  </w:footnote>
  <w:footnote w:id="11">
    <w:p w14:paraId="7DACCF95" w14:textId="298A121D" w:rsidR="009626B1" w:rsidRDefault="009626B1">
      <w:pPr>
        <w:pStyle w:val="FootnoteText"/>
      </w:pPr>
      <w:r>
        <w:rPr>
          <w:rStyle w:val="FootnoteReference"/>
        </w:rPr>
        <w:footnoteRef/>
      </w:r>
      <w:r>
        <w:t xml:space="preserve"> </w:t>
      </w:r>
      <w:r w:rsidRPr="004468DE">
        <w:t>Sen. Apoc. 14</w:t>
      </w:r>
    </w:p>
  </w:footnote>
  <w:footnote w:id="12">
    <w:p w14:paraId="52E1C377" w14:textId="7A695C79" w:rsidR="009626B1" w:rsidRDefault="009626B1">
      <w:pPr>
        <w:pStyle w:val="FootnoteText"/>
      </w:pPr>
      <w:r>
        <w:rPr>
          <w:rStyle w:val="FootnoteReference"/>
        </w:rPr>
        <w:footnoteRef/>
      </w:r>
      <w:r>
        <w:t xml:space="preserve"> Sullivan J.P. 1966. Pg.210</w:t>
      </w:r>
    </w:p>
  </w:footnote>
  <w:footnote w:id="13">
    <w:p w14:paraId="1C4FCC73" w14:textId="43840C94" w:rsidR="009626B1" w:rsidRDefault="009626B1">
      <w:pPr>
        <w:pStyle w:val="FootnoteText"/>
      </w:pPr>
      <w:r>
        <w:rPr>
          <w:rStyle w:val="FootnoteReference"/>
        </w:rPr>
        <w:footnoteRef/>
      </w:r>
      <w:r>
        <w:t xml:space="preserve"> Ibid.</w:t>
      </w:r>
    </w:p>
  </w:footnote>
  <w:footnote w:id="14">
    <w:p w14:paraId="6CA6AD65" w14:textId="77777777" w:rsidR="009626B1" w:rsidRDefault="009626B1" w:rsidP="008D0FE9">
      <w:pPr>
        <w:pStyle w:val="FootnoteText"/>
      </w:pPr>
      <w:r>
        <w:rPr>
          <w:rStyle w:val="FootnoteReference"/>
        </w:rPr>
        <w:footnoteRef/>
      </w:r>
      <w:r>
        <w:t xml:space="preserve"> G Bagnani, 1967. Arbiter of Elegance a study of the life and works of C. Petronius: this was a very tough book to track down so I must state that from what I can access this scholar’s interpretation of the writing style in the Apocolocyntosis lead him to conclude that the true author must in-fact be Petronius who would therefore have the monopoly on the extant Menippean satires.</w:t>
      </w:r>
    </w:p>
  </w:footnote>
  <w:footnote w:id="15">
    <w:p w14:paraId="0045108F" w14:textId="279F2C6F" w:rsidR="009626B1" w:rsidRDefault="009626B1">
      <w:pPr>
        <w:pStyle w:val="FootnoteText"/>
      </w:pPr>
      <w:r>
        <w:rPr>
          <w:rStyle w:val="FootnoteReference"/>
        </w:rPr>
        <w:footnoteRef/>
      </w:r>
      <w:r>
        <w:t xml:space="preserve"> Ball, A.P. 1902. Pg.24 : here there is a list of scholars from the turn of the 19</w:t>
      </w:r>
      <w:r w:rsidRPr="008D0FE9">
        <w:rPr>
          <w:vertAlign w:val="superscript"/>
        </w:rPr>
        <w:t>th</w:t>
      </w:r>
      <w:r>
        <w:t xml:space="preserve"> century who in all likeliness view Seneca as some sort of proto-christian and as such believe this satire to be distasteful.</w:t>
      </w:r>
    </w:p>
  </w:footnote>
  <w:footnote w:id="16">
    <w:p w14:paraId="72340D46" w14:textId="457944BD" w:rsidR="009626B1" w:rsidRDefault="009626B1">
      <w:pPr>
        <w:pStyle w:val="FootnoteText"/>
      </w:pPr>
      <w:r>
        <w:rPr>
          <w:rStyle w:val="FootnoteReference"/>
        </w:rPr>
        <w:footnoteRef/>
      </w:r>
      <w:r>
        <w:t xml:space="preserve"> Cass. Dio. 61.3.1</w:t>
      </w:r>
    </w:p>
  </w:footnote>
  <w:footnote w:id="17">
    <w:p w14:paraId="73240C6E" w14:textId="77777777" w:rsidR="009626B1" w:rsidRPr="006605A4" w:rsidRDefault="009626B1" w:rsidP="00B01F5D">
      <w:pPr>
        <w:rPr>
          <w:rFonts w:ascii="Times New Roman" w:eastAsia="Times New Roman" w:hAnsi="Times New Roman" w:cs="Times New Roman"/>
          <w:sz w:val="24"/>
          <w:szCs w:val="24"/>
          <w:lang w:eastAsia="en-GB"/>
        </w:rPr>
      </w:pPr>
      <w:r>
        <w:rPr>
          <w:rStyle w:val="FootnoteReference"/>
        </w:rPr>
        <w:footnoteRef/>
      </w:r>
      <w:r>
        <w:t xml:space="preserve"> </w:t>
      </w:r>
      <w:r w:rsidRPr="006605A4">
        <w:rPr>
          <w:rFonts w:ascii="Georgia" w:eastAsia="Times New Roman" w:hAnsi="Georgia" w:cs="Times New Roman"/>
          <w:color w:val="222222"/>
          <w:sz w:val="18"/>
          <w:szCs w:val="18"/>
          <w:shd w:val="clear" w:color="auto" w:fill="F2F2F2"/>
          <w:lang w:eastAsia="en-GB"/>
        </w:rPr>
        <w:t>Calboli, Gualtiero (Bologna), Dingel, Joachim (Hamburg) and Walde, Christine (Basle), “Seneca”, in: </w:t>
      </w:r>
      <w:r w:rsidRPr="006605A4">
        <w:rPr>
          <w:rFonts w:ascii="Georgia" w:eastAsia="Times New Roman" w:hAnsi="Georgia" w:cs="Times New Roman"/>
          <w:i/>
          <w:iCs/>
          <w:color w:val="222222"/>
          <w:sz w:val="18"/>
          <w:szCs w:val="18"/>
          <w:lang w:eastAsia="en-GB"/>
        </w:rPr>
        <w:t>Brill’s New Pauly</w:t>
      </w:r>
      <w:r w:rsidRPr="006605A4">
        <w:rPr>
          <w:rFonts w:ascii="Georgia" w:eastAsia="Times New Roman" w:hAnsi="Georgia" w:cs="Times New Roman"/>
          <w:color w:val="222222"/>
          <w:sz w:val="18"/>
          <w:szCs w:val="18"/>
          <w:shd w:val="clear" w:color="auto" w:fill="F2F2F2"/>
          <w:lang w:eastAsia="en-GB"/>
        </w:rPr>
        <w:t>, Antiquity volumes edited by: Hubert Cancik and , Helmuth Schneider, English Edition by: Christine F. Salazar, Classical Tradition volumes edited by: Manfred Landfester, English Edition by: Francis G. Gentry. Consulted online on 24 April 2018 &lt;http://dx.doi.org.ezproxy.uwtsd.ac.uk/10.1163/1574-9347_bnp_e1108480&gt;</w:t>
      </w:r>
    </w:p>
    <w:p w14:paraId="48FDDB4F" w14:textId="77777777" w:rsidR="009626B1" w:rsidRDefault="009626B1" w:rsidP="00B01F5D">
      <w:pPr>
        <w:pStyle w:val="FootnoteText"/>
      </w:pPr>
    </w:p>
  </w:footnote>
  <w:footnote w:id="18">
    <w:p w14:paraId="4DD34F93" w14:textId="77777777" w:rsidR="009626B1" w:rsidRDefault="009626B1" w:rsidP="00B01F5D">
      <w:pPr>
        <w:pStyle w:val="FootnoteText"/>
      </w:pPr>
      <w:r>
        <w:rPr>
          <w:rStyle w:val="FootnoteReference"/>
        </w:rPr>
        <w:footnoteRef/>
      </w:r>
      <w:r>
        <w:t xml:space="preserve"> Robinson, T.J. 2005 </w:t>
      </w:r>
    </w:p>
  </w:footnote>
  <w:footnote w:id="19">
    <w:p w14:paraId="3EA08721" w14:textId="77777777" w:rsidR="009626B1" w:rsidRDefault="009626B1" w:rsidP="00B01F5D">
      <w:pPr>
        <w:pStyle w:val="FootnoteText"/>
      </w:pPr>
      <w:r>
        <w:rPr>
          <w:rStyle w:val="FootnoteReference"/>
        </w:rPr>
        <w:footnoteRef/>
      </w:r>
      <w:r>
        <w:t xml:space="preserve"> Sullivan, J.P. 1977</w:t>
      </w:r>
    </w:p>
  </w:footnote>
  <w:footnote w:id="20">
    <w:p w14:paraId="2F6CD6D4" w14:textId="77777777" w:rsidR="009626B1" w:rsidRDefault="009626B1" w:rsidP="00B01F5D">
      <w:pPr>
        <w:pStyle w:val="FootnoteText"/>
      </w:pPr>
      <w:r>
        <w:rPr>
          <w:rStyle w:val="FootnoteReference"/>
        </w:rPr>
        <w:footnoteRef/>
      </w:r>
      <w:r>
        <w:t xml:space="preserve"> Suet. Nero. 33.1</w:t>
      </w:r>
    </w:p>
  </w:footnote>
  <w:footnote w:id="21">
    <w:p w14:paraId="7D7A54AF" w14:textId="77777777" w:rsidR="009626B1" w:rsidRDefault="009626B1" w:rsidP="00B01F5D">
      <w:pPr>
        <w:pStyle w:val="FootnoteText"/>
      </w:pPr>
      <w:r>
        <w:rPr>
          <w:rStyle w:val="FootnoteReference"/>
        </w:rPr>
        <w:footnoteRef/>
      </w:r>
      <w:r>
        <w:t xml:space="preserve"> Cass. Dio. 61.35</w:t>
      </w:r>
    </w:p>
  </w:footnote>
  <w:footnote w:id="22">
    <w:p w14:paraId="0A9309D9" w14:textId="076CAADA" w:rsidR="009626B1" w:rsidRDefault="009626B1">
      <w:pPr>
        <w:pStyle w:val="FootnoteText"/>
      </w:pPr>
      <w:r>
        <w:rPr>
          <w:rStyle w:val="FootnoteReference"/>
        </w:rPr>
        <w:footnoteRef/>
      </w:r>
      <w:r>
        <w:t xml:space="preserve"> Sen. Apo. 3</w:t>
      </w:r>
    </w:p>
  </w:footnote>
  <w:footnote w:id="23">
    <w:p w14:paraId="38B63073" w14:textId="26AA5B54" w:rsidR="000C2376" w:rsidRDefault="000C2376">
      <w:pPr>
        <w:pStyle w:val="FootnoteText"/>
      </w:pPr>
      <w:r>
        <w:rPr>
          <w:rStyle w:val="FootnoteReference"/>
        </w:rPr>
        <w:footnoteRef/>
      </w:r>
      <w:r>
        <w:t xml:space="preserve"> Sen. </w:t>
      </w:r>
      <w:r w:rsidRPr="000C2376">
        <w:t>De Consolatione ad Helviam Matrem</w:t>
      </w:r>
      <w:r>
        <w:t>.</w:t>
      </w:r>
    </w:p>
  </w:footnote>
  <w:footnote w:id="24">
    <w:p w14:paraId="0A393211" w14:textId="3A281157" w:rsidR="009626B1" w:rsidRDefault="009626B1">
      <w:pPr>
        <w:pStyle w:val="FootnoteText"/>
      </w:pPr>
      <w:r>
        <w:rPr>
          <w:rStyle w:val="FootnoteReference"/>
        </w:rPr>
        <w:footnoteRef/>
      </w:r>
      <w:r>
        <w:t xml:space="preserve"> Sen. Apo. 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DA9"/>
    <w:rsid w:val="00013503"/>
    <w:rsid w:val="0009566F"/>
    <w:rsid w:val="000A63C7"/>
    <w:rsid w:val="000C0DA9"/>
    <w:rsid w:val="000C2376"/>
    <w:rsid w:val="000C5340"/>
    <w:rsid w:val="00170FA6"/>
    <w:rsid w:val="00182BA4"/>
    <w:rsid w:val="001E20EC"/>
    <w:rsid w:val="00277F16"/>
    <w:rsid w:val="002B2B13"/>
    <w:rsid w:val="002D424C"/>
    <w:rsid w:val="002E39DD"/>
    <w:rsid w:val="002F2724"/>
    <w:rsid w:val="003169FB"/>
    <w:rsid w:val="00345DAC"/>
    <w:rsid w:val="003F3A8E"/>
    <w:rsid w:val="003F5217"/>
    <w:rsid w:val="004468DE"/>
    <w:rsid w:val="004C6706"/>
    <w:rsid w:val="004C68D5"/>
    <w:rsid w:val="004F074D"/>
    <w:rsid w:val="0050279B"/>
    <w:rsid w:val="00507F58"/>
    <w:rsid w:val="00576D6A"/>
    <w:rsid w:val="005C4F6D"/>
    <w:rsid w:val="005D7190"/>
    <w:rsid w:val="006605A4"/>
    <w:rsid w:val="0068686F"/>
    <w:rsid w:val="006D3BAD"/>
    <w:rsid w:val="006F6250"/>
    <w:rsid w:val="00803658"/>
    <w:rsid w:val="00835FB6"/>
    <w:rsid w:val="008B7F29"/>
    <w:rsid w:val="008D0FE9"/>
    <w:rsid w:val="00945EC1"/>
    <w:rsid w:val="009626B1"/>
    <w:rsid w:val="00983496"/>
    <w:rsid w:val="009C7F7F"/>
    <w:rsid w:val="009E4279"/>
    <w:rsid w:val="009F6FCC"/>
    <w:rsid w:val="00A052C1"/>
    <w:rsid w:val="00A31D7F"/>
    <w:rsid w:val="00A53F2A"/>
    <w:rsid w:val="00B01F5D"/>
    <w:rsid w:val="00B2032B"/>
    <w:rsid w:val="00B8390F"/>
    <w:rsid w:val="00B90F53"/>
    <w:rsid w:val="00BD2132"/>
    <w:rsid w:val="00BE70BE"/>
    <w:rsid w:val="00BF3824"/>
    <w:rsid w:val="00C70A7D"/>
    <w:rsid w:val="00C923E8"/>
    <w:rsid w:val="00CB2FAE"/>
    <w:rsid w:val="00D3375B"/>
    <w:rsid w:val="00DB1AB3"/>
    <w:rsid w:val="00DE3C2B"/>
    <w:rsid w:val="00E47FD3"/>
    <w:rsid w:val="00ED793A"/>
    <w:rsid w:val="00F10FF6"/>
    <w:rsid w:val="00F63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3B72F"/>
  <w15:chartTrackingRefBased/>
  <w15:docId w15:val="{AE4246B4-A419-42C9-9899-F019BC683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605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05A4"/>
    <w:rPr>
      <w:sz w:val="20"/>
      <w:szCs w:val="20"/>
    </w:rPr>
  </w:style>
  <w:style w:type="character" w:styleId="FootnoteReference">
    <w:name w:val="footnote reference"/>
    <w:basedOn w:val="DefaultParagraphFont"/>
    <w:uiPriority w:val="99"/>
    <w:semiHidden/>
    <w:unhideWhenUsed/>
    <w:rsid w:val="006605A4"/>
    <w:rPr>
      <w:vertAlign w:val="superscript"/>
    </w:rPr>
  </w:style>
  <w:style w:type="character" w:customStyle="1" w:styleId="citationitalic">
    <w:name w:val="citationitalic"/>
    <w:basedOn w:val="DefaultParagraphFont"/>
    <w:rsid w:val="006605A4"/>
  </w:style>
  <w:style w:type="paragraph" w:styleId="EndnoteText">
    <w:name w:val="endnote text"/>
    <w:basedOn w:val="Normal"/>
    <w:link w:val="EndnoteTextChar"/>
    <w:uiPriority w:val="99"/>
    <w:semiHidden/>
    <w:unhideWhenUsed/>
    <w:rsid w:val="005D71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D7190"/>
    <w:rPr>
      <w:sz w:val="20"/>
      <w:szCs w:val="20"/>
    </w:rPr>
  </w:style>
  <w:style w:type="character" w:styleId="EndnoteReference">
    <w:name w:val="endnote reference"/>
    <w:basedOn w:val="DefaultParagraphFont"/>
    <w:uiPriority w:val="99"/>
    <w:semiHidden/>
    <w:unhideWhenUsed/>
    <w:rsid w:val="005D71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3445445">
      <w:bodyDiv w:val="1"/>
      <w:marLeft w:val="0"/>
      <w:marRight w:val="0"/>
      <w:marTop w:val="0"/>
      <w:marBottom w:val="0"/>
      <w:divBdr>
        <w:top w:val="none" w:sz="0" w:space="0" w:color="auto"/>
        <w:left w:val="none" w:sz="0" w:space="0" w:color="auto"/>
        <w:bottom w:val="none" w:sz="0" w:space="0" w:color="auto"/>
        <w:right w:val="none" w:sz="0" w:space="0" w:color="auto"/>
      </w:divBdr>
    </w:div>
    <w:div w:id="659891371">
      <w:bodyDiv w:val="1"/>
      <w:marLeft w:val="0"/>
      <w:marRight w:val="0"/>
      <w:marTop w:val="0"/>
      <w:marBottom w:val="0"/>
      <w:divBdr>
        <w:top w:val="none" w:sz="0" w:space="0" w:color="auto"/>
        <w:left w:val="none" w:sz="0" w:space="0" w:color="auto"/>
        <w:bottom w:val="none" w:sz="0" w:space="0" w:color="auto"/>
        <w:right w:val="none" w:sz="0" w:space="0" w:color="auto"/>
      </w:divBdr>
      <w:divsChild>
        <w:div w:id="1421563884">
          <w:marLeft w:val="0"/>
          <w:marRight w:val="0"/>
          <w:marTop w:val="0"/>
          <w:marBottom w:val="0"/>
          <w:divBdr>
            <w:top w:val="none" w:sz="0" w:space="0" w:color="auto"/>
            <w:left w:val="none" w:sz="0" w:space="0" w:color="auto"/>
            <w:bottom w:val="none" w:sz="0" w:space="0" w:color="auto"/>
            <w:right w:val="none" w:sz="0" w:space="0" w:color="auto"/>
          </w:divBdr>
        </w:div>
      </w:divsChild>
    </w:div>
    <w:div w:id="675807591">
      <w:bodyDiv w:val="1"/>
      <w:marLeft w:val="0"/>
      <w:marRight w:val="0"/>
      <w:marTop w:val="0"/>
      <w:marBottom w:val="0"/>
      <w:divBdr>
        <w:top w:val="none" w:sz="0" w:space="0" w:color="auto"/>
        <w:left w:val="none" w:sz="0" w:space="0" w:color="auto"/>
        <w:bottom w:val="none" w:sz="0" w:space="0" w:color="auto"/>
        <w:right w:val="none" w:sz="0" w:space="0" w:color="auto"/>
      </w:divBdr>
    </w:div>
    <w:div w:id="1028724323">
      <w:bodyDiv w:val="1"/>
      <w:marLeft w:val="0"/>
      <w:marRight w:val="0"/>
      <w:marTop w:val="0"/>
      <w:marBottom w:val="0"/>
      <w:divBdr>
        <w:top w:val="none" w:sz="0" w:space="0" w:color="auto"/>
        <w:left w:val="none" w:sz="0" w:space="0" w:color="auto"/>
        <w:bottom w:val="none" w:sz="0" w:space="0" w:color="auto"/>
        <w:right w:val="none" w:sz="0" w:space="0" w:color="auto"/>
      </w:divBdr>
    </w:div>
    <w:div w:id="1613316466">
      <w:bodyDiv w:val="1"/>
      <w:marLeft w:val="0"/>
      <w:marRight w:val="0"/>
      <w:marTop w:val="0"/>
      <w:marBottom w:val="0"/>
      <w:divBdr>
        <w:top w:val="none" w:sz="0" w:space="0" w:color="auto"/>
        <w:left w:val="none" w:sz="0" w:space="0" w:color="auto"/>
        <w:bottom w:val="none" w:sz="0" w:space="0" w:color="auto"/>
        <w:right w:val="none" w:sz="0" w:space="0" w:color="auto"/>
      </w:divBdr>
      <w:divsChild>
        <w:div w:id="1635988178">
          <w:marLeft w:val="0"/>
          <w:marRight w:val="300"/>
          <w:marTop w:val="0"/>
          <w:marBottom w:val="0"/>
          <w:divBdr>
            <w:top w:val="none" w:sz="0" w:space="0" w:color="auto"/>
            <w:left w:val="none" w:sz="0" w:space="0" w:color="auto"/>
            <w:bottom w:val="none" w:sz="0" w:space="0" w:color="auto"/>
            <w:right w:val="none" w:sz="0" w:space="0" w:color="auto"/>
          </w:divBdr>
          <w:divsChild>
            <w:div w:id="1400594281">
              <w:marLeft w:val="0"/>
              <w:marRight w:val="0"/>
              <w:marTop w:val="0"/>
              <w:marBottom w:val="300"/>
              <w:divBdr>
                <w:top w:val="none" w:sz="0" w:space="0" w:color="auto"/>
                <w:left w:val="none" w:sz="0" w:space="0" w:color="auto"/>
                <w:bottom w:val="none" w:sz="0" w:space="0" w:color="auto"/>
                <w:right w:val="none" w:sz="0" w:space="0" w:color="auto"/>
              </w:divBdr>
            </w:div>
          </w:divsChild>
        </w:div>
        <w:div w:id="2130782567">
          <w:marLeft w:val="0"/>
          <w:marRight w:val="0"/>
          <w:marTop w:val="0"/>
          <w:marBottom w:val="0"/>
          <w:divBdr>
            <w:top w:val="none" w:sz="0" w:space="0" w:color="auto"/>
            <w:left w:val="none" w:sz="0" w:space="0" w:color="auto"/>
            <w:bottom w:val="none" w:sz="0" w:space="0" w:color="auto"/>
            <w:right w:val="none" w:sz="0" w:space="0" w:color="auto"/>
          </w:divBdr>
          <w:divsChild>
            <w:div w:id="70799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76CB3-29CA-4067-96FB-03395B1D0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1662</Words>
  <Characters>8162</Characters>
  <Application>Microsoft Office Word</Application>
  <DocSecurity>0</DocSecurity>
  <Lines>106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Gedrych (1600772)</dc:creator>
  <cp:keywords/>
  <dc:description/>
  <cp:lastModifiedBy>Sam</cp:lastModifiedBy>
  <cp:revision>2</cp:revision>
  <dcterms:created xsi:type="dcterms:W3CDTF">2018-04-24T20:48:00Z</dcterms:created>
  <dcterms:modified xsi:type="dcterms:W3CDTF">2018-04-24T20:48:00Z</dcterms:modified>
</cp:coreProperties>
</file>