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448" w:rsidRDefault="00012448" w:rsidP="00012448">
      <w:pPr>
        <w:spacing w:before="12"/>
        <w:jc w:val="both"/>
        <w:rPr>
          <w:rFonts w:ascii="Arial" w:hAnsi="Arial" w:cs="Arial"/>
          <w:b/>
        </w:rPr>
      </w:pPr>
      <w:bookmarkStart w:id="0" w:name="_GoBack"/>
      <w:bookmarkEnd w:id="0"/>
      <w:r>
        <w:rPr>
          <w:rFonts w:ascii="Arial" w:hAnsi="Arial" w:cs="Arial"/>
          <w:b/>
        </w:rPr>
        <w:t xml:space="preserve">Answer 14 - </w:t>
      </w:r>
      <w:r w:rsidR="00DE1DF0">
        <w:rPr>
          <w:rFonts w:ascii="Arial" w:hAnsi="Arial" w:cs="Arial"/>
          <w:b/>
        </w:rPr>
        <w:t>NPV, Sources of finance, Project characteristics</w:t>
      </w:r>
    </w:p>
    <w:p w:rsidR="00012448" w:rsidRPr="00AA52F2" w:rsidRDefault="00012448" w:rsidP="00012448">
      <w:pPr>
        <w:jc w:val="both"/>
        <w:rPr>
          <w:rFonts w:ascii="Arial" w:hAnsi="Arial" w:cs="Arial"/>
          <w:color w:val="0D0D0D" w:themeColor="text1" w:themeTint="F2"/>
          <w:sz w:val="20"/>
          <w:szCs w:val="20"/>
        </w:rPr>
      </w:pPr>
      <w:r w:rsidRPr="00AA52F2">
        <w:rPr>
          <w:rFonts w:ascii="Arial" w:hAnsi="Arial" w:cs="Arial"/>
          <w:b/>
          <w:bCs/>
          <w:color w:val="0D0D0D" w:themeColor="text1" w:themeTint="F2"/>
          <w:sz w:val="20"/>
          <w:szCs w:val="20"/>
        </w:rPr>
        <w:t xml:space="preserve">(a) </w:t>
      </w:r>
      <w:r w:rsidRPr="00AA52F2">
        <w:rPr>
          <w:rFonts w:ascii="Arial" w:hAnsi="Arial" w:cs="Arial"/>
          <w:b/>
          <w:color w:val="0D0D0D" w:themeColor="text1" w:themeTint="F2"/>
          <w:sz w:val="20"/>
          <w:szCs w:val="20"/>
        </w:rPr>
        <w:t xml:space="preserve">Calculation of NPV </w:t>
      </w:r>
      <w:r w:rsidRPr="00AA52F2">
        <w:rPr>
          <w:rFonts w:ascii="Arial" w:hAnsi="Arial" w:cs="Arial"/>
          <w:color w:val="0D0D0D" w:themeColor="text1" w:themeTint="F2"/>
          <w:sz w:val="20"/>
          <w:szCs w:val="20"/>
        </w:rPr>
        <w:t>(all amounts in £000)</w:t>
      </w:r>
    </w:p>
    <w:p w:rsidR="00012448" w:rsidRPr="00AA52F2" w:rsidRDefault="00012448" w:rsidP="00012448">
      <w:pPr>
        <w:spacing w:line="240" w:lineRule="auto"/>
        <w:jc w:val="both"/>
        <w:rPr>
          <w:rFonts w:ascii="Arial" w:hAnsi="Arial" w:cs="Arial"/>
          <w:b/>
          <w:color w:val="0D0D0D" w:themeColor="text1" w:themeTint="F2"/>
          <w:sz w:val="20"/>
          <w:szCs w:val="20"/>
        </w:rPr>
      </w:pPr>
      <w:r w:rsidRPr="00AA52F2">
        <w:rPr>
          <w:rFonts w:ascii="Arial" w:hAnsi="Arial" w:cs="Arial"/>
          <w:b/>
          <w:color w:val="0D0D0D" w:themeColor="text1" w:themeTint="F2"/>
          <w:sz w:val="20"/>
          <w:szCs w:val="20"/>
        </w:rPr>
        <w:t xml:space="preserve">Year </w:t>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t xml:space="preserve">1 </w:t>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t>2</w:t>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t>3</w:t>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t xml:space="preserve">4 </w:t>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t>5</w:t>
      </w:r>
    </w:p>
    <w:p w:rsidR="00012448" w:rsidRPr="00AA52F2" w:rsidRDefault="00012448" w:rsidP="00012448">
      <w:pPr>
        <w:spacing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Sales income</w:t>
      </w:r>
      <w:r>
        <w:rPr>
          <w:rFonts w:ascii="Arial" w:hAnsi="Arial" w:cs="Arial"/>
          <w:color w:val="0D0D0D" w:themeColor="text1" w:themeTint="F2"/>
          <w:sz w:val="20"/>
          <w:szCs w:val="20"/>
        </w:rPr>
        <w:t xml:space="preserve"> </w:t>
      </w:r>
      <w:r w:rsidRPr="00C76C44">
        <w:rPr>
          <w:rFonts w:ascii="Arial" w:hAnsi="Arial" w:cs="Arial"/>
          <w:b/>
          <w:color w:val="0D0D0D" w:themeColor="text1" w:themeTint="F2"/>
          <w:sz w:val="20"/>
          <w:szCs w:val="20"/>
        </w:rPr>
        <w:t>W1</w:t>
      </w:r>
      <w:r w:rsidRPr="00AA52F2">
        <w:rPr>
          <w:rFonts w:ascii="Arial" w:hAnsi="Arial" w:cs="Arial"/>
          <w:color w:val="0D0D0D" w:themeColor="text1" w:themeTint="F2"/>
          <w:sz w:val="20"/>
          <w:szCs w:val="20"/>
        </w:rPr>
        <w:tab/>
        <w:t xml:space="preserve">6,760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7,894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8,122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4,056</w:t>
      </w:r>
    </w:p>
    <w:p w:rsidR="00012448" w:rsidRPr="00AA52F2" w:rsidRDefault="00012448" w:rsidP="00012448">
      <w:pPr>
        <w:spacing w:after="0"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Variable cost </w:t>
      </w:r>
      <w:r w:rsidRPr="00C76C44">
        <w:rPr>
          <w:rFonts w:ascii="Arial" w:hAnsi="Arial" w:cs="Arial"/>
          <w:b/>
          <w:color w:val="0D0D0D" w:themeColor="text1" w:themeTint="F2"/>
          <w:sz w:val="20"/>
          <w:szCs w:val="20"/>
        </w:rPr>
        <w:t>W2</w:t>
      </w:r>
      <w:r w:rsidRPr="00AA52F2">
        <w:rPr>
          <w:rFonts w:ascii="Arial" w:hAnsi="Arial" w:cs="Arial"/>
          <w:color w:val="0D0D0D" w:themeColor="text1" w:themeTint="F2"/>
          <w:sz w:val="20"/>
          <w:szCs w:val="20"/>
        </w:rPr>
        <w:tab/>
        <w:t xml:space="preserve">(2,520)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(2,888)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(3,119)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(1,523)</w:t>
      </w:r>
    </w:p>
    <w:p w:rsidR="00012448" w:rsidRPr="00AA52F2" w:rsidRDefault="00012448" w:rsidP="00012448">
      <w:pPr>
        <w:spacing w:after="0" w:line="240" w:lineRule="auto"/>
        <w:ind w:left="1440" w:firstLine="720"/>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w:t>
      </w:r>
    </w:p>
    <w:p w:rsidR="00012448" w:rsidRPr="00AA52F2" w:rsidRDefault="00012448" w:rsidP="00012448">
      <w:pPr>
        <w:spacing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Contribution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4,240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5,006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5,003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2,533</w:t>
      </w:r>
    </w:p>
    <w:p w:rsidR="00012448" w:rsidRPr="00AA52F2" w:rsidRDefault="00012448" w:rsidP="00012448">
      <w:pPr>
        <w:spacing w:after="0"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Fixed cost inc 3% infl</w:t>
      </w:r>
      <w:r w:rsidRPr="00AA52F2">
        <w:rPr>
          <w:rFonts w:ascii="Arial" w:hAnsi="Arial" w:cs="Arial"/>
          <w:color w:val="0D0D0D" w:themeColor="text1" w:themeTint="F2"/>
          <w:sz w:val="20"/>
          <w:szCs w:val="20"/>
        </w:rPr>
        <w:tab/>
        <w:t xml:space="preserve">(927)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(955)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w:t>
      </w:r>
      <w:r>
        <w:rPr>
          <w:rFonts w:ascii="Arial" w:hAnsi="Arial" w:cs="Arial"/>
          <w:color w:val="0D0D0D" w:themeColor="text1" w:themeTint="F2"/>
          <w:sz w:val="20"/>
          <w:szCs w:val="20"/>
        </w:rPr>
        <w:t>984</w:t>
      </w:r>
      <w:r w:rsidRPr="00AA52F2">
        <w:rPr>
          <w:rFonts w:ascii="Arial" w:hAnsi="Arial" w:cs="Arial"/>
          <w:color w:val="0D0D0D" w:themeColor="text1" w:themeTint="F2"/>
          <w:sz w:val="20"/>
          <w:szCs w:val="20"/>
        </w:rPr>
        <w:t xml:space="preserve">)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(1,0</w:t>
      </w:r>
      <w:r>
        <w:rPr>
          <w:rFonts w:ascii="Arial" w:hAnsi="Arial" w:cs="Arial"/>
          <w:color w:val="0D0D0D" w:themeColor="text1" w:themeTint="F2"/>
          <w:sz w:val="20"/>
          <w:szCs w:val="20"/>
        </w:rPr>
        <w:t>14</w:t>
      </w:r>
      <w:r w:rsidRPr="00AA52F2">
        <w:rPr>
          <w:rFonts w:ascii="Arial" w:hAnsi="Arial" w:cs="Arial"/>
          <w:color w:val="0D0D0D" w:themeColor="text1" w:themeTint="F2"/>
          <w:sz w:val="20"/>
          <w:szCs w:val="20"/>
        </w:rPr>
        <w:t>)</w:t>
      </w:r>
    </w:p>
    <w:p w:rsidR="00012448" w:rsidRPr="00AA52F2" w:rsidRDefault="00012448" w:rsidP="00012448">
      <w:pPr>
        <w:spacing w:after="0" w:line="240" w:lineRule="auto"/>
        <w:ind w:left="1440" w:firstLine="720"/>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w:t>
      </w:r>
    </w:p>
    <w:p w:rsidR="00012448" w:rsidRPr="00AA52F2" w:rsidRDefault="00012448" w:rsidP="00012448">
      <w:pPr>
        <w:spacing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Cash flow before tax </w:t>
      </w:r>
      <w:r w:rsidRPr="00AA52F2">
        <w:rPr>
          <w:rFonts w:ascii="Arial" w:hAnsi="Arial" w:cs="Arial"/>
          <w:color w:val="0D0D0D" w:themeColor="text1" w:themeTint="F2"/>
          <w:sz w:val="20"/>
          <w:szCs w:val="20"/>
        </w:rPr>
        <w:tab/>
        <w:t xml:space="preserve">3,313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4,051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r>
      <w:r>
        <w:rPr>
          <w:rFonts w:ascii="Arial" w:hAnsi="Arial" w:cs="Arial"/>
          <w:color w:val="0D0D0D" w:themeColor="text1" w:themeTint="F2"/>
          <w:sz w:val="20"/>
          <w:szCs w:val="20"/>
        </w:rPr>
        <w:t>4,019</w:t>
      </w:r>
      <w:r w:rsidRPr="00AA52F2">
        <w:rPr>
          <w:rFonts w:ascii="Arial" w:hAnsi="Arial" w:cs="Arial"/>
          <w:color w:val="0D0D0D" w:themeColor="text1" w:themeTint="F2"/>
          <w:sz w:val="20"/>
          <w:szCs w:val="20"/>
        </w:rPr>
        <w:t xml:space="preserve">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1,</w:t>
      </w:r>
      <w:r>
        <w:rPr>
          <w:rFonts w:ascii="Arial" w:hAnsi="Arial" w:cs="Arial"/>
          <w:color w:val="0D0D0D" w:themeColor="text1" w:themeTint="F2"/>
          <w:sz w:val="20"/>
          <w:szCs w:val="20"/>
        </w:rPr>
        <w:t>519</w:t>
      </w:r>
    </w:p>
    <w:p w:rsidR="00012448" w:rsidRPr="00AA52F2" w:rsidRDefault="00012448" w:rsidP="00012448">
      <w:pPr>
        <w:spacing w:after="0"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Tax at 26%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(861)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(1,053)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(1,04</w:t>
      </w:r>
      <w:r>
        <w:rPr>
          <w:rFonts w:ascii="Arial" w:hAnsi="Arial" w:cs="Arial"/>
          <w:color w:val="0D0D0D" w:themeColor="text1" w:themeTint="F2"/>
          <w:sz w:val="20"/>
          <w:szCs w:val="20"/>
        </w:rPr>
        <w:t>5</w:t>
      </w:r>
      <w:r w:rsidRPr="00AA52F2">
        <w:rPr>
          <w:rFonts w:ascii="Arial" w:hAnsi="Arial" w:cs="Arial"/>
          <w:color w:val="0D0D0D" w:themeColor="text1" w:themeTint="F2"/>
          <w:sz w:val="20"/>
          <w:szCs w:val="20"/>
        </w:rPr>
        <w:t xml:space="preserve">)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(3</w:t>
      </w:r>
      <w:r>
        <w:rPr>
          <w:rFonts w:ascii="Arial" w:hAnsi="Arial" w:cs="Arial"/>
          <w:color w:val="0D0D0D" w:themeColor="text1" w:themeTint="F2"/>
          <w:sz w:val="20"/>
          <w:szCs w:val="20"/>
        </w:rPr>
        <w:t>9</w:t>
      </w:r>
      <w:r w:rsidRPr="00AA52F2">
        <w:rPr>
          <w:rFonts w:ascii="Arial" w:hAnsi="Arial" w:cs="Arial"/>
          <w:color w:val="0D0D0D" w:themeColor="text1" w:themeTint="F2"/>
          <w:sz w:val="20"/>
          <w:szCs w:val="20"/>
        </w:rPr>
        <w:t>5)</w:t>
      </w:r>
    </w:p>
    <w:p w:rsidR="00012448" w:rsidRPr="00AA52F2" w:rsidRDefault="00012448" w:rsidP="00012448">
      <w:pPr>
        <w:spacing w:after="0" w:line="240" w:lineRule="auto"/>
        <w:ind w:left="1440" w:firstLine="720"/>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w:t>
      </w:r>
    </w:p>
    <w:p w:rsidR="00012448" w:rsidRPr="00AA52F2" w:rsidRDefault="00012448" w:rsidP="00012448">
      <w:pPr>
        <w:spacing w:after="0" w:line="36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Cash flow after tax </w:t>
      </w:r>
      <w:r w:rsidRPr="00AA52F2">
        <w:rPr>
          <w:rFonts w:ascii="Arial" w:hAnsi="Arial" w:cs="Arial"/>
          <w:color w:val="0D0D0D" w:themeColor="text1" w:themeTint="F2"/>
          <w:sz w:val="20"/>
          <w:szCs w:val="20"/>
        </w:rPr>
        <w:tab/>
        <w:t xml:space="preserve">3,313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3,1</w:t>
      </w:r>
      <w:r>
        <w:rPr>
          <w:rFonts w:ascii="Arial" w:hAnsi="Arial" w:cs="Arial"/>
          <w:color w:val="0D0D0D" w:themeColor="text1" w:themeTint="F2"/>
          <w:sz w:val="20"/>
          <w:szCs w:val="20"/>
        </w:rPr>
        <w:t>90</w:t>
      </w:r>
      <w:r w:rsidRPr="00AA52F2">
        <w:rPr>
          <w:rFonts w:ascii="Arial" w:hAnsi="Arial" w:cs="Arial"/>
          <w:color w:val="0D0D0D" w:themeColor="text1" w:themeTint="F2"/>
          <w:sz w:val="20"/>
          <w:szCs w:val="20"/>
        </w:rPr>
        <w:t xml:space="preserve">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r>
      <w:r>
        <w:rPr>
          <w:rFonts w:ascii="Arial" w:hAnsi="Arial" w:cs="Arial"/>
          <w:color w:val="0D0D0D" w:themeColor="text1" w:themeTint="F2"/>
          <w:sz w:val="20"/>
          <w:szCs w:val="20"/>
        </w:rPr>
        <w:t>2,966</w:t>
      </w:r>
      <w:r w:rsidRPr="00AA52F2">
        <w:rPr>
          <w:rFonts w:ascii="Arial" w:hAnsi="Arial" w:cs="Arial"/>
          <w:color w:val="0D0D0D" w:themeColor="text1" w:themeTint="F2"/>
          <w:sz w:val="20"/>
          <w:szCs w:val="20"/>
        </w:rPr>
        <w:t xml:space="preserve">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r>
      <w:r>
        <w:rPr>
          <w:rFonts w:ascii="Arial" w:hAnsi="Arial" w:cs="Arial"/>
          <w:color w:val="0D0D0D" w:themeColor="text1" w:themeTint="F2"/>
          <w:sz w:val="20"/>
          <w:szCs w:val="20"/>
        </w:rPr>
        <w:t>474</w:t>
      </w:r>
      <w:r w:rsidRPr="00AA52F2">
        <w:rPr>
          <w:rFonts w:ascii="Arial" w:hAnsi="Arial" w:cs="Arial"/>
          <w:color w:val="0D0D0D" w:themeColor="text1" w:themeTint="F2"/>
          <w:sz w:val="20"/>
          <w:szCs w:val="20"/>
        </w:rPr>
        <w:t xml:space="preserve">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w:t>
      </w:r>
      <w:r>
        <w:rPr>
          <w:rFonts w:ascii="Arial" w:hAnsi="Arial" w:cs="Arial"/>
          <w:color w:val="0D0D0D" w:themeColor="text1" w:themeTint="F2"/>
          <w:sz w:val="20"/>
          <w:szCs w:val="20"/>
        </w:rPr>
        <w:t>39</w:t>
      </w:r>
      <w:r w:rsidRPr="00AA52F2">
        <w:rPr>
          <w:rFonts w:ascii="Arial" w:hAnsi="Arial" w:cs="Arial"/>
          <w:color w:val="0D0D0D" w:themeColor="text1" w:themeTint="F2"/>
          <w:sz w:val="20"/>
          <w:szCs w:val="20"/>
        </w:rPr>
        <w:t>5)</w:t>
      </w:r>
    </w:p>
    <w:p w:rsidR="00012448" w:rsidRPr="00AA52F2" w:rsidRDefault="00012448" w:rsidP="00012448">
      <w:pPr>
        <w:spacing w:after="0"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Scrap value</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750</w:t>
      </w:r>
    </w:p>
    <w:p w:rsidR="00012448" w:rsidRPr="00AA52F2" w:rsidRDefault="00012448" w:rsidP="00012448">
      <w:pPr>
        <w:spacing w:after="0" w:line="240" w:lineRule="auto"/>
        <w:ind w:left="1440" w:firstLine="720"/>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w:t>
      </w:r>
    </w:p>
    <w:p w:rsidR="00012448" w:rsidRPr="00AA52F2" w:rsidRDefault="00012448" w:rsidP="00012448">
      <w:pPr>
        <w:spacing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Net cash flow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3,313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3,190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r>
      <w:r>
        <w:rPr>
          <w:rFonts w:ascii="Arial" w:hAnsi="Arial" w:cs="Arial"/>
          <w:color w:val="0D0D0D" w:themeColor="text1" w:themeTint="F2"/>
          <w:sz w:val="20"/>
          <w:szCs w:val="20"/>
        </w:rPr>
        <w:t>2,966</w:t>
      </w:r>
      <w:r w:rsidRPr="00AA52F2">
        <w:rPr>
          <w:rFonts w:ascii="Arial" w:hAnsi="Arial" w:cs="Arial"/>
          <w:color w:val="0D0D0D" w:themeColor="text1" w:themeTint="F2"/>
          <w:sz w:val="20"/>
          <w:szCs w:val="20"/>
        </w:rPr>
        <w:t xml:space="preserve">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r>
      <w:r>
        <w:rPr>
          <w:rFonts w:ascii="Arial" w:hAnsi="Arial" w:cs="Arial"/>
          <w:color w:val="0D0D0D" w:themeColor="text1" w:themeTint="F2"/>
          <w:sz w:val="20"/>
          <w:szCs w:val="20"/>
        </w:rPr>
        <w:t>1,224</w:t>
      </w:r>
      <w:r w:rsidRPr="00AA52F2">
        <w:rPr>
          <w:rFonts w:ascii="Arial" w:hAnsi="Arial" w:cs="Arial"/>
          <w:color w:val="0D0D0D" w:themeColor="text1" w:themeTint="F2"/>
          <w:sz w:val="20"/>
          <w:szCs w:val="20"/>
        </w:rPr>
        <w:t xml:space="preserve">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(3</w:t>
      </w:r>
      <w:r>
        <w:rPr>
          <w:rFonts w:ascii="Arial" w:hAnsi="Arial" w:cs="Arial"/>
          <w:color w:val="0D0D0D" w:themeColor="text1" w:themeTint="F2"/>
          <w:sz w:val="20"/>
          <w:szCs w:val="20"/>
        </w:rPr>
        <w:t>9</w:t>
      </w:r>
      <w:r w:rsidRPr="00AA52F2">
        <w:rPr>
          <w:rFonts w:ascii="Arial" w:hAnsi="Arial" w:cs="Arial"/>
          <w:color w:val="0D0D0D" w:themeColor="text1" w:themeTint="F2"/>
          <w:sz w:val="20"/>
          <w:szCs w:val="20"/>
        </w:rPr>
        <w:t>5)</w:t>
      </w:r>
    </w:p>
    <w:p w:rsidR="00012448" w:rsidRPr="00AA52F2" w:rsidRDefault="00012448" w:rsidP="00012448">
      <w:pPr>
        <w:spacing w:after="0"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Discount at 11% </w:t>
      </w:r>
      <w:r w:rsidRPr="00AA52F2">
        <w:rPr>
          <w:rFonts w:ascii="Arial" w:hAnsi="Arial" w:cs="Arial"/>
          <w:color w:val="0D0D0D" w:themeColor="text1" w:themeTint="F2"/>
          <w:sz w:val="20"/>
          <w:szCs w:val="20"/>
        </w:rPr>
        <w:tab/>
        <w:t xml:space="preserve">0·9009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0·8116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0·7312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0·6587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0·5935</w:t>
      </w:r>
    </w:p>
    <w:p w:rsidR="00012448" w:rsidRPr="00AA52F2" w:rsidRDefault="00012448" w:rsidP="00012448">
      <w:pPr>
        <w:spacing w:after="0" w:line="240" w:lineRule="auto"/>
        <w:ind w:left="1440" w:firstLine="720"/>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w:t>
      </w:r>
    </w:p>
    <w:p w:rsidR="00012448" w:rsidRPr="00AA52F2" w:rsidRDefault="00012448" w:rsidP="00012448">
      <w:pPr>
        <w:spacing w:after="0"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Present values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2,985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2,589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r>
      <w:r>
        <w:rPr>
          <w:rFonts w:ascii="Arial" w:hAnsi="Arial" w:cs="Arial"/>
          <w:color w:val="0D0D0D" w:themeColor="text1" w:themeTint="F2"/>
          <w:sz w:val="20"/>
          <w:szCs w:val="20"/>
        </w:rPr>
        <w:t>2,169</w:t>
      </w:r>
      <w:r w:rsidRPr="00AA52F2">
        <w:rPr>
          <w:rFonts w:ascii="Arial" w:hAnsi="Arial" w:cs="Arial"/>
          <w:color w:val="0D0D0D" w:themeColor="text1" w:themeTint="F2"/>
          <w:sz w:val="20"/>
          <w:szCs w:val="20"/>
        </w:rPr>
        <w:t xml:space="preserve">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r>
      <w:r>
        <w:rPr>
          <w:rFonts w:ascii="Arial" w:hAnsi="Arial" w:cs="Arial"/>
          <w:color w:val="0D0D0D" w:themeColor="text1" w:themeTint="F2"/>
          <w:sz w:val="20"/>
          <w:szCs w:val="20"/>
        </w:rPr>
        <w:t>806</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w:t>
      </w:r>
      <w:r>
        <w:rPr>
          <w:rFonts w:ascii="Arial" w:hAnsi="Arial" w:cs="Arial"/>
          <w:color w:val="0D0D0D" w:themeColor="text1" w:themeTint="F2"/>
          <w:sz w:val="20"/>
          <w:szCs w:val="20"/>
        </w:rPr>
        <w:t>234</w:t>
      </w:r>
      <w:r w:rsidRPr="00AA52F2">
        <w:rPr>
          <w:rFonts w:ascii="Arial" w:hAnsi="Arial" w:cs="Arial"/>
          <w:color w:val="0D0D0D" w:themeColor="text1" w:themeTint="F2"/>
          <w:sz w:val="20"/>
          <w:szCs w:val="20"/>
        </w:rPr>
        <w:t>)</w:t>
      </w:r>
    </w:p>
    <w:p w:rsidR="00012448" w:rsidRPr="00AA52F2" w:rsidRDefault="00012448" w:rsidP="00012448">
      <w:pPr>
        <w:spacing w:after="0"/>
        <w:ind w:left="1440" w:firstLine="720"/>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 xml:space="preserve">–––––– </w:t>
      </w:r>
      <w:r w:rsidRPr="00AA52F2">
        <w:rPr>
          <w:rFonts w:ascii="Arial" w:hAnsi="Arial" w:cs="Arial"/>
          <w:color w:val="0D0D0D" w:themeColor="text1" w:themeTint="F2"/>
          <w:sz w:val="20"/>
          <w:szCs w:val="20"/>
        </w:rPr>
        <w:tab/>
        <w:t>––––––</w:t>
      </w:r>
    </w:p>
    <w:p w:rsidR="00012448" w:rsidRPr="00AA52F2" w:rsidRDefault="00012448" w:rsidP="00012448">
      <w:pPr>
        <w:spacing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Sum of present values </w:t>
      </w:r>
      <w:r w:rsidRPr="00AA52F2">
        <w:rPr>
          <w:rFonts w:ascii="Arial" w:hAnsi="Arial" w:cs="Arial"/>
          <w:color w:val="0D0D0D" w:themeColor="text1" w:themeTint="F2"/>
          <w:sz w:val="20"/>
          <w:szCs w:val="20"/>
        </w:rPr>
        <w:tab/>
      </w:r>
      <w:r>
        <w:rPr>
          <w:rFonts w:ascii="Arial" w:hAnsi="Arial" w:cs="Arial"/>
          <w:color w:val="0D0D0D" w:themeColor="text1" w:themeTint="F2"/>
          <w:sz w:val="20"/>
          <w:szCs w:val="20"/>
        </w:rPr>
        <w:t>8,315</w:t>
      </w:r>
    </w:p>
    <w:p w:rsidR="00012448" w:rsidRPr="00AA52F2" w:rsidRDefault="00012448" w:rsidP="00012448">
      <w:pPr>
        <w:spacing w:after="0"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Initial investment</w:t>
      </w:r>
      <w:r w:rsidRPr="00AA52F2">
        <w:rPr>
          <w:rFonts w:ascii="Arial" w:hAnsi="Arial" w:cs="Arial"/>
          <w:color w:val="0D0D0D" w:themeColor="text1" w:themeTint="F2"/>
          <w:sz w:val="20"/>
          <w:szCs w:val="20"/>
        </w:rPr>
        <w:tab/>
        <w:t>5,000</w:t>
      </w:r>
    </w:p>
    <w:p w:rsidR="00012448" w:rsidRPr="00AA52F2" w:rsidRDefault="00012448" w:rsidP="00012448">
      <w:pPr>
        <w:spacing w:after="0" w:line="240" w:lineRule="auto"/>
        <w:ind w:left="1440" w:firstLine="720"/>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w:t>
      </w:r>
    </w:p>
    <w:p w:rsidR="00012448" w:rsidRPr="00B53271" w:rsidRDefault="00012448" w:rsidP="00012448">
      <w:pPr>
        <w:spacing w:after="0" w:line="240" w:lineRule="auto"/>
        <w:jc w:val="both"/>
        <w:rPr>
          <w:rFonts w:ascii="Arial" w:hAnsi="Arial" w:cs="Arial"/>
          <w:b/>
          <w:color w:val="0D0D0D" w:themeColor="text1" w:themeTint="F2"/>
          <w:sz w:val="20"/>
          <w:szCs w:val="20"/>
        </w:rPr>
      </w:pPr>
      <w:r w:rsidRPr="00AA52F2">
        <w:rPr>
          <w:rFonts w:ascii="Arial" w:hAnsi="Arial" w:cs="Arial"/>
          <w:color w:val="0D0D0D" w:themeColor="text1" w:themeTint="F2"/>
          <w:sz w:val="20"/>
          <w:szCs w:val="20"/>
        </w:rPr>
        <w:t xml:space="preserve">Net present value </w:t>
      </w:r>
      <w:r w:rsidRPr="00AA52F2">
        <w:rPr>
          <w:rFonts w:ascii="Arial" w:hAnsi="Arial" w:cs="Arial"/>
          <w:color w:val="0D0D0D" w:themeColor="text1" w:themeTint="F2"/>
          <w:sz w:val="20"/>
          <w:szCs w:val="20"/>
        </w:rPr>
        <w:tab/>
      </w:r>
      <w:r w:rsidRPr="00B53271">
        <w:rPr>
          <w:rFonts w:ascii="Arial" w:hAnsi="Arial" w:cs="Arial"/>
          <w:b/>
          <w:color w:val="0D0D0D" w:themeColor="text1" w:themeTint="F2"/>
          <w:sz w:val="20"/>
          <w:szCs w:val="20"/>
        </w:rPr>
        <w:t>3,315</w:t>
      </w:r>
    </w:p>
    <w:p w:rsidR="00012448" w:rsidRPr="00AA52F2" w:rsidRDefault="00012448" w:rsidP="00012448">
      <w:pPr>
        <w:spacing w:after="0" w:line="480" w:lineRule="auto"/>
        <w:ind w:left="1440" w:firstLine="720"/>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w:t>
      </w:r>
    </w:p>
    <w:p w:rsidR="00012448" w:rsidRPr="00AC5E69" w:rsidRDefault="00012448" w:rsidP="00012448">
      <w:pPr>
        <w:spacing w:line="240" w:lineRule="auto"/>
        <w:jc w:val="both"/>
        <w:rPr>
          <w:rFonts w:ascii="Arial" w:hAnsi="Arial" w:cs="Arial"/>
          <w:b/>
          <w:color w:val="0D0D0D" w:themeColor="text1" w:themeTint="F2"/>
          <w:sz w:val="20"/>
          <w:szCs w:val="20"/>
          <w:u w:val="single"/>
        </w:rPr>
      </w:pPr>
      <w:r w:rsidRPr="00AC5E69">
        <w:rPr>
          <w:rFonts w:ascii="Arial" w:hAnsi="Arial" w:cs="Arial"/>
          <w:b/>
          <w:color w:val="0D0D0D" w:themeColor="text1" w:themeTint="F2"/>
          <w:sz w:val="20"/>
          <w:szCs w:val="20"/>
          <w:u w:val="single"/>
        </w:rPr>
        <w:t>W1</w:t>
      </w:r>
    </w:p>
    <w:p w:rsidR="00012448" w:rsidRPr="00AA52F2" w:rsidRDefault="00012448" w:rsidP="00012448">
      <w:pPr>
        <w:spacing w:line="240" w:lineRule="auto"/>
        <w:jc w:val="both"/>
        <w:rPr>
          <w:rFonts w:ascii="Arial" w:hAnsi="Arial" w:cs="Arial"/>
          <w:b/>
          <w:color w:val="0D0D0D" w:themeColor="text1" w:themeTint="F2"/>
          <w:sz w:val="20"/>
          <w:szCs w:val="20"/>
        </w:rPr>
      </w:pPr>
      <w:r w:rsidRPr="00AA52F2">
        <w:rPr>
          <w:rFonts w:ascii="Arial" w:hAnsi="Arial" w:cs="Arial"/>
          <w:b/>
          <w:color w:val="0D0D0D" w:themeColor="text1" w:themeTint="F2"/>
          <w:sz w:val="20"/>
          <w:szCs w:val="20"/>
        </w:rPr>
        <w:t xml:space="preserve">Year </w:t>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t xml:space="preserve">1 </w:t>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t xml:space="preserve">2 </w:t>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t xml:space="preserve">3 </w:t>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t>4</w:t>
      </w:r>
    </w:p>
    <w:p w:rsidR="00012448" w:rsidRPr="00AA52F2" w:rsidRDefault="00012448" w:rsidP="00012448">
      <w:pPr>
        <w:spacing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Selling price (£/unit)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650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690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710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780</w:t>
      </w:r>
    </w:p>
    <w:p w:rsidR="00012448" w:rsidRPr="00AA52F2" w:rsidRDefault="00012448" w:rsidP="00012448">
      <w:pPr>
        <w:spacing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Inflated selling price (£/unit) </w:t>
      </w:r>
      <w:r w:rsidRPr="00AA52F2">
        <w:rPr>
          <w:rFonts w:ascii="Arial" w:hAnsi="Arial" w:cs="Arial"/>
          <w:color w:val="0D0D0D" w:themeColor="text1" w:themeTint="F2"/>
          <w:sz w:val="20"/>
          <w:szCs w:val="20"/>
        </w:rPr>
        <w:tab/>
        <w:t xml:space="preserve">676.00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717.60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738.40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811.20</w:t>
      </w:r>
    </w:p>
    <w:p w:rsidR="00012448" w:rsidRPr="00AA52F2" w:rsidRDefault="00012448" w:rsidP="00012448">
      <w:pPr>
        <w:spacing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Sales volume (units/year) </w:t>
      </w:r>
      <w:r w:rsidRPr="00AA52F2">
        <w:rPr>
          <w:rFonts w:ascii="Arial" w:hAnsi="Arial" w:cs="Arial"/>
          <w:color w:val="0D0D0D" w:themeColor="text1" w:themeTint="F2"/>
          <w:sz w:val="20"/>
          <w:szCs w:val="20"/>
        </w:rPr>
        <w:tab/>
        <w:t xml:space="preserve">10,000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11,000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11,000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5,000</w:t>
      </w:r>
    </w:p>
    <w:p w:rsidR="00012448" w:rsidRPr="00AA52F2" w:rsidRDefault="00012448" w:rsidP="00012448">
      <w:pPr>
        <w:spacing w:line="48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Sales income (x £1,000/year) </w:t>
      </w:r>
      <w:r w:rsidRPr="00AA52F2">
        <w:rPr>
          <w:rFonts w:ascii="Arial" w:hAnsi="Arial" w:cs="Arial"/>
          <w:color w:val="0D0D0D" w:themeColor="text1" w:themeTint="F2"/>
          <w:sz w:val="20"/>
          <w:szCs w:val="20"/>
        </w:rPr>
        <w:tab/>
        <w:t xml:space="preserve">6,760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7,894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8,122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4,056</w:t>
      </w:r>
    </w:p>
    <w:p w:rsidR="00012448" w:rsidRPr="00AC5E69" w:rsidRDefault="00012448" w:rsidP="00012448">
      <w:pPr>
        <w:spacing w:line="240" w:lineRule="auto"/>
        <w:jc w:val="both"/>
        <w:rPr>
          <w:rFonts w:ascii="Arial" w:hAnsi="Arial" w:cs="Arial"/>
          <w:b/>
          <w:color w:val="0D0D0D" w:themeColor="text1" w:themeTint="F2"/>
          <w:sz w:val="20"/>
          <w:szCs w:val="20"/>
          <w:u w:val="single"/>
        </w:rPr>
      </w:pPr>
      <w:r w:rsidRPr="00AC5E69">
        <w:rPr>
          <w:rFonts w:ascii="Arial" w:hAnsi="Arial" w:cs="Arial"/>
          <w:b/>
          <w:color w:val="0D0D0D" w:themeColor="text1" w:themeTint="F2"/>
          <w:sz w:val="20"/>
          <w:szCs w:val="20"/>
          <w:u w:val="single"/>
        </w:rPr>
        <w:t>W2</w:t>
      </w:r>
    </w:p>
    <w:p w:rsidR="00012448" w:rsidRPr="00AA52F2" w:rsidRDefault="00012448" w:rsidP="00012448">
      <w:pPr>
        <w:spacing w:line="240" w:lineRule="auto"/>
        <w:jc w:val="both"/>
        <w:rPr>
          <w:rFonts w:ascii="Arial" w:hAnsi="Arial" w:cs="Arial"/>
          <w:b/>
          <w:color w:val="0D0D0D" w:themeColor="text1" w:themeTint="F2"/>
          <w:sz w:val="20"/>
          <w:szCs w:val="20"/>
        </w:rPr>
      </w:pPr>
      <w:r w:rsidRPr="00AA52F2">
        <w:rPr>
          <w:rFonts w:ascii="Arial" w:hAnsi="Arial" w:cs="Arial"/>
          <w:b/>
          <w:color w:val="0D0D0D" w:themeColor="text1" w:themeTint="F2"/>
          <w:sz w:val="20"/>
          <w:szCs w:val="20"/>
        </w:rPr>
        <w:t xml:space="preserve">Year </w:t>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t xml:space="preserve">1 </w:t>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t xml:space="preserve">2 </w:t>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t xml:space="preserve">3 </w:t>
      </w:r>
      <w:r w:rsidRPr="00AA52F2">
        <w:rPr>
          <w:rFonts w:ascii="Arial" w:hAnsi="Arial" w:cs="Arial"/>
          <w:b/>
          <w:color w:val="0D0D0D" w:themeColor="text1" w:themeTint="F2"/>
          <w:sz w:val="20"/>
          <w:szCs w:val="20"/>
        </w:rPr>
        <w:tab/>
      </w:r>
      <w:r w:rsidRPr="00AA52F2">
        <w:rPr>
          <w:rFonts w:ascii="Arial" w:hAnsi="Arial" w:cs="Arial"/>
          <w:b/>
          <w:color w:val="0D0D0D" w:themeColor="text1" w:themeTint="F2"/>
          <w:sz w:val="20"/>
          <w:szCs w:val="20"/>
        </w:rPr>
        <w:tab/>
        <w:t>4</w:t>
      </w:r>
    </w:p>
    <w:p w:rsidR="00012448" w:rsidRPr="00AA52F2" w:rsidRDefault="00012448" w:rsidP="00012448">
      <w:pPr>
        <w:spacing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Variable cost (£/unit)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240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250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270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290</w:t>
      </w:r>
    </w:p>
    <w:p w:rsidR="00012448" w:rsidRPr="00AA52F2" w:rsidRDefault="00012448" w:rsidP="00012448">
      <w:pPr>
        <w:spacing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Inflated variable cost (£/unit) </w:t>
      </w:r>
      <w:r w:rsidRPr="00AA52F2">
        <w:rPr>
          <w:rFonts w:ascii="Arial" w:hAnsi="Arial" w:cs="Arial"/>
          <w:color w:val="0D0D0D" w:themeColor="text1" w:themeTint="F2"/>
          <w:sz w:val="20"/>
          <w:szCs w:val="20"/>
        </w:rPr>
        <w:tab/>
        <w:t xml:space="preserve">252.00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262.50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283.50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304.50</w:t>
      </w:r>
    </w:p>
    <w:p w:rsidR="00012448" w:rsidRPr="00AA52F2" w:rsidRDefault="00012448" w:rsidP="00012448">
      <w:pPr>
        <w:spacing w:line="24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Sales volume (units/year) </w:t>
      </w:r>
      <w:r w:rsidRPr="00AA52F2">
        <w:rPr>
          <w:rFonts w:ascii="Arial" w:hAnsi="Arial" w:cs="Arial"/>
          <w:color w:val="0D0D0D" w:themeColor="text1" w:themeTint="F2"/>
          <w:sz w:val="20"/>
          <w:szCs w:val="20"/>
        </w:rPr>
        <w:tab/>
        <w:t xml:space="preserve">10,000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11,000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11,000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5,000</w:t>
      </w:r>
    </w:p>
    <w:p w:rsidR="00012448" w:rsidRPr="00AA52F2" w:rsidRDefault="00012448" w:rsidP="00012448">
      <w:pPr>
        <w:spacing w:line="48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 xml:space="preserve">Variable cost (x £1,000/year) </w:t>
      </w:r>
      <w:r w:rsidRPr="00AA52F2">
        <w:rPr>
          <w:rFonts w:ascii="Arial" w:hAnsi="Arial" w:cs="Arial"/>
          <w:color w:val="0D0D0D" w:themeColor="text1" w:themeTint="F2"/>
          <w:sz w:val="20"/>
          <w:szCs w:val="20"/>
        </w:rPr>
        <w:tab/>
        <w:t xml:space="preserve">2,520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2,888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 xml:space="preserve">3,119 </w:t>
      </w:r>
      <w:r w:rsidRPr="00AA52F2">
        <w:rPr>
          <w:rFonts w:ascii="Arial" w:hAnsi="Arial" w:cs="Arial"/>
          <w:color w:val="0D0D0D" w:themeColor="text1" w:themeTint="F2"/>
          <w:sz w:val="20"/>
          <w:szCs w:val="20"/>
        </w:rPr>
        <w:tab/>
      </w:r>
      <w:r w:rsidRPr="00AA52F2">
        <w:rPr>
          <w:rFonts w:ascii="Arial" w:hAnsi="Arial" w:cs="Arial"/>
          <w:color w:val="0D0D0D" w:themeColor="text1" w:themeTint="F2"/>
          <w:sz w:val="20"/>
          <w:szCs w:val="20"/>
        </w:rPr>
        <w:tab/>
        <w:t>1,523</w:t>
      </w:r>
    </w:p>
    <w:p w:rsidR="00600FD2" w:rsidRDefault="00600FD2" w:rsidP="00012448">
      <w:pPr>
        <w:spacing w:line="240" w:lineRule="auto"/>
        <w:jc w:val="both"/>
        <w:rPr>
          <w:rFonts w:ascii="Arial" w:hAnsi="Arial" w:cs="Arial"/>
          <w:b/>
          <w:color w:val="0D0D0D" w:themeColor="text1" w:themeTint="F2"/>
          <w:sz w:val="20"/>
          <w:szCs w:val="20"/>
        </w:rPr>
      </w:pPr>
    </w:p>
    <w:p w:rsidR="00012448" w:rsidRPr="00F90590" w:rsidRDefault="00012448" w:rsidP="00012448">
      <w:pPr>
        <w:spacing w:line="240" w:lineRule="auto"/>
        <w:jc w:val="both"/>
        <w:rPr>
          <w:rFonts w:ascii="Arial" w:hAnsi="Arial" w:cs="Arial"/>
          <w:b/>
          <w:color w:val="0D0D0D" w:themeColor="text1" w:themeTint="F2"/>
          <w:sz w:val="20"/>
          <w:szCs w:val="20"/>
        </w:rPr>
      </w:pPr>
      <w:r w:rsidRPr="00AA52F2">
        <w:rPr>
          <w:rFonts w:ascii="Arial" w:hAnsi="Arial" w:cs="Arial"/>
          <w:b/>
          <w:color w:val="0D0D0D" w:themeColor="text1" w:themeTint="F2"/>
          <w:sz w:val="20"/>
          <w:szCs w:val="20"/>
        </w:rPr>
        <w:lastRenderedPageBreak/>
        <w:t>(</w:t>
      </w:r>
      <w:r>
        <w:rPr>
          <w:rFonts w:ascii="Arial" w:hAnsi="Arial" w:cs="Arial"/>
          <w:b/>
          <w:color w:val="0D0D0D" w:themeColor="text1" w:themeTint="F2"/>
          <w:sz w:val="20"/>
          <w:szCs w:val="20"/>
        </w:rPr>
        <w:t>b</w:t>
      </w:r>
      <w:r w:rsidRPr="00AA52F2">
        <w:rPr>
          <w:rFonts w:ascii="Arial" w:hAnsi="Arial" w:cs="Arial"/>
          <w:b/>
          <w:color w:val="0D0D0D" w:themeColor="text1" w:themeTint="F2"/>
          <w:sz w:val="20"/>
          <w:szCs w:val="20"/>
        </w:rPr>
        <w:t xml:space="preserve">) </w:t>
      </w:r>
      <w:r w:rsidRPr="00F90590">
        <w:rPr>
          <w:rFonts w:ascii="Arial" w:hAnsi="Arial" w:cs="Arial"/>
          <w:b/>
          <w:color w:val="0D0D0D" w:themeColor="text1" w:themeTint="F2"/>
          <w:sz w:val="20"/>
          <w:szCs w:val="20"/>
        </w:rPr>
        <w:t xml:space="preserve">Financing options include the following.  </w:t>
      </w:r>
    </w:p>
    <w:p w:rsidR="00012448" w:rsidRPr="00F90590" w:rsidRDefault="00012448" w:rsidP="00012448">
      <w:pPr>
        <w:jc w:val="both"/>
        <w:rPr>
          <w:rFonts w:ascii="Arial" w:hAnsi="Arial" w:cs="Arial"/>
          <w:color w:val="0D0D0D" w:themeColor="text1" w:themeTint="F2"/>
          <w:sz w:val="20"/>
          <w:szCs w:val="20"/>
        </w:rPr>
      </w:pPr>
      <w:r w:rsidRPr="00F90590">
        <w:rPr>
          <w:rFonts w:ascii="Arial" w:hAnsi="Arial" w:cs="Arial"/>
          <w:color w:val="0D0D0D" w:themeColor="text1" w:themeTint="F2"/>
          <w:sz w:val="20"/>
          <w:szCs w:val="20"/>
          <w:u w:val="single"/>
        </w:rPr>
        <w:t>Finance Lease-</w:t>
      </w:r>
      <w:r w:rsidRPr="00F90590">
        <w:rPr>
          <w:rFonts w:ascii="Arial" w:hAnsi="Arial" w:cs="Arial"/>
          <w:color w:val="0D0D0D" w:themeColor="text1" w:themeTint="F2"/>
          <w:sz w:val="20"/>
          <w:szCs w:val="20"/>
        </w:rPr>
        <w:t xml:space="preserve"> some of the new </w:t>
      </w:r>
      <w:r>
        <w:rPr>
          <w:rFonts w:ascii="Arial" w:hAnsi="Arial" w:cs="Arial"/>
          <w:color w:val="0D0D0D" w:themeColor="text1" w:themeTint="F2"/>
          <w:sz w:val="20"/>
          <w:szCs w:val="20"/>
        </w:rPr>
        <w:t>funding</w:t>
      </w:r>
      <w:r w:rsidRPr="00F90590">
        <w:rPr>
          <w:rFonts w:ascii="Arial" w:hAnsi="Arial" w:cs="Arial"/>
          <w:color w:val="0D0D0D" w:themeColor="text1" w:themeTint="F2"/>
          <w:sz w:val="20"/>
          <w:szCs w:val="20"/>
        </w:rPr>
        <w:t xml:space="preserve"> could be acquired using a form of finance leasing.  This would have the benefit that lease payments would be tax deductible and the cost of the asset would be spread evenly over their useful life.  The company would have certainty over the payments it is expected to make.  The company could also consider a sale and leaseback agreement on some of its current assets.  </w:t>
      </w:r>
    </w:p>
    <w:p w:rsidR="00012448" w:rsidRPr="00F90590" w:rsidRDefault="00012448" w:rsidP="00012448">
      <w:pPr>
        <w:jc w:val="both"/>
        <w:rPr>
          <w:rFonts w:ascii="Arial" w:hAnsi="Arial" w:cs="Arial"/>
          <w:color w:val="0D0D0D" w:themeColor="text1" w:themeTint="F2"/>
          <w:sz w:val="20"/>
          <w:szCs w:val="20"/>
        </w:rPr>
      </w:pPr>
      <w:r w:rsidRPr="00F90590">
        <w:rPr>
          <w:rFonts w:ascii="Arial" w:hAnsi="Arial" w:cs="Arial"/>
          <w:color w:val="0D0D0D" w:themeColor="text1" w:themeTint="F2"/>
          <w:sz w:val="20"/>
          <w:szCs w:val="20"/>
          <w:u w:val="single"/>
        </w:rPr>
        <w:t>Operational Lease-</w:t>
      </w:r>
      <w:r w:rsidRPr="00F90590">
        <w:rPr>
          <w:rFonts w:ascii="Arial" w:hAnsi="Arial" w:cs="Arial"/>
          <w:color w:val="0D0D0D" w:themeColor="text1" w:themeTint="F2"/>
          <w:sz w:val="20"/>
          <w:szCs w:val="20"/>
        </w:rPr>
        <w:t xml:space="preserve"> some of the required </w:t>
      </w:r>
      <w:r>
        <w:rPr>
          <w:rFonts w:ascii="Arial" w:hAnsi="Arial" w:cs="Arial"/>
          <w:color w:val="0D0D0D" w:themeColor="text1" w:themeTint="F2"/>
          <w:sz w:val="20"/>
          <w:szCs w:val="20"/>
        </w:rPr>
        <w:t>funding</w:t>
      </w:r>
      <w:r w:rsidRPr="00F90590">
        <w:rPr>
          <w:rFonts w:ascii="Arial" w:hAnsi="Arial" w:cs="Arial"/>
          <w:color w:val="0D0D0D" w:themeColor="text1" w:themeTint="F2"/>
          <w:sz w:val="20"/>
          <w:szCs w:val="20"/>
        </w:rPr>
        <w:t xml:space="preserve"> may be available through operating leases where the company is committed to only pay a regular rental charge.</w:t>
      </w:r>
    </w:p>
    <w:p w:rsidR="00012448" w:rsidRPr="00F90590" w:rsidRDefault="00012448" w:rsidP="00012448">
      <w:pPr>
        <w:jc w:val="both"/>
        <w:rPr>
          <w:rFonts w:ascii="Arial" w:hAnsi="Arial" w:cs="Arial"/>
          <w:color w:val="0D0D0D" w:themeColor="text1" w:themeTint="F2"/>
          <w:sz w:val="20"/>
          <w:szCs w:val="20"/>
        </w:rPr>
      </w:pPr>
      <w:r w:rsidRPr="00F90590">
        <w:rPr>
          <w:rFonts w:ascii="Arial" w:hAnsi="Arial" w:cs="Arial"/>
          <w:color w:val="0D0D0D" w:themeColor="text1" w:themeTint="F2"/>
          <w:sz w:val="20"/>
          <w:szCs w:val="20"/>
          <w:u w:val="single"/>
        </w:rPr>
        <w:t>Venture capital-</w:t>
      </w:r>
      <w:r w:rsidRPr="00F90590">
        <w:rPr>
          <w:rFonts w:ascii="Arial" w:hAnsi="Arial" w:cs="Arial"/>
          <w:color w:val="0D0D0D" w:themeColor="text1" w:themeTint="F2"/>
          <w:sz w:val="20"/>
          <w:szCs w:val="20"/>
        </w:rPr>
        <w:t xml:space="preserve"> the company </w:t>
      </w:r>
      <w:r>
        <w:rPr>
          <w:rFonts w:ascii="Arial" w:hAnsi="Arial" w:cs="Arial"/>
          <w:color w:val="0D0D0D" w:themeColor="text1" w:themeTint="F2"/>
          <w:sz w:val="20"/>
          <w:szCs w:val="20"/>
        </w:rPr>
        <w:t>may be o</w:t>
      </w:r>
      <w:r w:rsidRPr="00F90590">
        <w:rPr>
          <w:rFonts w:ascii="Arial" w:hAnsi="Arial" w:cs="Arial"/>
          <w:color w:val="0D0D0D" w:themeColor="text1" w:themeTint="F2"/>
          <w:sz w:val="20"/>
          <w:szCs w:val="20"/>
        </w:rPr>
        <w:t xml:space="preserve">f sufficient size and growth potential which should make it suitable for development funding from a venture capital organisation.  However, the investor is likely to require a shareholding in </w:t>
      </w:r>
      <w:r>
        <w:rPr>
          <w:rFonts w:ascii="Arial" w:hAnsi="Arial" w:cs="Arial"/>
          <w:color w:val="0D0D0D" w:themeColor="text1" w:themeTint="F2"/>
          <w:sz w:val="20"/>
          <w:szCs w:val="20"/>
        </w:rPr>
        <w:t>the company</w:t>
      </w:r>
      <w:r w:rsidRPr="00F90590">
        <w:rPr>
          <w:rFonts w:ascii="Arial" w:hAnsi="Arial" w:cs="Arial"/>
          <w:color w:val="0D0D0D" w:themeColor="text1" w:themeTint="F2"/>
          <w:sz w:val="20"/>
          <w:szCs w:val="20"/>
        </w:rPr>
        <w:t xml:space="preserve"> and a seat on the board in return for its investment, the directors would have to be prepared for a dilution in their control of the company.</w:t>
      </w:r>
    </w:p>
    <w:p w:rsidR="00012448" w:rsidRPr="00F90590" w:rsidRDefault="00012448" w:rsidP="00012448">
      <w:pPr>
        <w:jc w:val="both"/>
        <w:rPr>
          <w:rFonts w:ascii="Arial" w:hAnsi="Arial" w:cs="Arial"/>
          <w:color w:val="0D0D0D" w:themeColor="text1" w:themeTint="F2"/>
          <w:sz w:val="20"/>
          <w:szCs w:val="20"/>
        </w:rPr>
      </w:pPr>
      <w:r w:rsidRPr="00F90590">
        <w:rPr>
          <w:rFonts w:ascii="Arial" w:hAnsi="Arial" w:cs="Arial"/>
          <w:color w:val="0D0D0D" w:themeColor="text1" w:themeTint="F2"/>
          <w:sz w:val="20"/>
          <w:szCs w:val="20"/>
          <w:u w:val="single"/>
        </w:rPr>
        <w:t>Equity-</w:t>
      </w:r>
      <w:r w:rsidRPr="00F90590">
        <w:rPr>
          <w:rFonts w:ascii="Arial" w:hAnsi="Arial" w:cs="Arial"/>
          <w:color w:val="0D0D0D" w:themeColor="text1" w:themeTint="F2"/>
          <w:sz w:val="20"/>
          <w:szCs w:val="20"/>
        </w:rPr>
        <w:t xml:space="preserve"> the company could consider raising more equity capital by an issue of shares to new investors or a rights issue to its current shareholders.</w:t>
      </w:r>
    </w:p>
    <w:p w:rsidR="00012448" w:rsidRPr="00F90590" w:rsidRDefault="00012448" w:rsidP="00012448">
      <w:pPr>
        <w:jc w:val="both"/>
        <w:rPr>
          <w:rFonts w:ascii="Arial" w:hAnsi="Arial" w:cs="Arial"/>
          <w:color w:val="0D0D0D" w:themeColor="text1" w:themeTint="F2"/>
          <w:sz w:val="20"/>
          <w:szCs w:val="20"/>
        </w:rPr>
      </w:pPr>
      <w:r w:rsidRPr="00F90590">
        <w:rPr>
          <w:rFonts w:ascii="Arial" w:hAnsi="Arial" w:cs="Arial"/>
          <w:color w:val="0D0D0D" w:themeColor="text1" w:themeTint="F2"/>
          <w:sz w:val="20"/>
          <w:szCs w:val="20"/>
          <w:u w:val="single"/>
        </w:rPr>
        <w:t>Mortgage</w:t>
      </w:r>
      <w:r w:rsidRPr="00F90590">
        <w:rPr>
          <w:rFonts w:ascii="Arial" w:hAnsi="Arial" w:cs="Arial"/>
          <w:color w:val="0D0D0D" w:themeColor="text1" w:themeTint="F2"/>
          <w:sz w:val="20"/>
          <w:szCs w:val="20"/>
        </w:rPr>
        <w:t xml:space="preserve">- </w:t>
      </w:r>
      <w:r>
        <w:rPr>
          <w:rFonts w:ascii="Arial" w:hAnsi="Arial" w:cs="Arial"/>
          <w:color w:val="0D0D0D" w:themeColor="text1" w:themeTint="F2"/>
          <w:sz w:val="20"/>
          <w:szCs w:val="20"/>
        </w:rPr>
        <w:t xml:space="preserve">the company </w:t>
      </w:r>
      <w:r w:rsidRPr="00F90590">
        <w:rPr>
          <w:rFonts w:ascii="Arial" w:hAnsi="Arial" w:cs="Arial"/>
          <w:color w:val="0D0D0D" w:themeColor="text1" w:themeTint="F2"/>
          <w:sz w:val="20"/>
          <w:szCs w:val="20"/>
        </w:rPr>
        <w:t>could consider raising an additional mortgage on its existing property.</w:t>
      </w:r>
    </w:p>
    <w:p w:rsidR="00012448" w:rsidRPr="00F90590" w:rsidRDefault="00012448" w:rsidP="00012448">
      <w:pPr>
        <w:jc w:val="both"/>
        <w:rPr>
          <w:rFonts w:ascii="Arial" w:hAnsi="Arial" w:cs="Arial"/>
          <w:color w:val="0D0D0D" w:themeColor="text1" w:themeTint="F2"/>
          <w:sz w:val="20"/>
          <w:szCs w:val="20"/>
        </w:rPr>
      </w:pPr>
      <w:r w:rsidRPr="00F90590">
        <w:rPr>
          <w:rFonts w:ascii="Arial" w:hAnsi="Arial" w:cs="Arial"/>
          <w:color w:val="0D0D0D" w:themeColor="text1" w:themeTint="F2"/>
          <w:sz w:val="20"/>
          <w:szCs w:val="20"/>
          <w:u w:val="single"/>
        </w:rPr>
        <w:t>Invoice discounting / factoring-</w:t>
      </w:r>
      <w:r w:rsidRPr="00F90590">
        <w:rPr>
          <w:rFonts w:ascii="Arial" w:hAnsi="Arial" w:cs="Arial"/>
          <w:color w:val="0D0D0D" w:themeColor="text1" w:themeTint="F2"/>
          <w:sz w:val="20"/>
          <w:szCs w:val="20"/>
        </w:rPr>
        <w:t xml:space="preserve"> the company could enter into an agreement with a finance company to discount or factor its Receivables, thus releasing a significant proportion of working capital tied up in its customers.</w:t>
      </w:r>
    </w:p>
    <w:p w:rsidR="00012448" w:rsidRPr="00AA52F2" w:rsidRDefault="00012448" w:rsidP="00012448">
      <w:pPr>
        <w:spacing w:line="240" w:lineRule="auto"/>
        <w:jc w:val="both"/>
        <w:rPr>
          <w:rFonts w:ascii="Arial" w:hAnsi="Arial" w:cs="Arial"/>
          <w:b/>
          <w:color w:val="0D0D0D" w:themeColor="text1" w:themeTint="F2"/>
          <w:sz w:val="20"/>
          <w:szCs w:val="20"/>
        </w:rPr>
      </w:pPr>
      <w:r w:rsidRPr="00AA52F2">
        <w:rPr>
          <w:rFonts w:ascii="Arial" w:hAnsi="Arial" w:cs="Arial"/>
          <w:b/>
          <w:color w:val="0D0D0D" w:themeColor="text1" w:themeTint="F2"/>
          <w:sz w:val="20"/>
          <w:szCs w:val="20"/>
        </w:rPr>
        <w:t>Advantages of debt funding:</w:t>
      </w:r>
    </w:p>
    <w:p w:rsidR="00012448" w:rsidRPr="00AA52F2" w:rsidRDefault="00012448" w:rsidP="00012448">
      <w:pPr>
        <w:pStyle w:val="ListParagraph"/>
        <w:numPr>
          <w:ilvl w:val="0"/>
          <w:numId w:val="1"/>
        </w:numPr>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Easier to source for relatively small amounts;</w:t>
      </w:r>
    </w:p>
    <w:p w:rsidR="00012448" w:rsidRPr="00AA52F2" w:rsidRDefault="00012448" w:rsidP="00012448">
      <w:pPr>
        <w:pStyle w:val="ListParagraph"/>
        <w:numPr>
          <w:ilvl w:val="0"/>
          <w:numId w:val="1"/>
        </w:numPr>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Cheaper to source;</w:t>
      </w:r>
    </w:p>
    <w:p w:rsidR="00012448" w:rsidRPr="00AA52F2" w:rsidRDefault="00012448" w:rsidP="00012448">
      <w:pPr>
        <w:pStyle w:val="ListParagraph"/>
        <w:numPr>
          <w:ilvl w:val="0"/>
          <w:numId w:val="1"/>
        </w:numPr>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Retain greater control over the business;</w:t>
      </w:r>
    </w:p>
    <w:p w:rsidR="00012448" w:rsidRPr="00AA52F2" w:rsidRDefault="00012448" w:rsidP="00012448">
      <w:pPr>
        <w:pStyle w:val="ListParagraph"/>
        <w:numPr>
          <w:ilvl w:val="0"/>
          <w:numId w:val="1"/>
        </w:numPr>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Can secure on business assets hence reducing the cost further;</w:t>
      </w:r>
    </w:p>
    <w:p w:rsidR="00012448" w:rsidRDefault="00012448" w:rsidP="00012448">
      <w:pPr>
        <w:pStyle w:val="ListParagraph"/>
        <w:numPr>
          <w:ilvl w:val="0"/>
          <w:numId w:val="1"/>
        </w:numPr>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Can reduce risk by fixing the borrowing interest rate.</w:t>
      </w:r>
    </w:p>
    <w:p w:rsidR="00012448" w:rsidRPr="00AA52F2" w:rsidRDefault="00012448" w:rsidP="00012448">
      <w:pPr>
        <w:spacing w:line="240" w:lineRule="auto"/>
        <w:jc w:val="both"/>
        <w:rPr>
          <w:rFonts w:ascii="Arial" w:hAnsi="Arial" w:cs="Arial"/>
          <w:b/>
          <w:color w:val="0D0D0D" w:themeColor="text1" w:themeTint="F2"/>
          <w:sz w:val="20"/>
          <w:szCs w:val="20"/>
        </w:rPr>
      </w:pPr>
      <w:r w:rsidRPr="00AA52F2">
        <w:rPr>
          <w:rFonts w:ascii="Arial" w:hAnsi="Arial" w:cs="Arial"/>
          <w:b/>
          <w:color w:val="0D0D0D" w:themeColor="text1" w:themeTint="F2"/>
          <w:sz w:val="20"/>
          <w:szCs w:val="20"/>
        </w:rPr>
        <w:t>Advantages of equity funding:</w:t>
      </w:r>
    </w:p>
    <w:p w:rsidR="00012448" w:rsidRPr="00AA52F2" w:rsidRDefault="00012448" w:rsidP="00012448">
      <w:pPr>
        <w:pStyle w:val="ListParagraph"/>
        <w:numPr>
          <w:ilvl w:val="0"/>
          <w:numId w:val="2"/>
        </w:numPr>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If future profits are uncertain, less risk to pay dividends than have obligations to pay loan interest;</w:t>
      </w:r>
    </w:p>
    <w:p w:rsidR="00012448" w:rsidRPr="00AA52F2" w:rsidRDefault="00012448" w:rsidP="00012448">
      <w:pPr>
        <w:pStyle w:val="ListParagraph"/>
        <w:numPr>
          <w:ilvl w:val="0"/>
          <w:numId w:val="2"/>
        </w:numPr>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Investors tend to in</w:t>
      </w:r>
      <w:r>
        <w:rPr>
          <w:rFonts w:ascii="Arial" w:hAnsi="Arial" w:cs="Arial"/>
          <w:color w:val="0D0D0D" w:themeColor="text1" w:themeTint="F2"/>
          <w:sz w:val="20"/>
          <w:szCs w:val="20"/>
        </w:rPr>
        <w:t>vest</w:t>
      </w:r>
      <w:r w:rsidRPr="00AA52F2">
        <w:rPr>
          <w:rFonts w:ascii="Arial" w:hAnsi="Arial" w:cs="Arial"/>
          <w:color w:val="0D0D0D" w:themeColor="text1" w:themeTint="F2"/>
          <w:sz w:val="20"/>
          <w:szCs w:val="20"/>
        </w:rPr>
        <w:t xml:space="preserve"> for the long term and may not require short term dividend payments;</w:t>
      </w:r>
    </w:p>
    <w:p w:rsidR="00012448" w:rsidRPr="00AA52F2" w:rsidRDefault="00012448" w:rsidP="00012448">
      <w:pPr>
        <w:pStyle w:val="ListParagraph"/>
        <w:numPr>
          <w:ilvl w:val="0"/>
          <w:numId w:val="2"/>
        </w:numPr>
        <w:spacing w:line="480" w:lineRule="auto"/>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Investors likely to be seeking long term capital gain in the value of their share holdings.</w:t>
      </w:r>
    </w:p>
    <w:p w:rsidR="00600FD2" w:rsidRDefault="00600FD2" w:rsidP="00012448">
      <w:pPr>
        <w:spacing w:line="240" w:lineRule="auto"/>
        <w:jc w:val="both"/>
        <w:rPr>
          <w:rFonts w:ascii="Arial" w:hAnsi="Arial" w:cs="Arial"/>
          <w:b/>
          <w:color w:val="0D0D0D" w:themeColor="text1" w:themeTint="F2"/>
          <w:sz w:val="20"/>
          <w:szCs w:val="20"/>
        </w:rPr>
      </w:pPr>
    </w:p>
    <w:p w:rsidR="00012448" w:rsidRPr="00AA52F2" w:rsidRDefault="00012448" w:rsidP="00012448">
      <w:pPr>
        <w:spacing w:line="240" w:lineRule="auto"/>
        <w:jc w:val="both"/>
        <w:rPr>
          <w:rFonts w:ascii="Arial" w:hAnsi="Arial" w:cs="Arial"/>
          <w:b/>
          <w:color w:val="0D0D0D" w:themeColor="text1" w:themeTint="F2"/>
          <w:sz w:val="20"/>
          <w:szCs w:val="20"/>
        </w:rPr>
      </w:pPr>
      <w:r>
        <w:rPr>
          <w:rFonts w:ascii="Arial" w:hAnsi="Arial" w:cs="Arial"/>
          <w:b/>
          <w:color w:val="0D0D0D" w:themeColor="text1" w:themeTint="F2"/>
          <w:sz w:val="20"/>
          <w:szCs w:val="20"/>
        </w:rPr>
        <w:t>(c</w:t>
      </w:r>
      <w:r w:rsidRPr="00AA52F2">
        <w:rPr>
          <w:rFonts w:ascii="Arial" w:hAnsi="Arial" w:cs="Arial"/>
          <w:b/>
          <w:color w:val="0D0D0D" w:themeColor="text1" w:themeTint="F2"/>
          <w:sz w:val="20"/>
          <w:szCs w:val="20"/>
        </w:rPr>
        <w:t>) Possible reasons for not reversing an investment in a project.</w:t>
      </w:r>
    </w:p>
    <w:p w:rsidR="00012448" w:rsidRPr="00AA52F2" w:rsidRDefault="00012448" w:rsidP="00012448">
      <w:pPr>
        <w:pStyle w:val="ListParagraph"/>
        <w:numPr>
          <w:ilvl w:val="0"/>
          <w:numId w:val="2"/>
        </w:numPr>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Potential contractual liability to pay penalties to the customer;</w:t>
      </w:r>
    </w:p>
    <w:p w:rsidR="00012448" w:rsidRPr="00AA52F2" w:rsidRDefault="00012448" w:rsidP="00012448">
      <w:pPr>
        <w:pStyle w:val="ListParagraph"/>
        <w:numPr>
          <w:ilvl w:val="0"/>
          <w:numId w:val="2"/>
        </w:numPr>
        <w:jc w:val="both"/>
        <w:rPr>
          <w:rFonts w:ascii="Arial" w:hAnsi="Arial" w:cs="Arial"/>
          <w:color w:val="0D0D0D" w:themeColor="text1" w:themeTint="F2"/>
          <w:sz w:val="20"/>
          <w:szCs w:val="20"/>
        </w:rPr>
      </w:pPr>
      <w:r w:rsidRPr="00AA52F2">
        <w:rPr>
          <w:rFonts w:ascii="Arial" w:hAnsi="Arial" w:cs="Arial"/>
          <w:color w:val="0D0D0D" w:themeColor="text1" w:themeTint="F2"/>
          <w:sz w:val="20"/>
          <w:szCs w:val="20"/>
        </w:rPr>
        <w:t>Contracts in place with suppliers- for routine supplies, but also for specialised parts / equipment;</w:t>
      </w:r>
    </w:p>
    <w:p w:rsidR="0049619E" w:rsidRDefault="00012448" w:rsidP="00DE1DF0">
      <w:pPr>
        <w:pStyle w:val="ListParagraph"/>
        <w:numPr>
          <w:ilvl w:val="0"/>
          <w:numId w:val="2"/>
        </w:numPr>
        <w:jc w:val="both"/>
      </w:pPr>
      <w:r w:rsidRPr="00DE1DF0">
        <w:rPr>
          <w:rFonts w:ascii="Arial" w:hAnsi="Arial" w:cs="Arial"/>
          <w:color w:val="0D0D0D" w:themeColor="text1" w:themeTint="F2"/>
          <w:sz w:val="20"/>
          <w:szCs w:val="20"/>
        </w:rPr>
        <w:t>Reputational damage- potential future customers may not trust the company to honour its commitments.</w:t>
      </w:r>
    </w:p>
    <w:sectPr w:rsidR="0049619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BB4" w:rsidRDefault="00CA5BB4" w:rsidP="00F87BC4">
      <w:pPr>
        <w:spacing w:after="0" w:line="240" w:lineRule="auto"/>
      </w:pPr>
      <w:r>
        <w:separator/>
      </w:r>
    </w:p>
  </w:endnote>
  <w:endnote w:type="continuationSeparator" w:id="0">
    <w:p w:rsidR="00CA5BB4" w:rsidRDefault="00CA5BB4" w:rsidP="00F87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5108914"/>
      <w:docPartObj>
        <w:docPartGallery w:val="Page Numbers (Bottom of Page)"/>
        <w:docPartUnique/>
      </w:docPartObj>
    </w:sdtPr>
    <w:sdtEndPr>
      <w:rPr>
        <w:noProof/>
      </w:rPr>
    </w:sdtEndPr>
    <w:sdtContent>
      <w:p w:rsidR="00F87BC4" w:rsidRDefault="00F87BC4">
        <w:pPr>
          <w:pStyle w:val="Footer"/>
          <w:jc w:val="right"/>
        </w:pPr>
        <w:r>
          <w:fldChar w:fldCharType="begin"/>
        </w:r>
        <w:r>
          <w:instrText xml:space="preserve"> PAGE   \* MERGEFORMAT </w:instrText>
        </w:r>
        <w:r>
          <w:fldChar w:fldCharType="separate"/>
        </w:r>
        <w:r w:rsidR="005C0434">
          <w:rPr>
            <w:noProof/>
          </w:rPr>
          <w:t>1</w:t>
        </w:r>
        <w:r>
          <w:rPr>
            <w:noProof/>
          </w:rPr>
          <w:fldChar w:fldCharType="end"/>
        </w:r>
      </w:p>
    </w:sdtContent>
  </w:sdt>
  <w:p w:rsidR="00F87BC4" w:rsidRDefault="00F87B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BB4" w:rsidRDefault="00CA5BB4" w:rsidP="00F87BC4">
      <w:pPr>
        <w:spacing w:after="0" w:line="240" w:lineRule="auto"/>
      </w:pPr>
      <w:r>
        <w:separator/>
      </w:r>
    </w:p>
  </w:footnote>
  <w:footnote w:type="continuationSeparator" w:id="0">
    <w:p w:rsidR="00CA5BB4" w:rsidRDefault="00CA5BB4" w:rsidP="00F87B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BD60DB"/>
    <w:multiLevelType w:val="hybridMultilevel"/>
    <w:tmpl w:val="0E8EE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3A5DAF"/>
    <w:multiLevelType w:val="hybridMultilevel"/>
    <w:tmpl w:val="BCA6C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448"/>
    <w:rsid w:val="00012448"/>
    <w:rsid w:val="0049619E"/>
    <w:rsid w:val="005C0434"/>
    <w:rsid w:val="00600FD2"/>
    <w:rsid w:val="00CA5BB4"/>
    <w:rsid w:val="00DE1DF0"/>
    <w:rsid w:val="00F87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667BFA-93DE-4652-9E7E-6D175B5B7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4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448"/>
    <w:pPr>
      <w:ind w:left="720"/>
      <w:contextualSpacing/>
    </w:pPr>
  </w:style>
  <w:style w:type="paragraph" w:styleId="Header">
    <w:name w:val="header"/>
    <w:basedOn w:val="Normal"/>
    <w:link w:val="HeaderChar"/>
    <w:uiPriority w:val="99"/>
    <w:unhideWhenUsed/>
    <w:rsid w:val="00F87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BC4"/>
  </w:style>
  <w:style w:type="paragraph" w:styleId="Footer">
    <w:name w:val="footer"/>
    <w:basedOn w:val="Normal"/>
    <w:link w:val="FooterChar"/>
    <w:uiPriority w:val="99"/>
    <w:unhideWhenUsed/>
    <w:rsid w:val="00F87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B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579</Words>
  <Characters>3305</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Richard Dunstan</cp:lastModifiedBy>
  <cp:revision>2</cp:revision>
  <dcterms:created xsi:type="dcterms:W3CDTF">2019-11-19T13:51:00Z</dcterms:created>
  <dcterms:modified xsi:type="dcterms:W3CDTF">2019-11-19T13:51:00Z</dcterms:modified>
</cp:coreProperties>
</file>