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cs="Times New Roman"/>
          <w:b/>
          <w:bCs/>
          <w:i/>
          <w:iCs/>
        </w:rPr>
      </w:pPr>
      <w:r>
        <w:rPr>
          <w:rFonts w:cs="Times New Roman"/>
          <w:lang w:val="en-US"/>
        </w:rPr>
        <w:drawing>
          <wp:inline distT="0" distB="0" distL="0" distR="0">
            <wp:extent cx="5342890" cy="3746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stretch>
                      <a:fillRect/>
                    </a:stretch>
                  </pic:blipFill>
                  <pic:spPr>
                    <a:xfrm>
                      <a:off x="0" y="0"/>
                      <a:ext cx="5345411" cy="3748138"/>
                    </a:xfrm>
                    <a:prstGeom prst="rect">
                      <a:avLst/>
                    </a:prstGeom>
                  </pic:spPr>
                </pic:pic>
              </a:graphicData>
            </a:graphic>
          </wp:inline>
        </w:drawing>
      </w:r>
    </w:p>
    <w:p>
      <w:pPr>
        <w:jc w:val="center"/>
        <w:rPr>
          <w:rFonts w:cs="Times New Roman"/>
          <w:b/>
          <w:bCs/>
          <w:i/>
          <w:iCs/>
        </w:rPr>
      </w:pPr>
    </w:p>
    <w:p>
      <w:pPr>
        <w:jc w:val="center"/>
        <w:rPr>
          <w:rFonts w:cs="Times New Roman"/>
          <w:b/>
          <w:bCs/>
          <w:i/>
          <w:iCs/>
        </w:rPr>
      </w:pPr>
    </w:p>
    <w:p>
      <w:pPr>
        <w:rPr>
          <w:rFonts w:cs="Times New Roman"/>
          <w:b/>
          <w:bCs/>
          <w:i/>
          <w:iCs/>
        </w:rPr>
      </w:pPr>
    </w:p>
    <w:p>
      <w:pPr>
        <w:rPr>
          <w:rFonts w:cs="Times New Roman"/>
          <w:b/>
          <w:bCs/>
          <w:i/>
          <w:iCs/>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r>
        <w:rPr>
          <w:rFonts w:cs="Times New Roman"/>
        </w:rPr>
        <w:t>Student Name- Iosif Tcaciu</w:t>
      </w:r>
    </w:p>
    <w:p>
      <w:pPr>
        <w:rPr>
          <w:rFonts w:cs="Times New Roman"/>
        </w:rPr>
      </w:pPr>
      <w:r>
        <w:rPr>
          <w:rFonts w:cs="Times New Roman"/>
        </w:rPr>
        <w:t>Student ID-2022775</w:t>
      </w:r>
    </w:p>
    <w:p>
      <w:pPr>
        <w:rPr>
          <w:rFonts w:cs="Times New Roman"/>
        </w:rPr>
      </w:pPr>
      <w:r>
        <w:rPr>
          <w:rFonts w:cs="Times New Roman"/>
        </w:rPr>
        <w:t>Module code :Bmsw4003</w:t>
      </w:r>
    </w:p>
    <w:p>
      <w:pPr>
        <w:rPr>
          <w:rFonts w:cs="Times New Roman"/>
        </w:rPr>
      </w:pPr>
      <w:r>
        <w:rPr>
          <w:rFonts w:cs="Times New Roman"/>
        </w:rPr>
        <w:t xml:space="preserve">Asigment Title :Drs assesment 2 individual report </w:t>
      </w:r>
    </w:p>
    <w:p>
      <w:pPr>
        <w:rPr>
          <w:rFonts w:cs="Times New Roman"/>
        </w:rPr>
      </w:pPr>
      <w:r>
        <w:rPr>
          <w:rFonts w:cs="Times New Roman"/>
        </w:rPr>
        <w:t xml:space="preserve">Lecture name :Ejiro Esohwode </w:t>
      </w:r>
      <w:bookmarkStart w:id="16" w:name="_GoBack"/>
      <w:bookmarkEnd w:id="16"/>
    </w:p>
    <w:p>
      <w:pPr>
        <w:rPr>
          <w:rFonts w:cs="Times New Roman"/>
        </w:rPr>
      </w:pPr>
    </w:p>
    <w:p>
      <w:pPr>
        <w:jc w:val="center"/>
        <w:rPr>
          <w:rFonts w:cs="Times New Roman"/>
          <w:b/>
          <w:bCs/>
          <w:i/>
          <w:iCs/>
        </w:rPr>
      </w:pPr>
    </w:p>
    <w:p>
      <w:pPr>
        <w:jc w:val="center"/>
        <w:rPr>
          <w:rFonts w:cs="Times New Roman"/>
          <w:b/>
          <w:bCs/>
          <w:i/>
          <w:iCs/>
        </w:rPr>
      </w:pPr>
    </w:p>
    <w:sdt>
      <w:sdtPr>
        <w:rPr>
          <w:rFonts w:ascii="Times New Roman" w:hAnsi="Times New Roman" w:cs="Times New Roman" w:eastAsiaTheme="minorHAnsi"/>
          <w:sz w:val="24"/>
          <w:szCs w:val="22"/>
          <w:lang w:val="en-GB"/>
        </w:rPr>
        <w:id w:val="0"/>
      </w:sdtPr>
      <w:sdtEndPr>
        <w:rPr>
          <w:rFonts w:ascii="Times New Roman" w:hAnsi="Times New Roman" w:cs="Times New Roman" w:eastAsiaTheme="minorHAnsi"/>
          <w:b/>
          <w:bCs/>
          <w:sz w:val="24"/>
          <w:szCs w:val="22"/>
          <w:lang w:val="en-GB"/>
        </w:rPr>
      </w:sdtEndPr>
      <w:sdtContent>
        <w:p>
          <w:pPr>
            <w:pStyle w:val="17"/>
            <w:jc w:val="center"/>
            <w:rPr>
              <w:rFonts w:ascii="Times New Roman" w:hAnsi="Times New Roman" w:cs="Times New Roman"/>
              <w:color w:val="0070C0"/>
            </w:rPr>
          </w:pPr>
          <w:r>
            <w:rPr>
              <w:rFonts w:ascii="Times New Roman" w:hAnsi="Times New Roman" w:cs="Times New Roman"/>
              <w:color w:val="0070C0"/>
            </w:rPr>
            <w:t>Table of Contents</w:t>
          </w:r>
        </w:p>
        <w:p>
          <w:pPr>
            <w:pStyle w:val="8"/>
            <w:tabs>
              <w:tab w:val="right" w:leader="dot" w:pos="9016"/>
            </w:tabs>
            <w:rPr>
              <w:rFonts w:asciiTheme="minorHAnsi" w:hAnsiTheme="minorHAnsi" w:eastAsiaTheme="minorEastAsia"/>
              <w:sz w:val="22"/>
              <w:lang w:val="en-US"/>
            </w:rPr>
          </w:pPr>
          <w:r>
            <w:rPr>
              <w:rFonts w:cs="Times New Roman"/>
            </w:rPr>
            <w:fldChar w:fldCharType="begin"/>
          </w:r>
          <w:r>
            <w:rPr>
              <w:rFonts w:cs="Times New Roman"/>
            </w:rPr>
            <w:instrText xml:space="preserve"> TOC \o "1-3" \h \z \u </w:instrText>
          </w:r>
          <w:r>
            <w:rPr>
              <w:rFonts w:cs="Times New Roman"/>
            </w:rPr>
            <w:fldChar w:fldCharType="separate"/>
          </w:r>
          <w:r>
            <w:fldChar w:fldCharType="begin"/>
          </w:r>
          <w:r>
            <w:instrText xml:space="preserve"> HYPERLINK \l "_Toc67935480" </w:instrText>
          </w:r>
          <w:r>
            <w:fldChar w:fldCharType="separate"/>
          </w:r>
          <w:r>
            <w:rPr>
              <w:rStyle w:val="11"/>
              <w:rFonts w:cs="Times New Roman"/>
            </w:rPr>
            <w:t>Title</w:t>
          </w:r>
          <w:r>
            <w:tab/>
          </w:r>
          <w:r>
            <w:fldChar w:fldCharType="begin"/>
          </w:r>
          <w:r>
            <w:instrText xml:space="preserve"> PAGEREF _Toc67935480 \h </w:instrText>
          </w:r>
          <w:r>
            <w:fldChar w:fldCharType="separate"/>
          </w:r>
          <w:r>
            <w:t>3</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"_Toc67935481" </w:instrText>
          </w:r>
          <w:r>
            <w:fldChar w:fldCharType="separate"/>
          </w:r>
          <w:r>
            <w:rPr>
              <w:rStyle w:val="11"/>
              <w:rFonts w:cs="Times New Roman"/>
            </w:rPr>
            <w:t>Introduction</w:t>
          </w:r>
          <w:r>
            <w:tab/>
          </w:r>
          <w:r>
            <w:fldChar w:fldCharType="begin"/>
          </w:r>
          <w:r>
            <w:instrText xml:space="preserve"> PAGEREF _Toc67935481 \h </w:instrText>
          </w:r>
          <w:r>
            <w:fldChar w:fldCharType="separate"/>
          </w:r>
          <w:r>
            <w:t>3</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"_Toc67935482" </w:instrText>
          </w:r>
          <w:r>
            <w:fldChar w:fldCharType="separate"/>
          </w:r>
          <w:r>
            <w:rPr>
              <w:rStyle w:val="11"/>
              <w:rFonts w:cs="Times New Roman"/>
            </w:rPr>
            <w:t>Aim of research</w:t>
          </w:r>
          <w:r>
            <w:tab/>
          </w:r>
          <w:r>
            <w:fldChar w:fldCharType="begin"/>
          </w:r>
          <w:r>
            <w:instrText xml:space="preserve"> PAGEREF _Toc67935482 \h </w:instrText>
          </w:r>
          <w:r>
            <w:fldChar w:fldCharType="separate"/>
          </w:r>
          <w:r>
            <w:t>3</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"_Toc67935483" </w:instrText>
          </w:r>
          <w:r>
            <w:fldChar w:fldCharType="separate"/>
          </w:r>
          <w:r>
            <w:rPr>
              <w:rStyle w:val="11"/>
              <w:rFonts w:cs="Times New Roman"/>
            </w:rPr>
            <w:t>Research Questions</w:t>
          </w:r>
          <w:r>
            <w:tab/>
          </w:r>
          <w:r>
            <w:fldChar w:fldCharType="begin"/>
          </w:r>
          <w:r>
            <w:instrText xml:space="preserve"> PAGEREF _Toc67935483 \h </w:instrText>
          </w:r>
          <w:r>
            <w:fldChar w:fldCharType="separate"/>
          </w:r>
          <w:r>
            <w:t>3</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"_Toc67935484" </w:instrText>
          </w:r>
          <w:r>
            <w:fldChar w:fldCharType="separate"/>
          </w:r>
          <w:r>
            <w:rPr>
              <w:rStyle w:val="11"/>
              <w:rFonts w:cs="Times New Roman"/>
            </w:rPr>
            <w:t>Research Objectives</w:t>
          </w:r>
          <w:r>
            <w:tab/>
          </w:r>
          <w:r>
            <w:fldChar w:fldCharType="begin"/>
          </w:r>
          <w:r>
            <w:instrText xml:space="preserve"> PAGEREF _Toc67935484 \h </w:instrText>
          </w:r>
          <w:r>
            <w:fldChar w:fldCharType="separate"/>
          </w:r>
          <w:r>
            <w:t>3</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"_Toc67935485" </w:instrText>
          </w:r>
          <w:r>
            <w:fldChar w:fldCharType="separate"/>
          </w:r>
          <w:r>
            <w:rPr>
              <w:rStyle w:val="11"/>
              <w:rFonts w:cs="Times New Roman"/>
            </w:rPr>
            <w:t>Literature review</w:t>
          </w:r>
          <w:r>
            <w:tab/>
          </w:r>
          <w:r>
            <w:fldChar w:fldCharType="begin"/>
          </w:r>
          <w:r>
            <w:instrText xml:space="preserve"> PAGEREF _Toc67935485 \h </w:instrText>
          </w:r>
          <w:r>
            <w:fldChar w:fldCharType="separate"/>
          </w:r>
          <w:r>
            <w:t>4</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"_Toc67935486" </w:instrText>
          </w:r>
          <w:r>
            <w:fldChar w:fldCharType="separate"/>
          </w:r>
          <w:r>
            <w:rPr>
              <w:rStyle w:val="11"/>
              <w:rFonts w:cs="Times New Roman"/>
            </w:rPr>
            <w:t>Research Methodologies</w:t>
          </w:r>
          <w:r>
            <w:tab/>
          </w:r>
          <w:r>
            <w:fldChar w:fldCharType="begin"/>
          </w:r>
          <w:r>
            <w:instrText xml:space="preserve"> PAGEREF _Toc67935486 \h </w:instrText>
          </w:r>
          <w:r>
            <w:fldChar w:fldCharType="separate"/>
          </w:r>
          <w:r>
            <w:t>6</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"_Toc67935487" </w:instrText>
          </w:r>
          <w:r>
            <w:fldChar w:fldCharType="separate"/>
          </w:r>
          <w:r>
            <w:rPr>
              <w:rStyle w:val="11"/>
              <w:rFonts w:cs="Times New Roman"/>
            </w:rPr>
            <w:t>Quantitative Methodologies</w:t>
          </w:r>
          <w:r>
            <w:tab/>
          </w:r>
          <w:r>
            <w:fldChar w:fldCharType="begin"/>
          </w:r>
          <w:r>
            <w:instrText xml:space="preserve"> PAGEREF _Toc67935487 \h </w:instrText>
          </w:r>
          <w:r>
            <w:fldChar w:fldCharType="separate"/>
          </w:r>
          <w:r>
            <w:t>6</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"_Toc67935488" </w:instrText>
          </w:r>
          <w:r>
            <w:fldChar w:fldCharType="separate"/>
          </w:r>
          <w:r>
            <w:rPr>
              <w:rStyle w:val="11"/>
              <w:rFonts w:cs="Times New Roman"/>
            </w:rPr>
            <w:t>Primary Data</w:t>
          </w:r>
          <w:r>
            <w:tab/>
          </w:r>
          <w:r>
            <w:fldChar w:fldCharType="begin"/>
          </w:r>
          <w:r>
            <w:instrText xml:space="preserve"> PAGEREF _Toc67935488 \h </w:instrText>
          </w:r>
          <w:r>
            <w:fldChar w:fldCharType="separate"/>
          </w:r>
          <w:r>
            <w:t>6</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"_Toc67935489" </w:instrText>
          </w:r>
          <w:r>
            <w:fldChar w:fldCharType="separate"/>
          </w:r>
          <w:r>
            <w:rPr>
              <w:rStyle w:val="11"/>
              <w:rFonts w:cs="Times New Roman"/>
            </w:rPr>
            <w:t>Secondary Data</w:t>
          </w:r>
          <w:r>
            <w:tab/>
          </w:r>
          <w:r>
            <w:fldChar w:fldCharType="begin"/>
          </w:r>
          <w:r>
            <w:instrText xml:space="preserve"> PAGEREF _Toc67935489 \h </w:instrText>
          </w:r>
          <w:r>
            <w:fldChar w:fldCharType="separate"/>
          </w:r>
          <w:r>
            <w:t>7</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"_Toc67935490" </w:instrText>
          </w:r>
          <w:r>
            <w:fldChar w:fldCharType="separate"/>
          </w:r>
          <w:r>
            <w:rPr>
              <w:rStyle w:val="11"/>
              <w:rFonts w:cs="Times New Roman"/>
            </w:rPr>
            <w:t>Results/Discussions</w:t>
          </w:r>
          <w:r>
            <w:tab/>
          </w:r>
          <w:r>
            <w:fldChar w:fldCharType="begin"/>
          </w:r>
          <w:r>
            <w:instrText xml:space="preserve"> PAGEREF _Toc67935490 \h </w:instrText>
          </w:r>
          <w:r>
            <w:fldChar w:fldCharType="separate"/>
          </w:r>
          <w:r>
            <w:t>8</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"_Toc67935491" </w:instrText>
          </w:r>
          <w:r>
            <w:fldChar w:fldCharType="separate"/>
          </w:r>
          <w:r>
            <w:rPr>
              <w:rStyle w:val="11"/>
              <w:rFonts w:cs="Times New Roman"/>
            </w:rPr>
            <w:t>Recommendation</w:t>
          </w:r>
          <w:r>
            <w:tab/>
          </w:r>
          <w:r>
            <w:fldChar w:fldCharType="begin"/>
          </w:r>
          <w:r>
            <w:instrText xml:space="preserve"> PAGEREF _Toc67935491 \h </w:instrText>
          </w:r>
          <w:r>
            <w:fldChar w:fldCharType="separate"/>
          </w:r>
          <w:r>
            <w:t>12</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"_Toc67935492" </w:instrText>
          </w:r>
          <w:r>
            <w:fldChar w:fldCharType="separate"/>
          </w:r>
          <w:r>
            <w:rPr>
              <w:rStyle w:val="11"/>
              <w:rFonts w:cs="Times New Roman"/>
            </w:rPr>
            <w:t>Conclusion</w:t>
          </w:r>
          <w:r>
            <w:tab/>
          </w:r>
          <w:r>
            <w:fldChar w:fldCharType="begin"/>
          </w:r>
          <w:r>
            <w:instrText xml:space="preserve"> PAGEREF _Toc67935492 \h </w:instrText>
          </w:r>
          <w:r>
            <w:fldChar w:fldCharType="separate"/>
          </w:r>
          <w:r>
            <w:t>13</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"_Toc67935493" </w:instrText>
          </w:r>
          <w:r>
            <w:fldChar w:fldCharType="separate"/>
          </w:r>
          <w:r>
            <w:rPr>
              <w:rStyle w:val="11"/>
              <w:rFonts w:cs="Times New Roman"/>
            </w:rPr>
            <w:t>References</w:t>
          </w:r>
          <w:r>
            <w:tab/>
          </w:r>
          <w:r>
            <w:fldChar w:fldCharType="begin"/>
          </w:r>
          <w:r>
            <w:instrText xml:space="preserve"> PAGEREF _Toc67935493 \h </w:instrText>
          </w:r>
          <w:r>
            <w:fldChar w:fldCharType="separate"/>
          </w:r>
          <w:r>
            <w:t>14</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"_Toc67935494" </w:instrText>
          </w:r>
          <w:r>
            <w:fldChar w:fldCharType="separate"/>
          </w:r>
          <w:r>
            <w:rPr>
              <w:rStyle w:val="11"/>
              <w:rFonts w:cs="Times New Roman"/>
            </w:rPr>
            <w:t>Appendix 1</w:t>
          </w:r>
          <w:r>
            <w:tab/>
          </w:r>
          <w:r>
            <w:fldChar w:fldCharType="begin"/>
          </w:r>
          <w:r>
            <w:instrText xml:space="preserve"> PAGEREF _Toc67935494 \h </w:instrText>
          </w:r>
          <w:r>
            <w:fldChar w:fldCharType="separate"/>
          </w:r>
          <w:r>
            <w:t>16</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"_Toc67935495" </w:instrText>
          </w:r>
          <w:r>
            <w:fldChar w:fldCharType="separate"/>
          </w:r>
          <w:r>
            <w:rPr>
              <w:rStyle w:val="11"/>
            </w:rPr>
            <w:t>Questionnaire Survey</w:t>
          </w:r>
          <w:r>
            <w:tab/>
          </w:r>
          <w:r>
            <w:fldChar w:fldCharType="begin"/>
          </w:r>
          <w:r>
            <w:instrText xml:space="preserve"> PAGEREF _Toc67935495 \h </w:instrText>
          </w:r>
          <w:r>
            <w:fldChar w:fldCharType="separate"/>
          </w:r>
          <w:r>
            <w:t>16</w:t>
          </w:r>
          <w:r>
            <w:fldChar w:fldCharType="end"/>
          </w:r>
          <w:r>
            <w:fldChar w:fldCharType="end"/>
          </w:r>
        </w:p>
        <w:p>
          <w:pPr>
            <w:rPr>
              <w:rFonts w:cs="Times New Roman"/>
            </w:rPr>
          </w:pPr>
          <w:r>
            <w:rPr>
              <w:rFonts w:cs="Times New Roman"/>
              <w:b/>
              <w:bCs/>
            </w:rPr>
            <w:fldChar w:fldCharType="end"/>
          </w:r>
        </w:p>
      </w:sdtContent>
    </w:sdt>
    <w:p>
      <w:pPr>
        <w:jc w:val="left"/>
        <w:rPr>
          <w:rFonts w:cs="Times New Roman"/>
        </w:rPr>
      </w:pPr>
      <w:r>
        <w:rPr>
          <w:rFonts w:cs="Times New Roman"/>
        </w:rPr>
        <w:br w:type="page"/>
      </w:r>
    </w:p>
    <w:p>
      <w:pPr>
        <w:pStyle w:val="2"/>
        <w:rPr>
          <w:rFonts w:cs="Times New Roman"/>
        </w:rPr>
      </w:pPr>
      <w:bookmarkStart w:id="0" w:name="_Toc67935480"/>
      <w:r>
        <w:rPr>
          <w:rFonts w:cs="Times New Roman"/>
        </w:rPr>
        <w:t>Title</w:t>
      </w:r>
      <w:bookmarkEnd w:id="0"/>
    </w:p>
    <w:p>
      <w:pPr>
        <w:rPr>
          <w:rFonts w:cs="Times New Roman"/>
        </w:rPr>
      </w:pPr>
      <w:r>
        <w:rPr>
          <w:rFonts w:cs="Times New Roman"/>
        </w:rPr>
        <w:t>Impact of Virtual Learning Environment - Moodle over the students of University of Wales Trinity Saint David London Campus.</w:t>
      </w:r>
    </w:p>
    <w:p>
      <w:pPr>
        <w:pStyle w:val="2"/>
        <w:rPr>
          <w:rFonts w:cs="Times New Roman"/>
        </w:rPr>
      </w:pPr>
      <w:bookmarkStart w:id="1" w:name="_Toc67935481"/>
      <w:r>
        <w:rPr>
          <w:rFonts w:cs="Times New Roman"/>
        </w:rPr>
        <w:t>Introduction</w:t>
      </w:r>
      <w:bookmarkEnd w:id="1"/>
    </w:p>
    <w:p>
      <w:pPr>
        <w:rPr>
          <w:rFonts w:cs="Times New Roman"/>
        </w:rPr>
      </w:pPr>
      <w:r>
        <w:rPr>
          <w:rFonts w:cs="Times New Roman"/>
        </w:rPr>
        <w:t>Moodle is an educational virtual learning environment that has been recently launched at Wales Trinity Saint David London Campus and serves as the web-based platform for digital aspects of studies. They provide the course layout, learning resources, events and experiences and include the various phases of assessment. The use of an online platform like Moodle provides digital solutions for students and teachers that improve their experience of learning. Unlike a virtual classroom designed to mimic and substitute the physical classroom atmosphere for distance learners, a VLE uses technologies to complement an integrated experience, such as multimedia networking, engagement and assessments through VLE (</w:t>
      </w:r>
      <w:r>
        <w:rPr>
          <w:rFonts w:cs="Times New Roman"/>
          <w:color w:val="000000" w:themeColor="text1"/>
          <w14:textFill>
            <w14:solidFill>
              <w14:schemeClr w14:val="tx1"/>
            </w14:solidFill>
          </w14:textFill>
        </w:rPr>
        <w:t>Priyahita, 2020</w:t>
      </w:r>
      <w:r>
        <w:rPr>
          <w:rFonts w:cs="Times New Roman"/>
        </w:rPr>
        <w:t>). This study will analyse the impact Moodle has over the student of Wales Trinity Saint David London Campus.</w:t>
      </w:r>
    </w:p>
    <w:p>
      <w:pPr>
        <w:pStyle w:val="2"/>
        <w:rPr>
          <w:rFonts w:cs="Times New Roman"/>
        </w:rPr>
      </w:pPr>
      <w:bookmarkStart w:id="2" w:name="_Toc67935482"/>
      <w:r>
        <w:rPr>
          <w:rFonts w:cs="Times New Roman"/>
        </w:rPr>
        <w:t>Aim of research</w:t>
      </w:r>
      <w:bookmarkEnd w:id="2"/>
    </w:p>
    <w:p>
      <w:pPr>
        <w:rPr>
          <w:rFonts w:cs="Times New Roman"/>
        </w:rPr>
      </w:pPr>
      <w:r>
        <w:rPr>
          <w:rFonts w:cs="Times New Roman"/>
        </w:rPr>
        <w:t>The research aims to analyse the impact of a Virtual Learning Environment - Moodle among the student of Wales Trinity Saint David London Campus</w:t>
      </w:r>
    </w:p>
    <w:p>
      <w:pPr>
        <w:pStyle w:val="2"/>
        <w:rPr>
          <w:rFonts w:cs="Times New Roman"/>
        </w:rPr>
      </w:pPr>
      <w:bookmarkStart w:id="3" w:name="_Toc67935483"/>
      <w:r>
        <w:rPr>
          <w:rFonts w:cs="Times New Roman"/>
        </w:rPr>
        <w:t>Research Questions</w:t>
      </w:r>
      <w:bookmarkEnd w:id="3"/>
    </w:p>
    <w:p>
      <w:pPr>
        <w:rPr>
          <w:rFonts w:cs="Times New Roman"/>
        </w:rPr>
      </w:pPr>
      <w:r>
        <w:rPr>
          <w:rFonts w:cs="Times New Roman"/>
        </w:rPr>
        <w:t>The following research questions have been developed to study the impact of VLE on the students:</w:t>
      </w:r>
    </w:p>
    <w:p>
      <w:pPr>
        <w:pStyle w:val="18"/>
        <w:numPr>
          <w:ilvl w:val="0"/>
          <w:numId w:val="1"/>
        </w:numPr>
        <w:rPr>
          <w:rFonts w:cs="Times New Roman"/>
        </w:rPr>
      </w:pPr>
      <w:r>
        <w:rPr>
          <w:rFonts w:cs="Times New Roman"/>
        </w:rPr>
        <w:t>What noticeable impact has been introduced by using a Virtual Learning Environment?</w:t>
      </w:r>
    </w:p>
    <w:p>
      <w:pPr>
        <w:pStyle w:val="18"/>
        <w:numPr>
          <w:ilvl w:val="0"/>
          <w:numId w:val="1"/>
        </w:numPr>
        <w:rPr>
          <w:rFonts w:cs="Times New Roman"/>
        </w:rPr>
      </w:pPr>
      <w:r>
        <w:rPr>
          <w:rFonts w:cs="Times New Roman"/>
        </w:rPr>
        <w:t>How the educational experience has changed by the Virtual Learning Environment?</w:t>
      </w:r>
    </w:p>
    <w:p>
      <w:pPr>
        <w:pStyle w:val="18"/>
        <w:numPr>
          <w:ilvl w:val="0"/>
          <w:numId w:val="1"/>
        </w:numPr>
        <w:rPr>
          <w:rFonts w:cs="Times New Roman"/>
        </w:rPr>
      </w:pPr>
      <w:r>
        <w:rPr>
          <w:rFonts w:cs="Times New Roman"/>
        </w:rPr>
        <w:t xml:space="preserve">What kind of impact the VLE has in various phases of assessment? </w:t>
      </w:r>
    </w:p>
    <w:p>
      <w:pPr>
        <w:pStyle w:val="2"/>
        <w:rPr>
          <w:rFonts w:cs="Times New Roman"/>
        </w:rPr>
      </w:pPr>
      <w:bookmarkStart w:id="4" w:name="_Toc67935484"/>
      <w:r>
        <w:rPr>
          <w:rFonts w:cs="Times New Roman"/>
        </w:rPr>
        <w:t>Research Objectives</w:t>
      </w:r>
      <w:bookmarkEnd w:id="4"/>
    </w:p>
    <w:p>
      <w:pPr>
        <w:pStyle w:val="18"/>
        <w:numPr>
          <w:ilvl w:val="0"/>
          <w:numId w:val="2"/>
        </w:numPr>
        <w:rPr>
          <w:rFonts w:cs="Times New Roman"/>
        </w:rPr>
      </w:pPr>
      <w:r>
        <w:rPr>
          <w:rFonts w:cs="Times New Roman"/>
        </w:rPr>
        <w:t>To study the impact of Virtual Learning Environment over the students.</w:t>
      </w:r>
    </w:p>
    <w:p>
      <w:pPr>
        <w:pStyle w:val="18"/>
        <w:numPr>
          <w:ilvl w:val="0"/>
          <w:numId w:val="2"/>
        </w:numPr>
        <w:rPr>
          <w:rFonts w:cs="Times New Roman"/>
        </w:rPr>
      </w:pPr>
      <w:r>
        <w:rPr>
          <w:rFonts w:cs="Times New Roman"/>
        </w:rPr>
        <w:t xml:space="preserve">To analyse the challenges student face transitioning to a VLE </w:t>
      </w:r>
    </w:p>
    <w:p>
      <w:pPr>
        <w:pStyle w:val="18"/>
        <w:numPr>
          <w:ilvl w:val="0"/>
          <w:numId w:val="2"/>
        </w:numPr>
        <w:rPr>
          <w:rFonts w:cs="Times New Roman"/>
        </w:rPr>
      </w:pPr>
      <w:r>
        <w:rPr>
          <w:rFonts w:cs="Times New Roman"/>
        </w:rPr>
        <w:t>To analyse the impact of VLE on the assessment process.</w:t>
      </w:r>
    </w:p>
    <w:p>
      <w:pPr>
        <w:jc w:val="left"/>
        <w:rPr>
          <w:rFonts w:cs="Times New Roman"/>
        </w:rPr>
      </w:pPr>
      <w:r>
        <w:rPr>
          <w:rFonts w:cs="Times New Roman"/>
        </w:rPr>
        <w:br w:type="page"/>
      </w:r>
    </w:p>
    <w:p>
      <w:pPr>
        <w:pStyle w:val="2"/>
        <w:rPr>
          <w:rFonts w:cs="Times New Roman"/>
        </w:rPr>
      </w:pPr>
      <w:bookmarkStart w:id="5" w:name="_Toc67935485"/>
      <w:r>
        <w:rPr>
          <w:rFonts w:cs="Times New Roman"/>
        </w:rPr>
        <w:t>Literature review</w:t>
      </w:r>
      <w:bookmarkEnd w:id="5"/>
      <w:r>
        <w:rPr>
          <w:rFonts w:cs="Times New Roman"/>
        </w:rPr>
        <w:t xml:space="preserve"> </w:t>
      </w:r>
    </w:p>
    <w:p>
      <w:pPr>
        <w:jc w:val="left"/>
        <w:rPr>
          <w:rFonts w:cs="Times New Roman"/>
          <w:b/>
          <w:bCs/>
        </w:rPr>
      </w:pPr>
      <w:r>
        <w:rPr>
          <w:rFonts w:cs="Times New Roman"/>
          <w:b/>
          <w:bCs/>
        </w:rPr>
        <w:t>Collaborative learning via VLE</w:t>
      </w:r>
    </w:p>
    <w:p>
      <w:pPr>
        <w:rPr>
          <w:rFonts w:cs="Times New Roman"/>
        </w:rPr>
      </w:pPr>
      <w:r>
        <w:rPr>
          <w:rFonts w:cs="Times New Roman"/>
        </w:rPr>
        <w:t xml:space="preserve">The presence between two human beings cannot be replaced by a simulated world. The best VLEs, therefore, have an individual feel. Students can attend synchronous online time with a tutor, talk with other people in real-time or immerse themselves in classes using augmented reality or immersive courses. The central predictor of online learning is collaboration. Small group tasks and panel debates can be organized with an automatic grading system. </w:t>
      </w:r>
    </w:p>
    <w:p>
      <w:pPr>
        <w:rPr>
          <w:rFonts w:cs="Times New Roman"/>
        </w:rPr>
      </w:pPr>
      <w:r>
        <w:rPr>
          <w:rFonts w:cs="Times New Roman"/>
        </w:rPr>
        <w:t>Kerimbayev (2020) expressed that the students have a high degree of independence in a collaborative virtual education setting, and may carry out activities such as communicate synchronously or asynchronously with other course participants and teachers. It is crucial to advance in virtual learning environments that focus on students to create high-quality virtual learning so that students can benefit from meaningful learning. They provide the course layout, learning resources, events and experiences and include the various phases of assessment.</w:t>
      </w:r>
    </w:p>
    <w:p>
      <w:pPr>
        <w:rPr>
          <w:rFonts w:cs="Times New Roman"/>
        </w:rPr>
      </w:pPr>
      <w:r>
        <w:rPr>
          <w:rFonts w:cs="Times New Roman"/>
        </w:rPr>
        <w:t>Szücs (2013) talked about how VLE also helps students to gain encouragement by allowing distance learning and build understanding through their digital abilities and expertise. The Virtual Learning Environment also enhances students' learning readiness and generates collaboration through current technical developments, thereby enhancing course evaluation performance. Many characteristics of VLEs could not be as beneficial to students as designers and stakeholders might think that they are wasteful of resources.</w:t>
      </w:r>
    </w:p>
    <w:p>
      <w:pPr>
        <w:jc w:val="left"/>
        <w:rPr>
          <w:rFonts w:cs="Times New Roman"/>
          <w:b/>
          <w:bCs/>
        </w:rPr>
      </w:pPr>
      <w:r>
        <w:rPr>
          <w:rFonts w:cs="Times New Roman"/>
          <w:b/>
          <w:bCs/>
        </w:rPr>
        <w:t>Student-centred learning through LMS:</w:t>
      </w:r>
    </w:p>
    <w:p>
      <w:pPr>
        <w:rPr>
          <w:rFonts w:cs="Times New Roman"/>
        </w:rPr>
      </w:pPr>
      <w:r>
        <w:rPr>
          <w:rFonts w:cs="Times New Roman"/>
        </w:rPr>
        <w:t>Khlaisang (2019) expressed that to enhance students' know-how of internet and digital literacy; VLEs are seeing the broader spectrum of documented research with constructive yet enthusiastic impacts from many contexts. The tutor allows students a better grasp on what they do, how they learn and what they learn a given subject in student-centred learning. Many characteristics of VLEs could not be as beneficial to students as designers and stakeholders might think that they are wasteful of resources.</w:t>
      </w:r>
    </w:p>
    <w:p>
      <w:pPr>
        <w:rPr>
          <w:rFonts w:cs="Times New Roman"/>
        </w:rPr>
      </w:pPr>
    </w:p>
    <w:p>
      <w:pPr>
        <w:rPr>
          <w:rFonts w:cs="Times New Roman"/>
        </w:rPr>
      </w:pPr>
    </w:p>
    <w:p>
      <w:pPr>
        <w:rPr>
          <w:rFonts w:cs="Times New Roman"/>
        </w:rPr>
      </w:pPr>
    </w:p>
    <w:p>
      <w:pPr>
        <w:rPr>
          <w:rFonts w:cs="Times New Roman"/>
        </w:rPr>
      </w:pPr>
    </w:p>
    <w:p>
      <w:pPr>
        <w:rPr>
          <w:rFonts w:cs="Times New Roman"/>
        </w:rPr>
      </w:pPr>
      <w:r>
        <w:rPr>
          <w:rFonts w:cs="Times New Roman"/>
        </w:rPr>
        <w:t xml:space="preserve">In online learning terms, students on average performed higher than those who received face-to-face instruction. The outlook is bright for virtual learning. The expectations of a student's results have also been seen to equal or surpass average and students are increasingly taking virtual courses. Some students still lack the ins and outs of the learning systems. A short introductory training session can be introduced for effective collaboration. Moodle is an educational virtual learning environment that has been recently launched at Wales Trinity Saint David London Campus and serves as the web-based platform for digital aspects of studies. </w:t>
      </w:r>
    </w:p>
    <w:p>
      <w:pPr>
        <w:rPr>
          <w:rFonts w:cs="Times New Roman"/>
        </w:rPr>
      </w:pPr>
      <w:r>
        <w:rPr>
          <w:rFonts w:cs="Times New Roman"/>
        </w:rPr>
        <w:t>As discussed by Martin (2018) this degree of personal engagement increases students' constructive involvement in their own learning experience and has seen meaningful results. This is an instructional situation far more involved than assigning those courses only to the students. It allows students to engagingly gain knowledge. The increasing availability of virtual reality headsets (VR) and user awareness has contributed to the active development of educational interaction platforms that allow learning management systems in various geographical areas to connect inside virtual environments.</w:t>
      </w:r>
    </w:p>
    <w:p>
      <w:pPr>
        <w:rPr>
          <w:b/>
        </w:rPr>
      </w:pPr>
      <w:r>
        <w:rPr>
          <w:b/>
        </w:rPr>
        <w:t>Optimisation of the framework</w:t>
      </w:r>
    </w:p>
    <w:p>
      <w:r>
        <w:t>The virtual learning environment needs more collaboration tools. By adding collaboration tools, student engagement and audience retention will be much more effective in enhancing the learning experience of students (Serrano, 2019).  Optimisation of the framework will enable a student who has access to a computer with a secure internet connection to attend a virtual classroom.  With pre-recorded class lecture management interactive lessons can be built up so students can learn at their suitable timing. </w:t>
      </w:r>
    </w:p>
    <w:p>
      <w:r>
        <w:rPr>
          <w:rFonts w:cs="Times New Roman"/>
        </w:rPr>
        <w:t>A modular, interoperable learning management system will enable it to be expanded and integrated easily as new technologies arrive and will enable the campus authorities to expand their learning system optimized for the students. However, while peer learning potential has been realized, it is often unintentionally implemented without taking into account the ramifications for different learning environments. As seen from the surveyed students the Moodle framework needs more optimization for enhancing the learning experience of the students (</w:t>
      </w:r>
      <w:r>
        <w:rPr>
          <w:rFonts w:cs="Times New Roman"/>
          <w:color w:val="000000" w:themeColor="text1"/>
          <w14:textFill>
            <w14:solidFill>
              <w14:schemeClr w14:val="tx1"/>
            </w14:solidFill>
          </w14:textFill>
        </w:rPr>
        <w:t>Kakasevski, 2008</w:t>
      </w:r>
      <w:r>
        <w:rPr>
          <w:rFonts w:cs="Times New Roman"/>
        </w:rPr>
        <w:t>).</w:t>
      </w:r>
    </w:p>
    <w:p>
      <w:pPr>
        <w:spacing w:line="259" w:lineRule="auto"/>
        <w:jc w:val="left"/>
        <w:rPr>
          <w:rFonts w:cs="Times New Roman" w:eastAsiaTheme="majorEastAsia"/>
          <w:sz w:val="32"/>
          <w:szCs w:val="32"/>
        </w:rPr>
      </w:pPr>
      <w:r>
        <w:rPr>
          <w:rFonts w:cs="Times New Roman"/>
        </w:rPr>
        <w:br w:type="page"/>
      </w:r>
    </w:p>
    <w:p>
      <w:pPr>
        <w:pStyle w:val="2"/>
        <w:rPr>
          <w:rFonts w:cs="Times New Roman"/>
        </w:rPr>
      </w:pPr>
      <w:bookmarkStart w:id="6" w:name="_Toc67935486"/>
      <w:r>
        <w:rPr>
          <w:rFonts w:cs="Times New Roman"/>
        </w:rPr>
        <w:t>Research Methodologies</w:t>
      </w:r>
      <w:bookmarkEnd w:id="6"/>
    </w:p>
    <w:p>
      <w:pPr>
        <w:rPr>
          <w:rFonts w:cs="Times New Roman"/>
        </w:rPr>
      </w:pPr>
      <w:r>
        <w:rPr>
          <w:rFonts w:cs="Times New Roman"/>
        </w:rPr>
        <w:t xml:space="preserve">The study is focused on information obtained from both secondary and primary data sources. Primary knowledge has been gathered from materials from different journals, academic papers. In the course of the research activity, some basic steps in research methodology were taken. </w:t>
      </w:r>
    </w:p>
    <w:p>
      <w:pPr>
        <w:pStyle w:val="2"/>
        <w:rPr>
          <w:rFonts w:cs="Times New Roman"/>
        </w:rPr>
      </w:pPr>
      <w:bookmarkStart w:id="7" w:name="_Toc67935487"/>
      <w:r>
        <w:rPr>
          <w:rFonts w:cs="Times New Roman"/>
        </w:rPr>
        <w:t>Quantitative Methodologies</w:t>
      </w:r>
      <w:bookmarkEnd w:id="7"/>
    </w:p>
    <w:p>
      <w:pPr>
        <w:rPr>
          <w:rFonts w:cs="Times New Roman"/>
        </w:rPr>
      </w:pPr>
      <w:r>
        <w:rPr>
          <w:rFonts w:cs="Times New Roman"/>
        </w:rPr>
        <w:t>For the research on the impact of VLE the quantitative data collection is essential. The survey is conducted by developing a questionnaire. For small-scale analysis, it is really useful and showcases the results of the study with accuracy.</w:t>
      </w:r>
    </w:p>
    <w:p>
      <w:pPr>
        <w:pStyle w:val="2"/>
        <w:rPr>
          <w:rFonts w:cs="Times New Roman"/>
        </w:rPr>
      </w:pPr>
      <w:bookmarkStart w:id="8" w:name="_Toc67935488"/>
      <w:r>
        <w:rPr>
          <w:rFonts w:cs="Times New Roman"/>
        </w:rPr>
        <w:t>Primary Data</w:t>
      </w:r>
      <w:bookmarkEnd w:id="8"/>
    </w:p>
    <w:p>
      <w:pPr>
        <w:rPr>
          <w:rFonts w:cs="Times New Roman"/>
        </w:rPr>
      </w:pPr>
      <w:r>
        <w:rPr>
          <w:rFonts w:cs="Times New Roman"/>
        </w:rPr>
        <w:t>Primary data have been collected by interviewing students based on a questionnaire developed. Primary data were derived through discussion with the students who are from different departments. Primary data have been collected in the following way.</w:t>
      </w:r>
    </w:p>
    <w:p>
      <w:pPr>
        <w:pStyle w:val="18"/>
        <w:numPr>
          <w:ilvl w:val="0"/>
          <w:numId w:val="3"/>
        </w:numPr>
        <w:rPr>
          <w:rFonts w:cs="Times New Roman"/>
        </w:rPr>
      </w:pPr>
      <w:r>
        <w:rPr>
          <w:rFonts w:cs="Times New Roman"/>
        </w:rPr>
        <w:t>Questionnaire survey</w:t>
      </w:r>
    </w:p>
    <w:p>
      <w:pPr>
        <w:pStyle w:val="18"/>
        <w:numPr>
          <w:ilvl w:val="0"/>
          <w:numId w:val="3"/>
        </w:numPr>
        <w:rPr>
          <w:rFonts w:cs="Times New Roman"/>
        </w:rPr>
      </w:pPr>
      <w:r>
        <w:rPr>
          <w:rFonts w:cs="Times New Roman"/>
        </w:rPr>
        <w:t>Face to face interview with the students</w:t>
      </w:r>
    </w:p>
    <w:p>
      <w:pPr>
        <w:jc w:val="left"/>
        <w:rPr>
          <w:rFonts w:cs="Times New Roman"/>
        </w:rPr>
      </w:pPr>
      <w:r>
        <w:rPr>
          <w:rFonts w:cs="Times New Roman"/>
        </w:rPr>
        <w:br w:type="page"/>
      </w:r>
    </w:p>
    <w:p>
      <w:pPr>
        <w:pStyle w:val="2"/>
        <w:rPr>
          <w:rFonts w:cs="Times New Roman"/>
        </w:rPr>
      </w:pPr>
      <w:bookmarkStart w:id="9" w:name="_Toc67935489"/>
      <w:r>
        <w:rPr>
          <w:rFonts w:cs="Times New Roman"/>
        </w:rPr>
        <w:t>Secondary Data</w:t>
      </w:r>
      <w:bookmarkEnd w:id="9"/>
    </w:p>
    <w:p>
      <w:pPr>
        <w:rPr>
          <w:rFonts w:cs="Times New Roman"/>
        </w:rPr>
      </w:pPr>
      <w:r>
        <w:rPr>
          <w:rFonts w:cs="Times New Roman"/>
        </w:rPr>
        <w:t>For secondary data evidence-based journals, publication and article from the researcher in the relating field have been used.</w:t>
      </w:r>
    </w:p>
    <w:p>
      <w:pPr>
        <w:rPr>
          <w:rFonts w:cs="Times New Roman"/>
        </w:rPr>
      </w:pPr>
      <w:r>
        <w:rPr>
          <w:rFonts w:cs="Times New Roman"/>
          <w:b/>
          <w:bCs/>
        </w:rPr>
        <w:t>Article 1:</w:t>
      </w:r>
      <w:r>
        <w:rPr>
          <w:rFonts w:cs="Times New Roman"/>
        </w:rPr>
        <w:t xml:space="preserve"> The technique of the use of Virtual Learning Environment in the process of organizing the future teachers' terminological work by speciality (Pereva, 2020)</w:t>
      </w:r>
    </w:p>
    <w:p>
      <w:pPr>
        <w:rPr>
          <w:rFonts w:cs="Times New Roman"/>
        </w:rPr>
      </w:pPr>
      <w:r>
        <w:rPr>
          <w:rFonts w:cs="Times New Roman"/>
        </w:rPr>
        <w:t>As discussed by Pererva (2020), VLEs are web-based software programs that permit students to communicate with their teachers and peers and use state-of-the-art information and communication technologies without any restrictions on their time or location. However, the development and maintenance of VLEs are expensive. Some students still lack the ins and outs of the learning systems. A short introductory training session can be introduced for effective collaboration. Many characteristics of VLEs could not be as beneficial to students as designers and stakeholders might think that they are wasteful of resources.</w:t>
      </w:r>
    </w:p>
    <w:p>
      <w:pPr>
        <w:rPr>
          <w:rFonts w:cs="Times New Roman"/>
        </w:rPr>
      </w:pPr>
      <w:r>
        <w:rPr>
          <w:rFonts w:cs="Times New Roman"/>
          <w:b/>
          <w:bCs/>
        </w:rPr>
        <w:t>Article 2:</w:t>
      </w:r>
      <w:r>
        <w:rPr>
          <w:rFonts w:cs="Times New Roman"/>
        </w:rPr>
        <w:t xml:space="preserve"> Effect of Behavioural Realism on Social Interactions inside Collaborative Virtual Environments (Herrera, 2020)</w:t>
      </w:r>
    </w:p>
    <w:p>
      <w:pPr>
        <w:rPr>
          <w:rFonts w:cs="Times New Roman"/>
        </w:rPr>
      </w:pPr>
      <w:r>
        <w:rPr>
          <w:rFonts w:cs="Times New Roman"/>
        </w:rPr>
        <w:t>Herrera (2020) opined that the increasing availability of virtual reality headsets (VR) and user awareness has contributed to the active development of educational interaction platforms that allow learning management systems in various geographical areas to connect inside virtual environments. Embedding VLE into the existing educational framework of UWTSD</w:t>
      </w:r>
      <w:r>
        <w:rPr>
          <w:rStyle w:val="12"/>
          <w:rFonts w:cs="Times New Roman"/>
          <w:b w:val="0"/>
          <w:bCs w:val="0"/>
          <w:color w:val="0E101A"/>
        </w:rPr>
        <w:t xml:space="preserve"> created a positive impact on the learning experience of students. Students faced few challenges but can be overcome by optimising the VLE to the need of the students.</w:t>
      </w:r>
    </w:p>
    <w:p>
      <w:pPr>
        <w:rPr>
          <w:rFonts w:cs="Times New Roman"/>
        </w:rPr>
      </w:pPr>
      <w:r>
        <w:rPr>
          <w:rFonts w:cs="Times New Roman"/>
          <w:b/>
          <w:bCs/>
        </w:rPr>
        <w:t>Article 3:</w:t>
      </w:r>
      <w:r>
        <w:rPr>
          <w:rFonts w:cs="Times New Roman"/>
        </w:rPr>
        <w:t xml:space="preserve"> Assisting Peer Learning Performance Using Online Collaborative Tools in Virtual Learning Environments</w:t>
      </w:r>
    </w:p>
    <w:p>
      <w:pPr>
        <w:rPr>
          <w:rFonts w:cs="Times New Roman"/>
        </w:rPr>
      </w:pPr>
      <w:r>
        <w:rPr>
          <w:rFonts w:cs="Times New Roman"/>
        </w:rPr>
        <w:t xml:space="preserve">Lim (2020) pointed out that the students in most learning settings are mutually supportive irrespective of their teachers' involvement. However, while peer learning potential has been realized, it is often unintentionally implemented without taking into account the ramifications for different learning environments. </w:t>
      </w:r>
      <w:r>
        <w:rPr>
          <w:rStyle w:val="12"/>
          <w:rFonts w:cs="Times New Roman"/>
          <w:b w:val="0"/>
          <w:bCs w:val="0"/>
          <w:color w:val="0E101A"/>
        </w:rPr>
        <w:t xml:space="preserve">Ultimately, an efficient virtual learning experience can impact the efficacy of learning through active control over learning content and learner collaboration and engagement with peers and instructors.  </w:t>
      </w:r>
      <w:r>
        <w:rPr>
          <w:rFonts w:cs="Times New Roman"/>
        </w:rPr>
        <w:br w:type="page"/>
      </w:r>
    </w:p>
    <w:p>
      <w:pPr>
        <w:pStyle w:val="2"/>
        <w:rPr>
          <w:rFonts w:cs="Times New Roman"/>
        </w:rPr>
      </w:pPr>
      <w:bookmarkStart w:id="10" w:name="_Toc67935490"/>
      <w:r>
        <w:rPr>
          <w:rFonts w:cs="Times New Roman"/>
        </w:rPr>
        <w:t>Results/Discussions</w:t>
      </w:r>
      <w:bookmarkEnd w:id="10"/>
    </w:p>
    <w:p>
      <w:pPr>
        <w:rPr>
          <w:rFonts w:cs="Times New Roman"/>
        </w:rPr>
      </w:pPr>
      <w:r>
        <w:rPr>
          <w:rFonts w:cs="Times New Roman"/>
        </w:rPr>
        <w:t>A group of 20 Student from different departments was invited to a face-to-face meeting and the derived data from them shows the impact of VLE on their learning experience:</w:t>
      </w:r>
    </w:p>
    <w:p>
      <w:pPr>
        <w:rPr>
          <w:rFonts w:cs="Times New Roman"/>
        </w:rPr>
      </w:pPr>
      <w:r>
        <w:rPr>
          <w:rFonts w:cs="Times New Roman"/>
          <w:color w:val="FF0000"/>
          <w:szCs w:val="24"/>
          <w:lang w:val="en-US"/>
        </w:rPr>
        <w:drawing>
          <wp:inline distT="0" distB="0" distL="0" distR="0">
            <wp:extent cx="5497195" cy="2732405"/>
            <wp:effectExtent l="0" t="0" r="8255" b="10795"/>
            <wp:docPr id="348" name="Chart 34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7"/>
        <w:gridCol w:w="4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635" w:type="dxa"/>
            <w:gridSpan w:val="2"/>
          </w:tcPr>
          <w:p>
            <w:pPr>
              <w:spacing w:after="0"/>
              <w:jc w:val="center"/>
              <w:rPr>
                <w:rFonts w:eastAsia="Calibri" w:cs="Times New Roman"/>
                <w:b/>
                <w:bCs/>
                <w:color w:val="000000" w:themeColor="text1"/>
                <w:szCs w:val="20"/>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Frequency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17"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Agree</w:t>
            </w:r>
          </w:p>
        </w:tc>
        <w:tc>
          <w:tcPr>
            <w:tcW w:w="4118"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17"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Do Not Agree</w:t>
            </w:r>
          </w:p>
        </w:tc>
        <w:tc>
          <w:tcPr>
            <w:tcW w:w="4118"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17" w:type="dxa"/>
          </w:tcPr>
          <w:p>
            <w:pPr>
              <w:tabs>
                <w:tab w:val="left" w:pos="3255"/>
              </w:tabs>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Neutral</w:t>
            </w:r>
          </w:p>
        </w:tc>
        <w:tc>
          <w:tcPr>
            <w:tcW w:w="4118"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17" w:type="dxa"/>
          </w:tcPr>
          <w:p>
            <w:pPr>
              <w:tabs>
                <w:tab w:val="left" w:pos="3255"/>
              </w:tabs>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Total</w:t>
            </w:r>
          </w:p>
        </w:tc>
        <w:tc>
          <w:tcPr>
            <w:tcW w:w="4118"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20</w:t>
            </w:r>
          </w:p>
        </w:tc>
      </w:tr>
    </w:tbl>
    <w:p>
      <w:pPr>
        <w:rPr>
          <w:rFonts w:cs="Times New Roman"/>
        </w:rPr>
      </w:pPr>
    </w:p>
    <w:p>
      <w:pPr>
        <w:rPr>
          <w:rFonts w:cs="Times New Roman"/>
        </w:rPr>
      </w:pPr>
      <w:r>
        <w:rPr>
          <w:rFonts w:cs="Times New Roman"/>
        </w:rPr>
        <w:t>Among the respondents, 65% of the students opined that transitioning towards a VLE impacts their educational experience positively. They argue about the advantages a VLE introduces to theirs existing educational framework. Students have indicated that as technology advances, learning methods can adapt to improve the style of learning. 25% of the students felt negative impacts have been introduced as not all learners are properly trained to reap the benefit of a VLE.</w:t>
      </w:r>
    </w:p>
    <w:p>
      <w:pPr>
        <w:jc w:val="left"/>
        <w:rPr>
          <w:rFonts w:cs="Times New Roman"/>
        </w:rPr>
      </w:pPr>
    </w:p>
    <w:p>
      <w:pPr>
        <w:jc w:val="left"/>
        <w:rPr>
          <w:rFonts w:cs="Times New Roman"/>
        </w:rPr>
      </w:pPr>
    </w:p>
    <w:p>
      <w:pPr>
        <w:jc w:val="left"/>
        <w:rPr>
          <w:rFonts w:cs="Times New Roman"/>
        </w:rPr>
      </w:pPr>
    </w:p>
    <w:p>
      <w:pPr>
        <w:jc w:val="left"/>
        <w:rPr>
          <w:rFonts w:cs="Times New Roman"/>
        </w:rPr>
      </w:pPr>
    </w:p>
    <w:p>
      <w:pPr>
        <w:jc w:val="left"/>
        <w:rPr>
          <w:rFonts w:cs="Times New Roman"/>
        </w:rPr>
      </w:pPr>
      <w:r>
        <w:rPr>
          <w:rFonts w:cs="Times New Roman"/>
          <w:color w:val="FF0000"/>
          <w:lang w:val="en-US"/>
        </w:rPr>
        <w:drawing>
          <wp:anchor distT="0" distB="0" distL="114300" distR="114300" simplePos="0" relativeHeight="251659264" behindDoc="0" locked="0" layoutInCell="1" allowOverlap="1">
            <wp:simplePos x="0" y="0"/>
            <wp:positionH relativeFrom="margin">
              <wp:align>left</wp:align>
            </wp:positionH>
            <wp:positionV relativeFrom="paragraph">
              <wp:posOffset>123825</wp:posOffset>
            </wp:positionV>
            <wp:extent cx="5724525" cy="2767330"/>
            <wp:effectExtent l="0" t="0" r="9525" b="13970"/>
            <wp:wrapSquare wrapText="bothSides"/>
            <wp:docPr id="349" name="Chart 34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43" w:type="dxa"/>
            <w:gridSpan w:val="2"/>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Frequency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Agree</w:t>
            </w:r>
          </w:p>
        </w:tc>
        <w:tc>
          <w:tcPr>
            <w:tcW w:w="4622"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Do Not Agree</w:t>
            </w:r>
          </w:p>
        </w:tc>
        <w:tc>
          <w:tcPr>
            <w:tcW w:w="4622"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Pr>
          <w:p>
            <w:pPr>
              <w:tabs>
                <w:tab w:val="left" w:pos="3255"/>
              </w:tabs>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Neutral</w:t>
            </w:r>
          </w:p>
        </w:tc>
        <w:tc>
          <w:tcPr>
            <w:tcW w:w="4622"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Pr>
          <w:p>
            <w:pPr>
              <w:tabs>
                <w:tab w:val="left" w:pos="3255"/>
              </w:tabs>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Total</w:t>
            </w:r>
          </w:p>
        </w:tc>
        <w:tc>
          <w:tcPr>
            <w:tcW w:w="4622"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20</w:t>
            </w:r>
          </w:p>
        </w:tc>
      </w:tr>
    </w:tbl>
    <w:p>
      <w:pPr>
        <w:rPr>
          <w:rFonts w:cs="Times New Roman"/>
        </w:rPr>
      </w:pPr>
    </w:p>
    <w:p>
      <w:pPr>
        <w:rPr>
          <w:rFonts w:cs="Times New Roman"/>
        </w:rPr>
      </w:pPr>
      <w:r>
        <w:rPr>
          <w:rFonts w:cs="Times New Roman"/>
        </w:rPr>
        <w:t>The responders expressed a different opinion on the fairness of the assessment process through VLE. 55% of the responders think that fair assessment is ensured in the assessment process through VLE. They think VLE can be used to include students by automated grading functions and encouraging students in the forums and chat rooms to connect and answer questions and feedback easily. 30% of the students brought the topic to attention that students who live in poor network area face connectivity problem which hampers the real-time assessment processes. 15% of the responders stay neutral on this impact.</w:t>
      </w:r>
    </w:p>
    <w:p>
      <w:pPr>
        <w:rPr>
          <w:rFonts w:cs="Times New Roman"/>
        </w:rPr>
      </w:pPr>
    </w:p>
    <w:p>
      <w:pPr>
        <w:rPr>
          <w:rFonts w:cs="Times New Roman"/>
        </w:rPr>
      </w:pPr>
    </w:p>
    <w:p>
      <w:pPr>
        <w:rPr>
          <w:rFonts w:cs="Times New Roman"/>
        </w:rPr>
      </w:pPr>
      <w:r>
        <w:rPr>
          <w:rFonts w:cs="Times New Roman"/>
          <w:color w:val="FF0000"/>
          <w:szCs w:val="24"/>
          <w:lang w:val="en-US"/>
        </w:rPr>
        <w:drawing>
          <wp:inline distT="0" distB="0" distL="0" distR="0">
            <wp:extent cx="5497195" cy="3211195"/>
            <wp:effectExtent l="0" t="0" r="8255" b="8255"/>
            <wp:docPr id="350" name="Chart 35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tc>
          <w:tcPr>
            <w:tcW w:w="9243" w:type="dxa"/>
            <w:gridSpan w:val="2"/>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Frequency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Positive</w:t>
            </w:r>
          </w:p>
        </w:tc>
        <w:tc>
          <w:tcPr>
            <w:tcW w:w="4622"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Negative</w:t>
            </w:r>
          </w:p>
        </w:tc>
        <w:tc>
          <w:tcPr>
            <w:tcW w:w="4622"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Pr>
          <w:p>
            <w:pPr>
              <w:tabs>
                <w:tab w:val="left" w:pos="3255"/>
              </w:tabs>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Neutral</w:t>
            </w:r>
          </w:p>
        </w:tc>
        <w:tc>
          <w:tcPr>
            <w:tcW w:w="4622" w:type="dxa"/>
          </w:tcPr>
          <w:p>
            <w:pPr>
              <w:tabs>
                <w:tab w:val="left" w:pos="990"/>
              </w:tabs>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Pr>
          <w:p>
            <w:pPr>
              <w:tabs>
                <w:tab w:val="left" w:pos="3255"/>
              </w:tabs>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Total</w:t>
            </w:r>
          </w:p>
        </w:tc>
        <w:tc>
          <w:tcPr>
            <w:tcW w:w="4622"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20</w:t>
            </w:r>
          </w:p>
        </w:tc>
      </w:tr>
    </w:tbl>
    <w:p>
      <w:pPr>
        <w:rPr>
          <w:rFonts w:cs="Times New Roman"/>
        </w:rPr>
      </w:pPr>
    </w:p>
    <w:p>
      <w:pPr>
        <w:rPr>
          <w:rFonts w:cs="Times New Roman"/>
        </w:rPr>
      </w:pPr>
      <w:r>
        <w:rPr>
          <w:rFonts w:cs="Times New Roman"/>
        </w:rPr>
        <w:t>Among the students surveyed, 70% of the students agreed on the fact that Moodle has enhanced the e-learning experience of the students. This resulted from the single platform to sharing educational resources, peer-to-peer feedback. 10% of the respondents did not agree on their experience of e-learning as some modules of Moodle are not properly optimized yet. They expressed that Moodle needs to have more collaboration tools integrated within Moodle.</w:t>
      </w:r>
      <w:r>
        <w:rPr>
          <w:rFonts w:cs="Times New Roman"/>
        </w:rPr>
        <w:br w:type="page"/>
      </w:r>
    </w:p>
    <w:p>
      <w:pPr>
        <w:rPr>
          <w:rFonts w:cs="Times New Roman"/>
        </w:rPr>
      </w:pPr>
      <w:r>
        <w:rPr>
          <w:rFonts w:cs="Times New Roman"/>
          <w:color w:val="FF0000"/>
          <w:szCs w:val="24"/>
          <w:lang w:val="en-US"/>
        </w:rPr>
        <w:drawing>
          <wp:inline distT="0" distB="0" distL="0" distR="0">
            <wp:extent cx="5497195" cy="2700655"/>
            <wp:effectExtent l="0" t="0" r="8255" b="4445"/>
            <wp:docPr id="351" name="Chart 35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43" w:type="dxa"/>
            <w:gridSpan w:val="2"/>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Frequency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Positive</w:t>
            </w:r>
          </w:p>
        </w:tc>
        <w:tc>
          <w:tcPr>
            <w:tcW w:w="4622"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Negative</w:t>
            </w:r>
          </w:p>
        </w:tc>
        <w:tc>
          <w:tcPr>
            <w:tcW w:w="4622"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Pr>
          <w:p>
            <w:pPr>
              <w:tabs>
                <w:tab w:val="left" w:pos="3255"/>
              </w:tabs>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Neutral</w:t>
            </w:r>
          </w:p>
        </w:tc>
        <w:tc>
          <w:tcPr>
            <w:tcW w:w="4622"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21" w:type="dxa"/>
          </w:tcPr>
          <w:p>
            <w:pPr>
              <w:tabs>
                <w:tab w:val="left" w:pos="3255"/>
              </w:tabs>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Total</w:t>
            </w:r>
          </w:p>
        </w:tc>
        <w:tc>
          <w:tcPr>
            <w:tcW w:w="4622" w:type="dxa"/>
          </w:tcPr>
          <w:p>
            <w:pPr>
              <w:spacing w:after="0"/>
              <w:jc w:val="center"/>
              <w:rPr>
                <w:rFonts w:eastAsia="Calibri" w:cs="Times New Roman"/>
                <w:b/>
                <w:bCs/>
                <w:color w:val="000000" w:themeColor="text1"/>
                <w:szCs w:val="24"/>
                <w:lang w:val="en-GB" w:eastAsia="ja-JP" w:bidi="gu-IN"/>
                <w14:textFill>
                  <w14:solidFill>
                    <w14:schemeClr w14:val="tx1"/>
                  </w14:solidFill>
                </w14:textFill>
              </w:rPr>
            </w:pPr>
            <w:r>
              <w:rPr>
                <w:rFonts w:eastAsia="Calibri" w:cs="Times New Roman"/>
                <w:b/>
                <w:bCs/>
                <w:color w:val="000000" w:themeColor="text1"/>
                <w:szCs w:val="24"/>
                <w:lang w:val="en-GB" w:eastAsia="ja-JP" w:bidi="gu-IN"/>
                <w14:textFill>
                  <w14:solidFill>
                    <w14:schemeClr w14:val="tx1"/>
                  </w14:solidFill>
                </w14:textFill>
              </w:rPr>
              <w:t>20</w:t>
            </w:r>
          </w:p>
        </w:tc>
      </w:tr>
    </w:tbl>
    <w:p>
      <w:pPr>
        <w:rPr>
          <w:rFonts w:cs="Times New Roman"/>
        </w:rPr>
      </w:pPr>
    </w:p>
    <w:p>
      <w:pPr>
        <w:rPr>
          <w:rFonts w:cs="Times New Roman"/>
        </w:rPr>
      </w:pPr>
      <w:r>
        <w:rPr>
          <w:rFonts w:cs="Times New Roman"/>
        </w:rPr>
        <w:t>This came as a surprise that 84% of the students think Moodle needs to improve in certain areas such as optimization of collaboration tools, reducing latency in real-time conversations, and a more informative dashboard along with customizable module selection in the dashboard. None of the responders is fully reaping the benefits of the web framework as it is not properly optimized.</w:t>
      </w:r>
      <w:r>
        <w:rPr>
          <w:rFonts w:cs="Times New Roman"/>
        </w:rPr>
        <w:br w:type="page"/>
      </w:r>
    </w:p>
    <w:p>
      <w:pPr>
        <w:pStyle w:val="2"/>
        <w:rPr>
          <w:rFonts w:cs="Times New Roman"/>
        </w:rPr>
      </w:pPr>
      <w:bookmarkStart w:id="11" w:name="_Toc67935491"/>
      <w:r>
        <w:rPr>
          <w:rFonts w:cs="Times New Roman"/>
        </w:rPr>
        <w:t>Recommendation</w:t>
      </w:r>
      <w:bookmarkEnd w:id="11"/>
    </w:p>
    <w:p>
      <w:pPr>
        <w:rPr>
          <w:rFonts w:cs="Times New Roman"/>
        </w:rPr>
      </w:pPr>
      <w:r>
        <w:rPr>
          <w:rFonts w:cs="Times New Roman"/>
        </w:rPr>
        <w:t>Based on the analysis above, certain challenges pose some dissatisfaction among the students. Some recommendations are given below to deal with the challenges and to enable students to fully reap the benefits of the VLE:</w:t>
      </w:r>
    </w:p>
    <w:p>
      <w:pPr>
        <w:rPr>
          <w:rFonts w:cs="Times New Roman"/>
        </w:rPr>
      </w:pPr>
      <w:r>
        <w:rPr>
          <w:rStyle w:val="12"/>
          <w:rFonts w:cs="Times New Roman"/>
          <w:color w:val="0E101A"/>
        </w:rPr>
        <w:t>UWTSD should put more effort into the optimization of the Moodle framework:</w:t>
      </w:r>
      <w:r>
        <w:rPr>
          <w:rFonts w:cs="Times New Roman"/>
        </w:rPr>
        <w:t> </w:t>
      </w:r>
    </w:p>
    <w:p>
      <w:pPr>
        <w:rPr>
          <w:rFonts w:cs="Times New Roman"/>
        </w:rPr>
      </w:pPr>
      <w:r>
        <w:rPr>
          <w:rFonts w:cs="Times New Roman"/>
        </w:rPr>
        <w:t>As seen from the surveyed students the Moodle framework needs more optimization for enhancing the learning experience of the students. A modular, interoperable learning management system will enable it to be expanded and integrated easily as new technologies arrive and will enable the campus authorities to expand their learning system optimized for the students (</w:t>
      </w:r>
      <w:r>
        <w:rPr>
          <w:rFonts w:cs="Times New Roman"/>
          <w:color w:val="000000" w:themeColor="text1"/>
          <w14:textFill>
            <w14:solidFill>
              <w14:schemeClr w14:val="tx1"/>
            </w14:solidFill>
          </w14:textFill>
        </w:rPr>
        <w:t>Kakasevski, 2008</w:t>
      </w:r>
      <w:r>
        <w:rPr>
          <w:rFonts w:cs="Times New Roman"/>
        </w:rPr>
        <w:t>). Optimisation of the framework will enable a student who has access to a computer with a secure internet connection to attend a virtual classroom.  With pre-recorded class lecture management interactive lessons can be built up so students can learn at their suitable timing. </w:t>
      </w:r>
    </w:p>
    <w:p>
      <w:pPr>
        <w:rPr>
          <w:rFonts w:cs="Times New Roman"/>
        </w:rPr>
      </w:pPr>
      <w:r>
        <w:rPr>
          <w:rStyle w:val="12"/>
          <w:rFonts w:cs="Times New Roman"/>
          <w:color w:val="0E101A"/>
        </w:rPr>
        <w:t>UWTSD should embed more collaboration tools into Moodle:</w:t>
      </w:r>
      <w:r>
        <w:rPr>
          <w:rFonts w:cs="Times New Roman"/>
        </w:rPr>
        <w:t> </w:t>
      </w:r>
    </w:p>
    <w:p>
      <w:pPr>
        <w:rPr>
          <w:rFonts w:cs="Times New Roman"/>
        </w:rPr>
      </w:pPr>
      <w:r>
        <w:rPr>
          <w:rFonts w:cs="Times New Roman"/>
        </w:rPr>
        <w:t>The virtual learning environment needs more collaboration tools. By adding collaboration tools, student engagement and audience retention will be much more effective in enhancing the learning experience of students (</w:t>
      </w:r>
      <w:r>
        <w:rPr>
          <w:rFonts w:cs="Times New Roman"/>
          <w:color w:val="000000" w:themeColor="text1"/>
          <w14:textFill>
            <w14:solidFill>
              <w14:schemeClr w14:val="tx1"/>
            </w14:solidFill>
          </w14:textFill>
        </w:rPr>
        <w:t>Serrano, 2019</w:t>
      </w:r>
      <w:r>
        <w:rPr>
          <w:rFonts w:cs="Times New Roman"/>
        </w:rPr>
        <w:t>). Students must be able to communicate with their peers. Collaboration instruments will provide students with a space to do so through direct messages, video conferences, forums, and online group activities.</w:t>
      </w:r>
    </w:p>
    <w:p>
      <w:pPr>
        <w:rPr>
          <w:rStyle w:val="12"/>
          <w:rFonts w:cs="Times New Roman"/>
          <w:color w:val="0E101A"/>
        </w:rPr>
      </w:pPr>
      <w:r>
        <w:rPr>
          <w:rStyle w:val="12"/>
          <w:rFonts w:cs="Times New Roman"/>
          <w:color w:val="0E101A"/>
        </w:rPr>
        <w:t>UWTSD should introduce training facilities:</w:t>
      </w:r>
    </w:p>
    <w:p>
      <w:pPr>
        <w:rPr>
          <w:rFonts w:cs="Times New Roman"/>
        </w:rPr>
      </w:pPr>
      <w:r>
        <w:rPr>
          <w:rFonts w:cs="Times New Roman"/>
        </w:rPr>
        <w:t>Introducing and properly transition to a VLE can only be effective when all students can use the learning system properly (</w:t>
      </w:r>
      <w:r>
        <w:rPr>
          <w:rFonts w:cs="Times New Roman"/>
          <w:color w:val="000000" w:themeColor="text1"/>
          <w14:textFill>
            <w14:solidFill>
              <w14:schemeClr w14:val="tx1"/>
            </w14:solidFill>
          </w14:textFill>
        </w:rPr>
        <w:t>Weller, 2007</w:t>
      </w:r>
      <w:r>
        <w:rPr>
          <w:rFonts w:cs="Times New Roman"/>
        </w:rPr>
        <w:t>). Some students still lack the ins and outs of the learning systems. A short introductory training session can be introduced for effective collaboration. School management may make use of the learning platform to attend and watch the progress of the students. To monitor and help students, they can easily visit the dashboard. </w:t>
      </w:r>
    </w:p>
    <w:p>
      <w:pPr>
        <w:jc w:val="left"/>
        <w:rPr>
          <w:rFonts w:cs="Times New Roman"/>
        </w:rPr>
      </w:pPr>
      <w:r>
        <w:rPr>
          <w:rFonts w:cs="Times New Roman"/>
        </w:rPr>
        <w:br w:type="page"/>
      </w:r>
    </w:p>
    <w:p>
      <w:pPr>
        <w:pStyle w:val="2"/>
        <w:rPr>
          <w:rFonts w:cs="Times New Roman"/>
        </w:rPr>
      </w:pPr>
      <w:bookmarkStart w:id="12" w:name="_Toc67935492"/>
      <w:r>
        <w:rPr>
          <w:rFonts w:cs="Times New Roman"/>
        </w:rPr>
        <w:t>Conclusion</w:t>
      </w:r>
      <w:bookmarkEnd w:id="12"/>
    </w:p>
    <w:p>
      <w:r>
        <w:t xml:space="preserve">Embedding VLE into the existing educational framework of UWTSD created a positive impact on the learning experience of students. Students faced few challenges but can be overcome by optimising the VLE to the need of the students. Wider options of collaboration tools will result in a much efficient and engaging learning platform. Ultimately, an efficient virtual learning experience can impact the efficacy of learning through active control over learning content and learner collaboration and engagement with peers and instructors.  </w:t>
      </w:r>
      <w:r>
        <w:br w:type="page"/>
      </w:r>
    </w:p>
    <w:p>
      <w:pPr>
        <w:pStyle w:val="2"/>
        <w:rPr>
          <w:rFonts w:cs="Times New Roman"/>
          <w:sz w:val="22"/>
          <w:szCs w:val="22"/>
        </w:rPr>
      </w:pPr>
      <w:bookmarkStart w:id="13" w:name="_Toc67935493"/>
      <w:r>
        <w:rPr>
          <w:rFonts w:cs="Times New Roman"/>
        </w:rPr>
        <w:t>References</w:t>
      </w:r>
      <w:bookmarkEnd w:id="13"/>
      <w:r>
        <w:rPr>
          <w:rFonts w:cs="Times New Roman"/>
          <w:sz w:val="22"/>
          <w:szCs w:val="22"/>
        </w:rPr>
        <w:t xml:space="preserve"> </w:t>
      </w:r>
    </w:p>
    <w:p>
      <w:pPr>
        <w:spacing w:line="480" w:lineRule="auto"/>
        <w:ind w:left="720" w:hanging="720"/>
      </w:pPr>
      <w:r>
        <w:t xml:space="preserve">Herrera, F., Oh, S.Y. and Bailenson, J.N., 2020. Effect of behavioral realism on social interactions inside collaborative virtual environments. PRESENCE: Virtual and Augmented Reality, 27(2), pp.163-182. </w:t>
      </w:r>
    </w:p>
    <w:p>
      <w:pPr>
        <w:spacing w:line="480" w:lineRule="auto"/>
        <w:ind w:left="720" w:hanging="720"/>
      </w:pPr>
      <w:r>
        <w:t>Kakasevski, G., Mihajlov, M., Arsenovski, S. and Chungurski, S., 2008, June. Evaluating usability in learning management system Moodle. In Iti 2008-30th international conference on information technology interfaces (pp. 613-618). IEEE.</w:t>
      </w:r>
    </w:p>
    <w:p>
      <w:pPr>
        <w:spacing w:line="480" w:lineRule="auto"/>
        <w:ind w:left="720" w:hanging="720"/>
      </w:pPr>
      <w:r>
        <w:t xml:space="preserve">Kerimbayev, N., Nurym, N., Akramova, А. and Abdykarimova, S., 2020. Virtual educational environment: interactive communication using LMS Moodle. Education and Information Technologies, 25(3), pp.1965-1982. </w:t>
      </w:r>
    </w:p>
    <w:p>
      <w:pPr>
        <w:spacing w:line="480" w:lineRule="auto"/>
        <w:ind w:left="720" w:hanging="720"/>
      </w:pPr>
      <w:r>
        <w:t>Khlaisang, J. and Songkram, N., 2019. Designing a virtual learning environment system for teaching twenty-first century skills to higher education students in ASEAN. Technology, Knowledge and Learning, 24(1), pp.41-63.</w:t>
      </w:r>
    </w:p>
    <w:p>
      <w:pPr>
        <w:spacing w:line="480" w:lineRule="auto"/>
        <w:ind w:left="720" w:hanging="720"/>
      </w:pPr>
      <w:r>
        <w:t xml:space="preserve">Lim, C.L., Ab Jalil, H., Ma'rof, A.M. and Saad, W.Z., 2020. Assisting Peer Learning Performance Using Online Collaborative Tools in Virtual Learning Environments. In Preparing 21st Century Teachers for Teach Less, Learn More (TLLM) Pedagogies (pp. 108-124). IGI Global. </w:t>
      </w:r>
    </w:p>
    <w:p>
      <w:pPr>
        <w:spacing w:line="480" w:lineRule="auto"/>
        <w:ind w:left="720" w:hanging="720"/>
      </w:pPr>
      <w:r>
        <w:t>Martin, F. and Bolliger, D.U., 2018. Engagement matters: Student perceptions on the importance of engagement strategies in the online learning environment. Online Learning, 22(1), pp.205-222. Zubaer</w:t>
      </w:r>
    </w:p>
    <w:p>
      <w:pPr>
        <w:spacing w:line="480" w:lineRule="auto"/>
        <w:ind w:left="720" w:hanging="720"/>
      </w:pPr>
      <w:r>
        <w:t xml:space="preserve">Pererva, V., Lavrentieva, O., Lakomova, O., Zavalniuk, O. and Tolmachev, S., 2020. The technique of the use of Virtual Learning Environment in the process of organizing the future teachers' terminological work by specialty. </w:t>
      </w:r>
    </w:p>
    <w:p>
      <w:pPr>
        <w:spacing w:line="480" w:lineRule="auto"/>
        <w:ind w:left="720" w:hanging="720"/>
      </w:pPr>
      <w:r>
        <w:t>Priyahita, R., 2020, August. The Utilization of E-Learning and Artificial Intelligence in the Development of Education System in Indonesia. In 2nd Jogjakarta Communication Conference (JCC 2020) (pp. 263-268). Atlantis Press.</w:t>
      </w:r>
    </w:p>
    <w:p>
      <w:pPr>
        <w:spacing w:line="480" w:lineRule="auto"/>
        <w:ind w:left="720" w:hanging="720"/>
      </w:pPr>
      <w:r>
        <w:t>Serrano, D.R., Dea‐Ayuela, M.A., Gonzalez‐Burgos, E., Serrano‐Gil, A. and Lalatsa, A., 2019. Technology‐enhanced learning in higher education: How to enhance student engagement through blended learning. European Journal of Education, 54(2), pp.273-286.</w:t>
      </w:r>
    </w:p>
    <w:p>
      <w:pPr>
        <w:spacing w:line="480" w:lineRule="auto"/>
        <w:ind w:left="720" w:hanging="720"/>
      </w:pPr>
      <w:r>
        <w:t>Weller, M., 2007. Virtual learning environments: Using, choosing and developing your VLE. Routledge.</w:t>
      </w:r>
    </w:p>
    <w:p>
      <w:pPr>
        <w:spacing w:line="259" w:lineRule="auto"/>
        <w:jc w:val="left"/>
        <w:rPr>
          <w:rFonts w:cs="Times New Roman" w:eastAsiaTheme="majorEastAsia"/>
          <w:color w:val="2F5597" w:themeColor="accent1" w:themeShade="BF"/>
          <w:sz w:val="32"/>
          <w:szCs w:val="32"/>
        </w:rPr>
      </w:pPr>
      <w:r>
        <w:rPr>
          <w:rFonts w:cs="Times New Roman"/>
        </w:rPr>
        <w:br w:type="page"/>
      </w:r>
    </w:p>
    <w:p>
      <w:pPr>
        <w:pStyle w:val="2"/>
        <w:rPr>
          <w:rFonts w:cs="Times New Roman"/>
        </w:rPr>
      </w:pPr>
      <w:bookmarkStart w:id="14" w:name="_Toc67935494"/>
      <w:r>
        <w:rPr>
          <w:rFonts w:cs="Times New Roman"/>
        </w:rPr>
        <w:t>Appendix 1</w:t>
      </w:r>
      <w:bookmarkEnd w:id="14"/>
    </w:p>
    <w:p>
      <w:pPr>
        <w:pStyle w:val="3"/>
      </w:pPr>
      <w:bookmarkStart w:id="15" w:name="_Toc67935495"/>
      <w:r>
        <w:t>Questionnaire Survey</w:t>
      </w:r>
      <w:bookmarkEnd w:id="15"/>
    </w:p>
    <w:p>
      <w:pPr>
        <w:pStyle w:val="18"/>
        <w:numPr>
          <w:ilvl w:val="0"/>
          <w:numId w:val="4"/>
        </w:numPr>
        <w:rPr>
          <w:rFonts w:cs="Times New Roman"/>
          <w:bCs/>
          <w:szCs w:val="24"/>
        </w:rPr>
      </w:pPr>
      <w:r>
        <w:rPr>
          <w:rFonts w:cs="Times New Roman"/>
          <w:bCs/>
          <w:szCs w:val="24"/>
        </w:rPr>
        <w:t>Do you agree that transitioning to a VLE impacts your learning experience?</w:t>
      </w:r>
    </w:p>
    <w:p>
      <w:pPr>
        <w:pStyle w:val="18"/>
        <w:numPr>
          <w:ilvl w:val="0"/>
          <w:numId w:val="5"/>
        </w:numPr>
        <w:rPr>
          <w:rFonts w:cs="Times New Roman"/>
          <w:szCs w:val="24"/>
        </w:rPr>
      </w:pPr>
      <w:r>
        <w:rPr>
          <w:rFonts w:cs="Times New Roman"/>
          <w:szCs w:val="24"/>
        </w:rPr>
        <w:t>Agree</w:t>
      </w:r>
    </w:p>
    <w:p>
      <w:pPr>
        <w:pStyle w:val="18"/>
        <w:numPr>
          <w:ilvl w:val="0"/>
          <w:numId w:val="5"/>
        </w:numPr>
        <w:rPr>
          <w:rFonts w:cs="Times New Roman"/>
          <w:szCs w:val="24"/>
        </w:rPr>
      </w:pPr>
      <w:r>
        <w:rPr>
          <w:rFonts w:cs="Times New Roman"/>
          <w:szCs w:val="24"/>
        </w:rPr>
        <w:t>Do Not Agree</w:t>
      </w:r>
    </w:p>
    <w:p>
      <w:pPr>
        <w:pStyle w:val="18"/>
        <w:numPr>
          <w:ilvl w:val="0"/>
          <w:numId w:val="5"/>
        </w:numPr>
        <w:rPr>
          <w:rFonts w:cs="Times New Roman"/>
          <w:szCs w:val="24"/>
        </w:rPr>
      </w:pPr>
      <w:r>
        <w:rPr>
          <w:rFonts w:cs="Times New Roman"/>
          <w:szCs w:val="24"/>
        </w:rPr>
        <w:t>Neutral</w:t>
      </w:r>
    </w:p>
    <w:p>
      <w:pPr>
        <w:pStyle w:val="18"/>
        <w:numPr>
          <w:ilvl w:val="0"/>
          <w:numId w:val="4"/>
        </w:numPr>
        <w:rPr>
          <w:rFonts w:cs="Times New Roman"/>
          <w:bCs/>
          <w:szCs w:val="24"/>
        </w:rPr>
      </w:pPr>
      <w:r>
        <w:rPr>
          <w:rFonts w:cs="Times New Roman"/>
          <w:bCs/>
          <w:szCs w:val="24"/>
        </w:rPr>
        <w:t>Do you agree that the VLE proposes fair assessment process in distance learning than in campus assessment?</w:t>
      </w:r>
    </w:p>
    <w:p>
      <w:pPr>
        <w:pStyle w:val="18"/>
        <w:numPr>
          <w:ilvl w:val="0"/>
          <w:numId w:val="6"/>
        </w:numPr>
        <w:rPr>
          <w:rFonts w:cs="Times New Roman"/>
          <w:szCs w:val="24"/>
        </w:rPr>
      </w:pPr>
      <w:r>
        <w:rPr>
          <w:rFonts w:cs="Times New Roman"/>
          <w:szCs w:val="24"/>
        </w:rPr>
        <w:t>Agree</w:t>
      </w:r>
    </w:p>
    <w:p>
      <w:pPr>
        <w:pStyle w:val="18"/>
        <w:numPr>
          <w:ilvl w:val="0"/>
          <w:numId w:val="6"/>
        </w:numPr>
        <w:rPr>
          <w:rFonts w:cs="Times New Roman"/>
          <w:szCs w:val="24"/>
        </w:rPr>
      </w:pPr>
      <w:r>
        <w:rPr>
          <w:rFonts w:cs="Times New Roman"/>
          <w:szCs w:val="24"/>
        </w:rPr>
        <w:t>Do Not Agree</w:t>
      </w:r>
    </w:p>
    <w:p>
      <w:pPr>
        <w:pStyle w:val="18"/>
        <w:numPr>
          <w:ilvl w:val="0"/>
          <w:numId w:val="6"/>
        </w:numPr>
        <w:rPr>
          <w:rFonts w:cs="Times New Roman"/>
          <w:szCs w:val="24"/>
        </w:rPr>
      </w:pPr>
      <w:r>
        <w:rPr>
          <w:rFonts w:cs="Times New Roman"/>
          <w:szCs w:val="24"/>
        </w:rPr>
        <w:t>Neutral</w:t>
      </w:r>
    </w:p>
    <w:p>
      <w:pPr>
        <w:pStyle w:val="18"/>
        <w:numPr>
          <w:ilvl w:val="0"/>
          <w:numId w:val="4"/>
        </w:numPr>
        <w:rPr>
          <w:rFonts w:cs="Times New Roman"/>
          <w:bCs/>
          <w:szCs w:val="24"/>
        </w:rPr>
      </w:pPr>
      <w:r>
        <w:rPr>
          <w:rFonts w:cs="Times New Roman"/>
          <w:bCs/>
          <w:szCs w:val="24"/>
        </w:rPr>
        <w:t>Do you agree that Moodle enhances E-learning facility?</w:t>
      </w:r>
    </w:p>
    <w:p>
      <w:pPr>
        <w:pStyle w:val="18"/>
        <w:numPr>
          <w:ilvl w:val="0"/>
          <w:numId w:val="7"/>
        </w:numPr>
        <w:rPr>
          <w:rFonts w:cs="Times New Roman"/>
          <w:szCs w:val="24"/>
        </w:rPr>
      </w:pPr>
      <w:r>
        <w:rPr>
          <w:rFonts w:cs="Times New Roman"/>
          <w:szCs w:val="24"/>
        </w:rPr>
        <w:t>Agree</w:t>
      </w:r>
    </w:p>
    <w:p>
      <w:pPr>
        <w:pStyle w:val="18"/>
        <w:numPr>
          <w:ilvl w:val="0"/>
          <w:numId w:val="7"/>
        </w:numPr>
        <w:rPr>
          <w:rFonts w:cs="Times New Roman"/>
          <w:szCs w:val="24"/>
        </w:rPr>
      </w:pPr>
      <w:r>
        <w:rPr>
          <w:rFonts w:cs="Times New Roman"/>
          <w:szCs w:val="24"/>
        </w:rPr>
        <w:t>Do Not Agree</w:t>
      </w:r>
    </w:p>
    <w:p>
      <w:pPr>
        <w:pStyle w:val="18"/>
        <w:numPr>
          <w:ilvl w:val="0"/>
          <w:numId w:val="7"/>
        </w:numPr>
        <w:rPr>
          <w:rFonts w:cs="Times New Roman"/>
          <w:szCs w:val="24"/>
        </w:rPr>
      </w:pPr>
      <w:r>
        <w:rPr>
          <w:rFonts w:cs="Times New Roman"/>
          <w:szCs w:val="24"/>
        </w:rPr>
        <w:t>Neutral</w:t>
      </w:r>
    </w:p>
    <w:p>
      <w:pPr>
        <w:pStyle w:val="18"/>
        <w:numPr>
          <w:ilvl w:val="0"/>
          <w:numId w:val="4"/>
        </w:numPr>
        <w:rPr>
          <w:rFonts w:cs="Times New Roman"/>
          <w:bCs/>
          <w:szCs w:val="24"/>
        </w:rPr>
      </w:pPr>
      <w:r>
        <w:rPr>
          <w:rFonts w:cs="Times New Roman"/>
          <w:bCs/>
          <w:szCs w:val="24"/>
        </w:rPr>
        <w:t>Do you agree that Moodle needs to improve their educational modules and optimise them?</w:t>
      </w:r>
    </w:p>
    <w:p>
      <w:pPr>
        <w:pStyle w:val="18"/>
        <w:numPr>
          <w:ilvl w:val="0"/>
          <w:numId w:val="8"/>
        </w:numPr>
        <w:rPr>
          <w:rFonts w:cs="Times New Roman"/>
          <w:szCs w:val="24"/>
        </w:rPr>
      </w:pPr>
      <w:r>
        <w:rPr>
          <w:rFonts w:cs="Times New Roman"/>
          <w:szCs w:val="24"/>
        </w:rPr>
        <w:t>Agree</w:t>
      </w:r>
    </w:p>
    <w:p>
      <w:pPr>
        <w:pStyle w:val="18"/>
        <w:numPr>
          <w:ilvl w:val="0"/>
          <w:numId w:val="8"/>
        </w:numPr>
        <w:rPr>
          <w:rFonts w:cs="Times New Roman"/>
          <w:szCs w:val="24"/>
        </w:rPr>
      </w:pPr>
      <w:r>
        <w:rPr>
          <w:rFonts w:cs="Times New Roman"/>
          <w:szCs w:val="24"/>
        </w:rPr>
        <w:t>Do Not Agree</w:t>
      </w:r>
    </w:p>
    <w:p>
      <w:pPr>
        <w:pStyle w:val="18"/>
        <w:numPr>
          <w:ilvl w:val="0"/>
          <w:numId w:val="8"/>
        </w:numPr>
        <w:rPr>
          <w:rFonts w:cs="Times New Roman"/>
          <w:szCs w:val="24"/>
        </w:rPr>
      </w:pPr>
      <w:r>
        <w:rPr>
          <w:rFonts w:cs="Times New Roman"/>
          <w:szCs w:val="24"/>
        </w:rPr>
        <w:t>Neutral</w:t>
      </w:r>
    </w:p>
    <w:p>
      <w:pPr>
        <w:pStyle w:val="18"/>
        <w:ind w:left="1080"/>
        <w:rPr>
          <w:rFonts w:cs="Times New Roman"/>
          <w:szCs w:val="24"/>
        </w:rPr>
      </w:pPr>
    </w:p>
    <w:sectPr>
      <w:footerReference r:id="rId3" w:type="default"/>
      <w:pgSz w:w="11906" w:h="16838"/>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Symbol">
    <w:altName w:val="Kingsoft Sign"/>
    <w:panose1 w:val="05050102010706020507"/>
    <w:charset w:val="02"/>
    <w:family w:val="decorative"/>
    <w:pitch w:val="default"/>
    <w:sig w:usb0="00000000" w:usb1="00000000" w:usb2="00000000" w:usb3="00000000" w:csb0="80000000" w:csb1="00000000"/>
  </w:font>
  <w:font w:name="Wingdings">
    <w:panose1 w:val="05000000000000000000"/>
    <w:charset w:val="4D"/>
    <w:family w:val="decorative"/>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9" w:usb3="00000000" w:csb0="000001FF" w:csb1="00000000"/>
  </w:font>
  <w:font w:name="Tahoma">
    <w:panose1 w:val="020B0604030504040204"/>
    <w:charset w:val="00"/>
    <w:family w:val="swiss"/>
    <w:pitch w:val="default"/>
    <w:sig w:usb0="E1002AFF" w:usb1="C000605B" w:usb2="00000029" w:usb3="00000000" w:csb0="200101FF" w:csb1="20280000"/>
  </w:font>
  <w:font w:name="Hiragino Sans GB">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Webdings">
    <w:panose1 w:val="05030102010509060703"/>
    <w:charset w:val="00"/>
    <w:family w:val="auto"/>
    <w:pitch w:val="default"/>
    <w:sig w:usb0="00000000" w:usb1="00000000" w:usb2="00000000" w:usb3="00000000" w:csb0="80000000" w:csb1="00000000"/>
  </w:font>
  <w:font w:name="Calibri">
    <w:altName w:val="Helvetica Neue"/>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05593459"/>
    </w:sdtPr>
    <w:sdtContent>
      <w:p>
        <w:pPr>
          <w:pStyle w:val="5"/>
          <w:jc w:val="right"/>
        </w:pPr>
        <w:r>
          <w:t xml:space="preserve">Page | </w:t>
        </w:r>
        <w:r>
          <w:fldChar w:fldCharType="begin"/>
        </w:r>
        <w:r>
          <w:instrText xml:space="preserve"> PAGE   \* MERGEFORMAT </w:instrText>
        </w:r>
        <w:r>
          <w:fldChar w:fldCharType="separate"/>
        </w:r>
        <w:r>
          <w:t>4</w:t>
        </w:r>
        <w: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66264"/>
    <w:multiLevelType w:val="multilevel"/>
    <w:tmpl w:val="07366264"/>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
    <w:nsid w:val="2AF400DE"/>
    <w:multiLevelType w:val="multilevel"/>
    <w:tmpl w:val="2AF400DE"/>
    <w:lvl w:ilvl="0" w:tentative="0">
      <w:start w:val="1"/>
      <w:numFmt w:val="decimal"/>
      <w:lvlText w:val="%1."/>
      <w:lvlJc w:val="left"/>
      <w:pPr>
        <w:ind w:left="45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20827C3"/>
    <w:multiLevelType w:val="multilevel"/>
    <w:tmpl w:val="320827C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5E0B2491"/>
    <w:multiLevelType w:val="multilevel"/>
    <w:tmpl w:val="5E0B249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13924FA"/>
    <w:multiLevelType w:val="multilevel"/>
    <w:tmpl w:val="613924FA"/>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5">
    <w:nsid w:val="687A5777"/>
    <w:multiLevelType w:val="multilevel"/>
    <w:tmpl w:val="687A5777"/>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6">
    <w:nsid w:val="6FA43421"/>
    <w:multiLevelType w:val="multilevel"/>
    <w:tmpl w:val="6FA43421"/>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7">
    <w:nsid w:val="74D00DCA"/>
    <w:multiLevelType w:val="multilevel"/>
    <w:tmpl w:val="74D00DC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7"/>
  </w:num>
  <w:num w:numId="4">
    <w:abstractNumId w:val="1"/>
  </w:num>
  <w:num w:numId="5">
    <w:abstractNumId w:val="4"/>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SxNDEBkiamRmamBko6SsGpxcWZ+XkgBYa1AGCCGkksAAAA"/>
  </w:docVars>
  <w:rsids>
    <w:rsidRoot w:val="00D83975"/>
    <w:rsid w:val="00007785"/>
    <w:rsid w:val="000100E6"/>
    <w:rsid w:val="000100FF"/>
    <w:rsid w:val="00012B0F"/>
    <w:rsid w:val="00056BD8"/>
    <w:rsid w:val="00074670"/>
    <w:rsid w:val="00081425"/>
    <w:rsid w:val="00082AF9"/>
    <w:rsid w:val="00083857"/>
    <w:rsid w:val="000844F4"/>
    <w:rsid w:val="00092C4A"/>
    <w:rsid w:val="000A14A0"/>
    <w:rsid w:val="000C7DC4"/>
    <w:rsid w:val="00115ED6"/>
    <w:rsid w:val="0012135E"/>
    <w:rsid w:val="00132FCD"/>
    <w:rsid w:val="00156076"/>
    <w:rsid w:val="0017097D"/>
    <w:rsid w:val="0017193B"/>
    <w:rsid w:val="001C2501"/>
    <w:rsid w:val="001D0090"/>
    <w:rsid w:val="00203CD6"/>
    <w:rsid w:val="00213AC4"/>
    <w:rsid w:val="00213E66"/>
    <w:rsid w:val="00213F1D"/>
    <w:rsid w:val="00217FB1"/>
    <w:rsid w:val="00227E34"/>
    <w:rsid w:val="00230C50"/>
    <w:rsid w:val="00256979"/>
    <w:rsid w:val="002D57CD"/>
    <w:rsid w:val="002F3B16"/>
    <w:rsid w:val="0030470E"/>
    <w:rsid w:val="003464AE"/>
    <w:rsid w:val="0035102F"/>
    <w:rsid w:val="00361EB7"/>
    <w:rsid w:val="0036780A"/>
    <w:rsid w:val="00372894"/>
    <w:rsid w:val="003765AC"/>
    <w:rsid w:val="003948E4"/>
    <w:rsid w:val="00395273"/>
    <w:rsid w:val="003A7F46"/>
    <w:rsid w:val="003B6187"/>
    <w:rsid w:val="003D7801"/>
    <w:rsid w:val="003F2A4E"/>
    <w:rsid w:val="00403775"/>
    <w:rsid w:val="004048F8"/>
    <w:rsid w:val="00405BE6"/>
    <w:rsid w:val="00405F18"/>
    <w:rsid w:val="0043680B"/>
    <w:rsid w:val="004463E5"/>
    <w:rsid w:val="0046329D"/>
    <w:rsid w:val="00494EE0"/>
    <w:rsid w:val="004B59B6"/>
    <w:rsid w:val="00505D6C"/>
    <w:rsid w:val="005103BB"/>
    <w:rsid w:val="00563D0F"/>
    <w:rsid w:val="005702EA"/>
    <w:rsid w:val="00571338"/>
    <w:rsid w:val="0058631E"/>
    <w:rsid w:val="005A51F5"/>
    <w:rsid w:val="005D634F"/>
    <w:rsid w:val="00605925"/>
    <w:rsid w:val="006229DD"/>
    <w:rsid w:val="0063405B"/>
    <w:rsid w:val="00662D9E"/>
    <w:rsid w:val="00675475"/>
    <w:rsid w:val="006960E0"/>
    <w:rsid w:val="006D0B37"/>
    <w:rsid w:val="006D779E"/>
    <w:rsid w:val="006E2E7B"/>
    <w:rsid w:val="006F0B30"/>
    <w:rsid w:val="007064DC"/>
    <w:rsid w:val="00714636"/>
    <w:rsid w:val="007149B5"/>
    <w:rsid w:val="00725964"/>
    <w:rsid w:val="00741D15"/>
    <w:rsid w:val="007479CD"/>
    <w:rsid w:val="0076188D"/>
    <w:rsid w:val="00764953"/>
    <w:rsid w:val="007A4397"/>
    <w:rsid w:val="007A6C6C"/>
    <w:rsid w:val="007C0AE6"/>
    <w:rsid w:val="007F27D3"/>
    <w:rsid w:val="007F61A6"/>
    <w:rsid w:val="00800AE8"/>
    <w:rsid w:val="0080408A"/>
    <w:rsid w:val="008068AD"/>
    <w:rsid w:val="008115E7"/>
    <w:rsid w:val="008136A3"/>
    <w:rsid w:val="00835640"/>
    <w:rsid w:val="008479E6"/>
    <w:rsid w:val="0085631D"/>
    <w:rsid w:val="008610FC"/>
    <w:rsid w:val="008647A5"/>
    <w:rsid w:val="008672EB"/>
    <w:rsid w:val="00872D9E"/>
    <w:rsid w:val="008835EF"/>
    <w:rsid w:val="008946F8"/>
    <w:rsid w:val="00900DC2"/>
    <w:rsid w:val="00922DBC"/>
    <w:rsid w:val="00964C88"/>
    <w:rsid w:val="009806C0"/>
    <w:rsid w:val="00984517"/>
    <w:rsid w:val="0099139D"/>
    <w:rsid w:val="009D151F"/>
    <w:rsid w:val="009E3F9F"/>
    <w:rsid w:val="009E5632"/>
    <w:rsid w:val="009F4BA5"/>
    <w:rsid w:val="00A074D7"/>
    <w:rsid w:val="00A17EC9"/>
    <w:rsid w:val="00A23CEC"/>
    <w:rsid w:val="00A3071A"/>
    <w:rsid w:val="00A321C7"/>
    <w:rsid w:val="00A32B98"/>
    <w:rsid w:val="00A47CF0"/>
    <w:rsid w:val="00A62650"/>
    <w:rsid w:val="00A7434C"/>
    <w:rsid w:val="00AB6A50"/>
    <w:rsid w:val="00AC0E5A"/>
    <w:rsid w:val="00AD1F71"/>
    <w:rsid w:val="00AE24D2"/>
    <w:rsid w:val="00B03759"/>
    <w:rsid w:val="00B26548"/>
    <w:rsid w:val="00B55CFE"/>
    <w:rsid w:val="00B66DFD"/>
    <w:rsid w:val="00B83987"/>
    <w:rsid w:val="00B9283F"/>
    <w:rsid w:val="00B946A9"/>
    <w:rsid w:val="00BA5F0A"/>
    <w:rsid w:val="00BB4264"/>
    <w:rsid w:val="00BC573A"/>
    <w:rsid w:val="00BD6FD1"/>
    <w:rsid w:val="00C136A7"/>
    <w:rsid w:val="00C34C64"/>
    <w:rsid w:val="00C40CC4"/>
    <w:rsid w:val="00C51863"/>
    <w:rsid w:val="00C55213"/>
    <w:rsid w:val="00C969AF"/>
    <w:rsid w:val="00CB06A2"/>
    <w:rsid w:val="00CB37A8"/>
    <w:rsid w:val="00CB7ABF"/>
    <w:rsid w:val="00CD776D"/>
    <w:rsid w:val="00CE0D7C"/>
    <w:rsid w:val="00D16AEB"/>
    <w:rsid w:val="00D17E81"/>
    <w:rsid w:val="00D277C4"/>
    <w:rsid w:val="00D349FF"/>
    <w:rsid w:val="00D70ADA"/>
    <w:rsid w:val="00D83975"/>
    <w:rsid w:val="00D84EF3"/>
    <w:rsid w:val="00D90FC6"/>
    <w:rsid w:val="00D9631E"/>
    <w:rsid w:val="00DC1CDB"/>
    <w:rsid w:val="00DC2042"/>
    <w:rsid w:val="00DC2598"/>
    <w:rsid w:val="00DC44EC"/>
    <w:rsid w:val="00DC6995"/>
    <w:rsid w:val="00DD63BC"/>
    <w:rsid w:val="00DF7E3C"/>
    <w:rsid w:val="00E06F1F"/>
    <w:rsid w:val="00E565F2"/>
    <w:rsid w:val="00E63C66"/>
    <w:rsid w:val="00E7597E"/>
    <w:rsid w:val="00E816C8"/>
    <w:rsid w:val="00E9367A"/>
    <w:rsid w:val="00EA09F4"/>
    <w:rsid w:val="00EB6984"/>
    <w:rsid w:val="00F02FB1"/>
    <w:rsid w:val="00F1090B"/>
    <w:rsid w:val="00F13962"/>
    <w:rsid w:val="00F26962"/>
    <w:rsid w:val="00F35BBB"/>
    <w:rsid w:val="00F56220"/>
    <w:rsid w:val="00F62ED1"/>
    <w:rsid w:val="00F657CD"/>
    <w:rsid w:val="00F67422"/>
    <w:rsid w:val="00F70CA2"/>
    <w:rsid w:val="00F75CCB"/>
    <w:rsid w:val="00F847B5"/>
    <w:rsid w:val="00F84F3E"/>
    <w:rsid w:val="00F90C60"/>
    <w:rsid w:val="00F92553"/>
    <w:rsid w:val="00F978EB"/>
    <w:rsid w:val="00FA064E"/>
    <w:rsid w:val="00FA7C04"/>
    <w:rsid w:val="00FB7E15"/>
    <w:rsid w:val="00FC0038"/>
    <w:rsid w:val="00FC464B"/>
    <w:rsid w:val="00FC54D9"/>
    <w:rsid w:val="00FD0DBE"/>
    <w:rsid w:val="00FD4A38"/>
    <w:rsid w:val="00FF281F"/>
    <w:rsid w:val="00FF4CC9"/>
    <w:rsid w:val="00FF6DBB"/>
    <w:rsid w:val="EBDE4254"/>
    <w:rsid w:val="FE7E135F"/>
    <w:rsid w:val="FEBED9A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5"/>
    <w:qFormat/>
    <w:uiPriority w:val="9"/>
    <w:pPr>
      <w:keepNext/>
      <w:keepLines/>
      <w:spacing w:before="240" w:after="0"/>
      <w:jc w:val="center"/>
      <w:outlineLvl w:val="0"/>
    </w:pPr>
    <w:rPr>
      <w:rFonts w:eastAsiaTheme="majorEastAsia" w:cstheme="majorBidi"/>
      <w:sz w:val="32"/>
      <w:szCs w:val="32"/>
    </w:rPr>
  </w:style>
  <w:style w:type="paragraph" w:styleId="3">
    <w:name w:val="heading 2"/>
    <w:basedOn w:val="1"/>
    <w:next w:val="1"/>
    <w:link w:val="16"/>
    <w:unhideWhenUsed/>
    <w:qFormat/>
    <w:uiPriority w:val="9"/>
    <w:pPr>
      <w:keepNext/>
      <w:keepLines/>
      <w:spacing w:before="40" w:after="0"/>
      <w:outlineLvl w:val="1"/>
    </w:pPr>
    <w:rPr>
      <w:rFonts w:eastAsiaTheme="majorEastAsia" w:cstheme="majorBidi"/>
      <w:sz w:val="28"/>
      <w:szCs w:val="26"/>
    </w:rPr>
  </w:style>
  <w:style w:type="character" w:default="1" w:styleId="10">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4">
    <w:name w:val="Balloon Text"/>
    <w:basedOn w:val="1"/>
    <w:link w:val="19"/>
    <w:unhideWhenUsed/>
    <w:uiPriority w:val="99"/>
    <w:pPr>
      <w:spacing w:after="0" w:line="240" w:lineRule="auto"/>
    </w:pPr>
    <w:rPr>
      <w:rFonts w:ascii="Tahoma" w:hAnsi="Tahoma" w:cs="Tahoma"/>
      <w:sz w:val="16"/>
      <w:szCs w:val="16"/>
    </w:rPr>
  </w:style>
  <w:style w:type="paragraph" w:styleId="5">
    <w:name w:val="footer"/>
    <w:basedOn w:val="1"/>
    <w:link w:val="21"/>
    <w:unhideWhenUsed/>
    <w:qFormat/>
    <w:uiPriority w:val="99"/>
    <w:pPr>
      <w:tabs>
        <w:tab w:val="center" w:pos="4680"/>
        <w:tab w:val="right" w:pos="9360"/>
      </w:tabs>
      <w:spacing w:after="0" w:line="240" w:lineRule="auto"/>
    </w:pPr>
  </w:style>
  <w:style w:type="paragraph" w:styleId="6">
    <w:name w:val="header"/>
    <w:basedOn w:val="1"/>
    <w:link w:val="20"/>
    <w:unhideWhenUsed/>
    <w:qFormat/>
    <w:uiPriority w:val="99"/>
    <w:pPr>
      <w:tabs>
        <w:tab w:val="center" w:pos="4680"/>
        <w:tab w:val="right" w:pos="9360"/>
      </w:tabs>
      <w:spacing w:after="0" w:line="240" w:lineRule="auto"/>
    </w:pPr>
  </w:style>
  <w:style w:type="paragraph" w:styleId="7">
    <w:name w:val="Normal (Web)"/>
    <w:basedOn w:val="1"/>
    <w:unhideWhenUsed/>
    <w:qFormat/>
    <w:uiPriority w:val="99"/>
    <w:pPr>
      <w:spacing w:before="100" w:beforeAutospacing="1" w:after="100" w:afterAutospacing="1" w:line="240" w:lineRule="auto"/>
      <w:jc w:val="left"/>
    </w:pPr>
    <w:rPr>
      <w:rFonts w:eastAsia="Times New Roman" w:cs="Times New Roman"/>
      <w:szCs w:val="24"/>
      <w:lang w:eastAsia="en-GB"/>
    </w:rPr>
  </w:style>
  <w:style w:type="paragraph" w:styleId="8">
    <w:name w:val="toc 1"/>
    <w:basedOn w:val="1"/>
    <w:next w:val="1"/>
    <w:unhideWhenUsed/>
    <w:qFormat/>
    <w:uiPriority w:val="39"/>
    <w:pPr>
      <w:spacing w:after="100"/>
    </w:pPr>
  </w:style>
  <w:style w:type="paragraph" w:styleId="9">
    <w:name w:val="toc 2"/>
    <w:basedOn w:val="1"/>
    <w:next w:val="1"/>
    <w:unhideWhenUsed/>
    <w:qFormat/>
    <w:uiPriority w:val="39"/>
    <w:pPr>
      <w:spacing w:after="100"/>
      <w:ind w:left="220"/>
    </w:pPr>
  </w:style>
  <w:style w:type="character" w:styleId="11">
    <w:name w:val="Hyperlink"/>
    <w:basedOn w:val="10"/>
    <w:unhideWhenUsed/>
    <w:qFormat/>
    <w:uiPriority w:val="99"/>
    <w:rPr>
      <w:color w:val="0563C1" w:themeColor="hyperlink"/>
      <w:u w:val="single"/>
      <w14:textFill>
        <w14:solidFill>
          <w14:schemeClr w14:val="hlink"/>
        </w14:solidFill>
      </w14:textFill>
    </w:rPr>
  </w:style>
  <w:style w:type="character" w:styleId="12">
    <w:name w:val="Strong"/>
    <w:basedOn w:val="10"/>
    <w:qFormat/>
    <w:uiPriority w:val="22"/>
    <w:rPr>
      <w:b/>
      <w:bCs/>
    </w:rPr>
  </w:style>
  <w:style w:type="table" w:styleId="14">
    <w:name w:val="Table Grid"/>
    <w:basedOn w:val="13"/>
    <w:qFormat/>
    <w:uiPriority w:val="59"/>
    <w:pPr>
      <w:spacing w:after="0" w:line="240" w:lineRule="auto"/>
    </w:pPr>
    <w:rPr>
      <w:rFonts w:ascii="Calibri" w:hAnsi="Calibri" w:eastAsia="Calibri" w:cs="Times New Roman"/>
      <w:sz w:val="20"/>
      <w:szCs w:val="20"/>
      <w:lang w:val="en-US" w:eastAsia="ja-JP" w:bidi="gu-I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Heading 1 Char"/>
    <w:basedOn w:val="10"/>
    <w:link w:val="2"/>
    <w:qFormat/>
    <w:uiPriority w:val="9"/>
    <w:rPr>
      <w:rFonts w:ascii="Times New Roman" w:hAnsi="Times New Roman" w:eastAsiaTheme="majorEastAsia" w:cstheme="majorBidi"/>
      <w:sz w:val="32"/>
      <w:szCs w:val="32"/>
    </w:rPr>
  </w:style>
  <w:style w:type="character" w:customStyle="1" w:styleId="16">
    <w:name w:val="Heading 2 Char"/>
    <w:basedOn w:val="10"/>
    <w:link w:val="3"/>
    <w:qFormat/>
    <w:uiPriority w:val="9"/>
    <w:rPr>
      <w:rFonts w:ascii="Times New Roman" w:hAnsi="Times New Roman" w:eastAsiaTheme="majorEastAsia" w:cstheme="majorBidi"/>
      <w:sz w:val="28"/>
      <w:szCs w:val="26"/>
    </w:rPr>
  </w:style>
  <w:style w:type="paragraph" w:customStyle="1" w:styleId="17">
    <w:name w:val="TOC Heading"/>
    <w:basedOn w:val="2"/>
    <w:next w:val="1"/>
    <w:unhideWhenUsed/>
    <w:qFormat/>
    <w:uiPriority w:val="39"/>
    <w:pPr>
      <w:jc w:val="left"/>
      <w:outlineLvl w:val="9"/>
    </w:pPr>
    <w:rPr>
      <w:rFonts w:asciiTheme="majorHAnsi" w:hAnsiTheme="majorHAnsi"/>
      <w:lang w:val="en-US"/>
    </w:rPr>
  </w:style>
  <w:style w:type="paragraph" w:customStyle="1" w:styleId="18">
    <w:name w:val="List Paragraph"/>
    <w:basedOn w:val="1"/>
    <w:qFormat/>
    <w:uiPriority w:val="34"/>
    <w:pPr>
      <w:ind w:left="720"/>
      <w:contextualSpacing/>
    </w:pPr>
  </w:style>
  <w:style w:type="character" w:customStyle="1" w:styleId="19">
    <w:name w:val="Balloon Text Char"/>
    <w:basedOn w:val="10"/>
    <w:link w:val="4"/>
    <w:semiHidden/>
    <w:qFormat/>
    <w:uiPriority w:val="99"/>
    <w:rPr>
      <w:rFonts w:ascii="Tahoma" w:hAnsi="Tahoma" w:cs="Tahoma"/>
      <w:sz w:val="16"/>
      <w:szCs w:val="16"/>
    </w:rPr>
  </w:style>
  <w:style w:type="character" w:customStyle="1" w:styleId="20">
    <w:name w:val="Header Char"/>
    <w:basedOn w:val="10"/>
    <w:link w:val="6"/>
    <w:qFormat/>
    <w:uiPriority w:val="99"/>
    <w:rPr>
      <w:rFonts w:ascii="Times New Roman" w:hAnsi="Times New Roman"/>
    </w:rPr>
  </w:style>
  <w:style w:type="character" w:customStyle="1" w:styleId="21">
    <w:name w:val="Footer Char"/>
    <w:basedOn w:val="10"/>
    <w:link w:val="5"/>
    <w:qFormat/>
    <w:uiPriority w:val="99"/>
    <w:rPr>
      <w:rFonts w:ascii="Times New Roman" w:hAnsi="Times New Roman"/>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lang="en-US" sz="1800" b="1" i="0" u="none" strike="noStrike" kern="1200" baseline="0">
                <a:solidFill>
                  <a:schemeClr val="tx1"/>
                </a:solidFill>
                <a:latin typeface="Times New Roman" panose="02020503050405090304" charset="0"/>
                <a:ea typeface="+mn-ea"/>
                <a:cs typeface="Times New Roman" panose="02020503050405090304" charset="0"/>
              </a:defRPr>
            </a:pPr>
            <a:r>
              <a:rPr lang="en-GB" sz="1600">
                <a:latin typeface="Times New Roman" panose="02020503050405090304" charset="0"/>
                <a:cs typeface="Times New Roman" panose="02020503050405090304" charset="0"/>
              </a:rPr>
              <a:t>1. Do you</a:t>
            </a:r>
            <a:r>
              <a:rPr lang="en-GB" sz="1600" baseline="0">
                <a:latin typeface="Times New Roman" panose="02020503050405090304" charset="0"/>
                <a:cs typeface="Times New Roman" panose="02020503050405090304" charset="0"/>
              </a:rPr>
              <a:t> agree that transitioning to a VLE impacts your learning experience?</a:t>
            </a:r>
            <a:endParaRPr lang="en-GB" sz="1600">
              <a:latin typeface="Times New Roman" panose="02020503050405090304" charset="0"/>
              <a:cs typeface="Times New Roman" panose="02020503050405090304" charset="0"/>
            </a:endParaRPr>
          </a:p>
        </c:rich>
      </c:tx>
      <c:layout/>
      <c:overlay val="0"/>
      <c:spPr>
        <a:noFill/>
        <a:ln>
          <a:noFill/>
        </a:ln>
        <a:effectLst/>
      </c:spPr>
    </c:title>
    <c:autoTitleDeleted val="0"/>
    <c:plotArea>
      <c:layout/>
      <c:pieChart>
        <c:varyColors val="1"/>
        <c:ser>
          <c:idx val="0"/>
          <c:order val="0"/>
          <c:tx>
            <c:strRef>
              <c:f>Sheet1!$B$1</c:f>
              <c:strCache>
                <c:ptCount val="1"/>
                <c:pt idx="0">
                  <c:v>Column1</c:v>
                </c:pt>
              </c:strCache>
            </c:strRef>
          </c:tx>
          <c:explosion val="0"/>
          <c:dPt>
            <c:idx val="0"/>
            <c:bubble3D val="0"/>
            <c:spPr>
              <a:solidFill>
                <a:schemeClr val="accent6">
                  <a:shade val="65000"/>
                </a:schemeClr>
              </a:solidFill>
              <a:ln>
                <a:noFill/>
              </a:ln>
              <a:effectLst/>
              <a:sp3d/>
            </c:spPr>
          </c:dPt>
          <c:dPt>
            <c:idx val="1"/>
            <c:bubble3D val="0"/>
            <c:spPr>
              <a:solidFill>
                <a:schemeClr val="accent6"/>
              </a:solidFill>
              <a:ln>
                <a:noFill/>
              </a:ln>
              <a:effectLst/>
              <a:sp3d/>
            </c:spPr>
          </c:dPt>
          <c:dPt>
            <c:idx val="2"/>
            <c:bubble3D val="0"/>
            <c:spPr>
              <a:solidFill>
                <a:schemeClr val="accent6">
                  <a:tint val="65000"/>
                </a:schemeClr>
              </a:solidFill>
              <a:ln>
                <a:noFill/>
              </a:ln>
              <a:effectLst/>
              <a:sp3d/>
            </c:spPr>
          </c:dPt>
          <c:dLbls>
            <c:spPr>
              <a:noFill/>
              <a:ln>
                <a:noFill/>
              </a:ln>
              <a:effectLst/>
            </c:spPr>
            <c:txPr>
              <a:bodyPr rot="0" spcFirstLastPara="1" vertOverflow="ellipsis" vert="horz" wrap="square" lIns="38100" tIns="19050" rIns="38100" bIns="19050" anchor="ctr" anchorCtr="1">
                <a:spAutoFit/>
              </a:bodyPr>
              <a:lstStyle/>
              <a:p>
                <a:pPr>
                  <a:defRPr lang="en-US" sz="1000" b="0" i="0" u="none" strike="noStrike" kern="1200" baseline="0">
                    <a:solidFill>
                      <a:schemeClr val="accent1">
                        <a:lumMod val="50000"/>
                      </a:schemeClr>
                    </a:solidFill>
                    <a:latin typeface="+mn-lt"/>
                    <a:ea typeface="+mn-ea"/>
                    <a:cs typeface="+mn-cs"/>
                  </a:defRPr>
                </a:pPr>
              </a:p>
            </c:txPr>
            <c:dLblPos val="bestFit"/>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6350" cap="flat" cmpd="sng" algn="ctr">
                      <a:solidFill>
                        <a:schemeClr val="tx1"/>
                      </a:solidFill>
                      <a:prstDash val="solid"/>
                      <a:round/>
                    </a:ln>
                    <a:effectLst/>
                  </c:spPr>
                </c15:leaderLines>
              </c:ext>
            </c:extLst>
          </c:dLbls>
          <c:cat>
            <c:strRef>
              <c:f>Sheet1!$A$2:$A$4</c:f>
              <c:strCache>
                <c:ptCount val="3"/>
                <c:pt idx="0">
                  <c:v>Agree</c:v>
                </c:pt>
                <c:pt idx="1">
                  <c:v>Do Not Agree</c:v>
                </c:pt>
                <c:pt idx="2">
                  <c:v>Neutral</c:v>
                </c:pt>
              </c:strCache>
            </c:strRef>
          </c:cat>
          <c:val>
            <c:numRef>
              <c:f>Sheet1!$B$2:$B$4</c:f>
              <c:numCache>
                <c:formatCode>General</c:formatCode>
                <c:ptCount val="3"/>
                <c:pt idx="0">
                  <c:v>13</c:v>
                </c:pt>
                <c:pt idx="1">
                  <c:v>5</c:v>
                </c:pt>
                <c:pt idx="2">
                  <c:v>2</c:v>
                </c:pt>
              </c:numCache>
            </c:numRef>
          </c:val>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lang="en-US" sz="1800" b="1" i="0" u="none" strike="noStrike" kern="1200" baseline="0">
                <a:solidFill>
                  <a:schemeClr val="tx1"/>
                </a:solidFill>
                <a:latin typeface="+mn-lt"/>
                <a:ea typeface="+mn-ea"/>
                <a:cs typeface="+mn-cs"/>
              </a:defRPr>
            </a:pPr>
            <a:r>
              <a:rPr lang="en-GB" sz="1600" b="1">
                <a:effectLst/>
                <a:latin typeface="Times New Roman" panose="02020503050405090304" charset="0"/>
                <a:cs typeface="Times New Roman" panose="02020503050405090304" charset="0"/>
              </a:rPr>
              <a:t>2. Do you agree that the VLE proposes fair assessment process in distance learning than in campus assessment?</a:t>
            </a:r>
            <a:endParaRPr lang="en-GB" sz="1600">
              <a:effectLst/>
              <a:latin typeface="Times New Roman" panose="02020503050405090304" charset="0"/>
              <a:cs typeface="Times New Roman" panose="02020503050405090304" charset="0"/>
            </a:endParaRPr>
          </a:p>
        </c:rich>
      </c:tx>
      <c:layout/>
      <c:overlay val="0"/>
      <c:spPr>
        <a:noFill/>
        <a:ln>
          <a:noFill/>
        </a:ln>
        <a:effectLst/>
      </c:spPr>
    </c:title>
    <c:autoTitleDeleted val="0"/>
    <c:plotArea>
      <c:layout/>
      <c:pieChart>
        <c:varyColors val="1"/>
        <c:ser>
          <c:idx val="0"/>
          <c:order val="0"/>
          <c:tx>
            <c:strRef>
              <c:f>Sheet1!$B$1</c:f>
              <c:strCache>
                <c:ptCount val="1"/>
                <c:pt idx="0">
                  <c:v>Question 1</c:v>
                </c:pt>
              </c:strCache>
            </c:strRef>
          </c:tx>
          <c:explosion val="0"/>
          <c:dPt>
            <c:idx val="0"/>
            <c:bubble3D val="0"/>
            <c:spPr>
              <a:solidFill>
                <a:schemeClr val="accent6">
                  <a:shade val="65000"/>
                </a:schemeClr>
              </a:solidFill>
              <a:ln>
                <a:noFill/>
              </a:ln>
              <a:effectLst/>
            </c:spPr>
          </c:dPt>
          <c:dPt>
            <c:idx val="1"/>
            <c:bubble3D val="0"/>
            <c:spPr>
              <a:solidFill>
                <a:schemeClr val="accent6"/>
              </a:solidFill>
              <a:ln>
                <a:noFill/>
              </a:ln>
              <a:effectLst/>
            </c:spPr>
          </c:dPt>
          <c:dPt>
            <c:idx val="2"/>
            <c:bubble3D val="0"/>
            <c:spPr>
              <a:solidFill>
                <a:schemeClr val="accent6">
                  <a:tint val="65000"/>
                </a:schemeClr>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lang="en-US"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6350" cap="flat" cmpd="sng" algn="ctr">
                      <a:solidFill>
                        <a:schemeClr val="tx1"/>
                      </a:solidFill>
                      <a:prstDash val="solid"/>
                      <a:round/>
                    </a:ln>
                    <a:effectLst/>
                  </c:spPr>
                </c15:leaderLines>
              </c:ext>
            </c:extLst>
          </c:dLbls>
          <c:cat>
            <c:strRef>
              <c:f>Sheet1!$A$2:$A$4</c:f>
              <c:strCache>
                <c:ptCount val="3"/>
                <c:pt idx="0">
                  <c:v>Agree</c:v>
                </c:pt>
                <c:pt idx="1">
                  <c:v>Do Not Agree</c:v>
                </c:pt>
                <c:pt idx="2">
                  <c:v>Neutral</c:v>
                </c:pt>
              </c:strCache>
            </c:strRef>
          </c:cat>
          <c:val>
            <c:numRef>
              <c:f>Sheet1!$B$2:$B$4</c:f>
              <c:numCache>
                <c:formatCode>General</c:formatCode>
                <c:ptCount val="3"/>
                <c:pt idx="0">
                  <c:v>11</c:v>
                </c:pt>
                <c:pt idx="1">
                  <c:v>6</c:v>
                </c:pt>
                <c:pt idx="2">
                  <c:v>3</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lang="en-US" sz="1800" b="1" i="0" u="none" strike="noStrike" kern="1200" baseline="0">
                <a:solidFill>
                  <a:schemeClr val="tx1"/>
                </a:solidFill>
                <a:latin typeface="Times New Roman" panose="02020503050405090304" charset="0"/>
                <a:ea typeface="+mn-ea"/>
                <a:cs typeface="Times New Roman" panose="02020503050405090304" charset="0"/>
              </a:defRPr>
            </a:pPr>
            <a:r>
              <a:rPr lang="en-GB" sz="1600">
                <a:latin typeface="Times New Roman" panose="02020503050405090304" charset="0"/>
                <a:cs typeface="Times New Roman" panose="02020503050405090304" charset="0"/>
              </a:rPr>
              <a:t>3. Do you agree that Moodle enhances E-learning facility ? </a:t>
            </a:r>
            <a:endParaRPr lang="en-GB" sz="1600">
              <a:latin typeface="Times New Roman" panose="02020503050405090304" charset="0"/>
              <a:cs typeface="Times New Roman" panose="02020503050405090304" charset="0"/>
            </a:endParaRPr>
          </a:p>
        </c:rich>
      </c:tx>
      <c:layout/>
      <c:overlay val="0"/>
      <c:spPr>
        <a:noFill/>
        <a:ln>
          <a:noFill/>
        </a:ln>
        <a:effectLst/>
      </c:spPr>
    </c:title>
    <c:autoTitleDeleted val="0"/>
    <c:plotArea>
      <c:layout/>
      <c:pieChart>
        <c:varyColors val="1"/>
        <c:ser>
          <c:idx val="0"/>
          <c:order val="0"/>
          <c:tx>
            <c:strRef>
              <c:f>Sheet1!$B$1</c:f>
              <c:strCache>
                <c:ptCount val="1"/>
                <c:pt idx="0">
                  <c:v>Question 1</c:v>
                </c:pt>
              </c:strCache>
            </c:strRef>
          </c:tx>
          <c:explosion val="0"/>
          <c:dPt>
            <c:idx val="0"/>
            <c:bubble3D val="0"/>
            <c:spPr>
              <a:solidFill>
                <a:schemeClr val="accent6">
                  <a:shade val="65000"/>
                </a:schemeClr>
              </a:solidFill>
              <a:ln>
                <a:noFill/>
              </a:ln>
              <a:effectLst/>
            </c:spPr>
          </c:dPt>
          <c:dPt>
            <c:idx val="1"/>
            <c:bubble3D val="0"/>
            <c:spPr>
              <a:solidFill>
                <a:schemeClr val="accent6"/>
              </a:solidFill>
              <a:ln>
                <a:noFill/>
              </a:ln>
              <a:effectLst/>
            </c:spPr>
          </c:dPt>
          <c:dPt>
            <c:idx val="2"/>
            <c:bubble3D val="0"/>
            <c:spPr>
              <a:solidFill>
                <a:schemeClr val="accent6">
                  <a:tint val="65000"/>
                </a:schemeClr>
              </a:solidFill>
              <a:ln>
                <a:noFill/>
              </a:ln>
              <a:effectLst/>
            </c:spPr>
          </c:dPt>
          <c:dLbls>
            <c:spPr>
              <a:noFill/>
              <a:ln>
                <a:noFill/>
              </a:ln>
              <a:effectLst/>
            </c:spPr>
            <c:txPr>
              <a:bodyPr rot="0" spcFirstLastPara="1"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bestFit"/>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6350" cap="flat" cmpd="sng" algn="ctr">
                      <a:solidFill>
                        <a:schemeClr val="tx1"/>
                      </a:solidFill>
                      <a:prstDash val="solid"/>
                      <a:round/>
                    </a:ln>
                    <a:effectLst/>
                  </c:spPr>
                </c15:leaderLines>
              </c:ext>
            </c:extLst>
          </c:dLbls>
          <c:cat>
            <c:strRef>
              <c:f>Sheet1!$A$2:$A$4</c:f>
              <c:strCache>
                <c:ptCount val="3"/>
                <c:pt idx="0">
                  <c:v>Agree</c:v>
                </c:pt>
                <c:pt idx="1">
                  <c:v>Do Not Agree</c:v>
                </c:pt>
                <c:pt idx="2">
                  <c:v>Neutral</c:v>
                </c:pt>
              </c:strCache>
            </c:strRef>
          </c:cat>
          <c:val>
            <c:numRef>
              <c:f>Sheet1!$B$2:$B$4</c:f>
              <c:numCache>
                <c:formatCode>General</c:formatCode>
                <c:ptCount val="3"/>
                <c:pt idx="0">
                  <c:v>14</c:v>
                </c:pt>
                <c:pt idx="1">
                  <c:v>2</c:v>
                </c:pt>
                <c:pt idx="2">
                  <c:v>4</c:v>
                </c:pt>
              </c:numCache>
            </c:numRef>
          </c:val>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lang="en-US" sz="1800" b="1" i="0" u="none" strike="noStrike" kern="1200" baseline="0">
                <a:solidFill>
                  <a:schemeClr val="tx1"/>
                </a:solidFill>
                <a:latin typeface="+mn-lt"/>
                <a:ea typeface="+mn-ea"/>
                <a:cs typeface="+mn-cs"/>
              </a:defRPr>
            </a:pPr>
            <a:r>
              <a:rPr lang="en-GB" sz="1400"/>
              <a:t>4. Do you</a:t>
            </a:r>
            <a:r>
              <a:rPr lang="en-GB" sz="1400" baseline="0"/>
              <a:t> agree that Moodle needs to improve their educational modules and optimise them?</a:t>
            </a:r>
            <a:endParaRPr lang="en-GB" sz="1400"/>
          </a:p>
        </c:rich>
      </c:tx>
      <c:layout/>
      <c:overlay val="0"/>
      <c:spPr>
        <a:noFill/>
        <a:ln>
          <a:noFill/>
        </a:ln>
        <a:effectLst/>
      </c:spPr>
    </c:title>
    <c:autoTitleDeleted val="0"/>
    <c:plotArea>
      <c:layout/>
      <c:pieChart>
        <c:varyColors val="1"/>
        <c:ser>
          <c:idx val="0"/>
          <c:order val="0"/>
          <c:tx>
            <c:strRef>
              <c:f>Sheet1!$B$1</c:f>
              <c:strCache>
                <c:ptCount val="1"/>
                <c:pt idx="0">
                  <c:v>Question 1</c:v>
                </c:pt>
              </c:strCache>
            </c:strRef>
          </c:tx>
          <c:explosion val="0"/>
          <c:dPt>
            <c:idx val="0"/>
            <c:bubble3D val="0"/>
            <c:spPr>
              <a:solidFill>
                <a:schemeClr val="accent6">
                  <a:shade val="65000"/>
                </a:schemeClr>
              </a:solidFill>
              <a:ln>
                <a:noFill/>
              </a:ln>
              <a:effectLst/>
            </c:spPr>
          </c:dPt>
          <c:dPt>
            <c:idx val="1"/>
            <c:bubble3D val="0"/>
            <c:spPr>
              <a:solidFill>
                <a:schemeClr val="accent6"/>
              </a:solidFill>
              <a:ln>
                <a:noFill/>
              </a:ln>
              <a:effectLst/>
            </c:spPr>
          </c:dPt>
          <c:dPt>
            <c:idx val="2"/>
            <c:bubble3D val="0"/>
            <c:spPr>
              <a:solidFill>
                <a:schemeClr val="accent6">
                  <a:tint val="65000"/>
                </a:schemeClr>
              </a:solidFill>
              <a:ln>
                <a:noFill/>
              </a:ln>
              <a:effectLst/>
            </c:spPr>
          </c:dPt>
          <c:dLbls>
            <c:spPr>
              <a:noFill/>
              <a:ln>
                <a:noFill/>
              </a:ln>
              <a:effectLst/>
            </c:spPr>
            <c:txPr>
              <a:bodyPr rot="0" spcFirstLastPara="1"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bestFit"/>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6350" cap="flat" cmpd="sng" algn="ctr">
                      <a:solidFill>
                        <a:schemeClr val="tx1"/>
                      </a:solidFill>
                      <a:prstDash val="solid"/>
                      <a:round/>
                    </a:ln>
                    <a:effectLst/>
                  </c:spPr>
                </c15:leaderLines>
              </c:ext>
            </c:extLst>
          </c:dLbls>
          <c:cat>
            <c:strRef>
              <c:f>Sheet1!$A$2:$A$4</c:f>
              <c:strCache>
                <c:ptCount val="3"/>
                <c:pt idx="0">
                  <c:v>Agree</c:v>
                </c:pt>
                <c:pt idx="1">
                  <c:v>Do Not Agree</c:v>
                </c:pt>
                <c:pt idx="2">
                  <c:v>Neutral</c:v>
                </c:pt>
              </c:strCache>
            </c:strRef>
          </c:cat>
          <c:val>
            <c:numRef>
              <c:f>Sheet1!$B$2:$B$4</c:f>
              <c:numCache>
                <c:formatCode>General</c:formatCode>
                <c:ptCount val="3"/>
                <c:pt idx="0">
                  <c:v>17</c:v>
                </c:pt>
                <c:pt idx="1">
                  <c:v>0</c:v>
                </c:pt>
                <c:pt idx="2">
                  <c:v>4</c:v>
                </c:pt>
              </c:numCache>
            </c:numRef>
          </c:val>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lang="en-US"/>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2705</Words>
  <Characters>15420</Characters>
  <Lines>128</Lines>
  <Paragraphs>36</Paragraphs>
  <ScaleCrop>false</ScaleCrop>
  <LinksUpToDate>false</LinksUpToDate>
  <CharactersWithSpaces>18089</CharactersWithSpaces>
  <Application>WPS Office_3.1.1.5096_F1E327BC-269C-435d-A152-05C5408002CA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2021-03-28T06:45:00Z</dcterms:created>
  <dc:creator>Iosif Tcaciu</dc:creator>
  <cp:lastModifiedBy>iosiftcaciu</cp:lastModifiedBy>
  <dcterms:modified xsi:type="dcterms:W3CDTF">2021-04-11T16:10:19Z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