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761DE" w14:textId="77777777" w:rsidR="00765C0E" w:rsidRDefault="00765C0E" w:rsidP="00765C0E">
      <w:pPr>
        <w:rPr>
          <w:rFonts w:ascii="Times New Roman" w:hAnsi="Times New Roman" w:cs="Times New Roman"/>
          <w:sz w:val="28"/>
          <w:szCs w:val="28"/>
        </w:rPr>
      </w:pPr>
      <w:r>
        <w:rPr>
          <w:rFonts w:ascii="Times New Roman" w:hAnsi="Times New Roman" w:cs="Times New Roman"/>
          <w:sz w:val="28"/>
          <w:szCs w:val="28"/>
        </w:rPr>
        <w:t xml:space="preserve">               </w:t>
      </w:r>
    </w:p>
    <w:p w14:paraId="033A7ACF" w14:textId="77777777" w:rsidR="00765C0E" w:rsidRDefault="00765C0E" w:rsidP="00765C0E">
      <w:pPr>
        <w:rPr>
          <w:rFonts w:ascii="Times New Roman" w:hAnsi="Times New Roman" w:cs="Times New Roman"/>
          <w:sz w:val="28"/>
          <w:szCs w:val="28"/>
        </w:rPr>
      </w:pPr>
    </w:p>
    <w:p w14:paraId="32D5BAB4" w14:textId="77777777" w:rsidR="00765C0E" w:rsidRDefault="00765C0E" w:rsidP="00765C0E">
      <w:pPr>
        <w:rPr>
          <w:rFonts w:ascii="Times New Roman" w:hAnsi="Times New Roman" w:cs="Times New Roman"/>
          <w:sz w:val="28"/>
          <w:szCs w:val="28"/>
        </w:rPr>
      </w:pPr>
    </w:p>
    <w:p w14:paraId="5A962A66" w14:textId="77777777" w:rsidR="00765C0E" w:rsidRDefault="00765C0E" w:rsidP="00765C0E">
      <w:pPr>
        <w:rPr>
          <w:rFonts w:ascii="Times New Roman" w:hAnsi="Times New Roman" w:cs="Times New Roman"/>
          <w:sz w:val="28"/>
          <w:szCs w:val="28"/>
        </w:rPr>
      </w:pPr>
    </w:p>
    <w:p w14:paraId="775ED433" w14:textId="77777777" w:rsidR="00765C0E" w:rsidRDefault="00765C0E" w:rsidP="00765C0E">
      <w:pPr>
        <w:rPr>
          <w:rFonts w:ascii="Times New Roman" w:hAnsi="Times New Roman" w:cs="Times New Roman"/>
          <w:sz w:val="28"/>
          <w:szCs w:val="28"/>
        </w:rPr>
      </w:pPr>
    </w:p>
    <w:p w14:paraId="47F9A48A" w14:textId="5EB28BA8" w:rsidR="00765C0E" w:rsidRPr="00147AFF" w:rsidRDefault="00765C0E" w:rsidP="00765C0E">
      <w:pPr>
        <w:rPr>
          <w:rFonts w:ascii="Times New Roman" w:hAnsi="Times New Roman" w:cs="Times New Roman"/>
          <w:sz w:val="28"/>
          <w:szCs w:val="28"/>
        </w:rPr>
      </w:pPr>
      <w:r>
        <w:rPr>
          <w:rFonts w:ascii="Times New Roman" w:hAnsi="Times New Roman" w:cs="Times New Roman"/>
          <w:sz w:val="28"/>
          <w:szCs w:val="28"/>
        </w:rPr>
        <w:t xml:space="preserve">               </w:t>
      </w:r>
      <w:r w:rsidRPr="00147AFF">
        <w:rPr>
          <w:rFonts w:ascii="Times New Roman" w:hAnsi="Times New Roman" w:cs="Times New Roman"/>
          <w:sz w:val="28"/>
          <w:szCs w:val="28"/>
        </w:rPr>
        <w:t xml:space="preserve">   STUDENT NAME: Sladjana Koprivica</w:t>
      </w:r>
    </w:p>
    <w:p w14:paraId="4F2A0B30" w14:textId="39A58AC8" w:rsidR="00765C0E" w:rsidRPr="00147AFF" w:rsidRDefault="00765C0E" w:rsidP="00765C0E">
      <w:pPr>
        <w:rPr>
          <w:rFonts w:ascii="Times New Roman" w:hAnsi="Times New Roman" w:cs="Times New Roman"/>
          <w:sz w:val="28"/>
          <w:szCs w:val="28"/>
        </w:rPr>
      </w:pPr>
      <w:r w:rsidRPr="00147AFF">
        <w:rPr>
          <w:rFonts w:ascii="Times New Roman" w:hAnsi="Times New Roman" w:cs="Times New Roman"/>
          <w:sz w:val="28"/>
          <w:szCs w:val="28"/>
        </w:rPr>
        <w:t xml:space="preserve">                  MODULE </w:t>
      </w:r>
      <w:r>
        <w:rPr>
          <w:rFonts w:ascii="Times New Roman" w:hAnsi="Times New Roman" w:cs="Times New Roman"/>
          <w:sz w:val="28"/>
          <w:szCs w:val="28"/>
        </w:rPr>
        <w:t>NAME: Project Management</w:t>
      </w:r>
    </w:p>
    <w:p w14:paraId="1AFC0E1A" w14:textId="0DB3C467" w:rsidR="00765C0E" w:rsidRPr="00147AFF" w:rsidRDefault="00765C0E" w:rsidP="00765C0E">
      <w:pPr>
        <w:rPr>
          <w:rFonts w:ascii="Times New Roman" w:hAnsi="Times New Roman" w:cs="Times New Roman"/>
          <w:sz w:val="28"/>
          <w:szCs w:val="28"/>
        </w:rPr>
      </w:pPr>
      <w:r w:rsidRPr="00147AFF">
        <w:rPr>
          <w:rFonts w:ascii="Times New Roman" w:hAnsi="Times New Roman" w:cs="Times New Roman"/>
          <w:sz w:val="28"/>
          <w:szCs w:val="28"/>
        </w:rPr>
        <w:t xml:space="preserve">                  MODULE CODE: </w:t>
      </w:r>
      <w:r>
        <w:rPr>
          <w:rFonts w:ascii="Times New Roman" w:hAnsi="Times New Roman" w:cs="Times New Roman"/>
          <w:sz w:val="28"/>
          <w:szCs w:val="28"/>
        </w:rPr>
        <w:t>(LCLM 5003</w:t>
      </w:r>
      <w:r w:rsidRPr="00147AFF">
        <w:rPr>
          <w:rFonts w:ascii="Times New Roman" w:hAnsi="Times New Roman" w:cs="Times New Roman"/>
          <w:sz w:val="28"/>
          <w:szCs w:val="28"/>
        </w:rPr>
        <w:t>-LON)</w:t>
      </w:r>
    </w:p>
    <w:p w14:paraId="52B5B0DE" w14:textId="77777777" w:rsidR="00765C0E" w:rsidRPr="00147AFF" w:rsidRDefault="00765C0E" w:rsidP="00765C0E">
      <w:pPr>
        <w:rPr>
          <w:rFonts w:ascii="Times New Roman" w:hAnsi="Times New Roman" w:cs="Times New Roman"/>
          <w:sz w:val="28"/>
          <w:szCs w:val="28"/>
        </w:rPr>
      </w:pPr>
      <w:r w:rsidRPr="00147AFF">
        <w:rPr>
          <w:rFonts w:ascii="Times New Roman" w:hAnsi="Times New Roman" w:cs="Times New Roman"/>
          <w:sz w:val="28"/>
          <w:szCs w:val="28"/>
        </w:rPr>
        <w:t xml:space="preserve">                  STUDENT ID: 2427801</w:t>
      </w:r>
    </w:p>
    <w:p w14:paraId="1F4F220C" w14:textId="0EC74521" w:rsidR="00765C0E" w:rsidRPr="00147AFF" w:rsidRDefault="00765C0E" w:rsidP="00765C0E">
      <w:pPr>
        <w:rPr>
          <w:rFonts w:ascii="Times New Roman" w:hAnsi="Times New Roman" w:cs="Times New Roman"/>
          <w:sz w:val="28"/>
          <w:szCs w:val="28"/>
        </w:rPr>
      </w:pPr>
      <w:r>
        <w:rPr>
          <w:rFonts w:ascii="Times New Roman" w:hAnsi="Times New Roman" w:cs="Times New Roman"/>
          <w:sz w:val="28"/>
          <w:szCs w:val="28"/>
        </w:rPr>
        <w:t xml:space="preserve">                  LECTURER: </w:t>
      </w:r>
      <w:r w:rsidR="003A34BF">
        <w:rPr>
          <w:rFonts w:ascii="Times New Roman" w:hAnsi="Times New Roman" w:cs="Times New Roman"/>
          <w:sz w:val="28"/>
          <w:szCs w:val="28"/>
        </w:rPr>
        <w:t>Sukhpreet Grewal</w:t>
      </w:r>
    </w:p>
    <w:p w14:paraId="39D9E154" w14:textId="60EFE16B" w:rsidR="00765C0E" w:rsidRPr="00147AFF" w:rsidRDefault="00765C0E" w:rsidP="00765C0E">
      <w:pPr>
        <w:rPr>
          <w:rFonts w:ascii="Times New Roman" w:hAnsi="Times New Roman" w:cs="Times New Roman"/>
          <w:sz w:val="28"/>
          <w:szCs w:val="28"/>
        </w:rPr>
      </w:pPr>
      <w:r w:rsidRPr="00147AFF">
        <w:rPr>
          <w:rFonts w:ascii="Times New Roman" w:hAnsi="Times New Roman" w:cs="Times New Roman"/>
          <w:sz w:val="28"/>
          <w:szCs w:val="28"/>
        </w:rPr>
        <w:t xml:space="preserve">                  TITLE:</w:t>
      </w:r>
      <w:r>
        <w:rPr>
          <w:rFonts w:ascii="Times New Roman" w:hAnsi="Times New Roman" w:cs="Times New Roman"/>
          <w:sz w:val="28"/>
          <w:szCs w:val="28"/>
        </w:rPr>
        <w:t xml:space="preserve">  Project portfolio</w:t>
      </w:r>
    </w:p>
    <w:p w14:paraId="76A62B7A" w14:textId="77777777" w:rsidR="00765C0E" w:rsidRDefault="00765C0E" w:rsidP="00765C0E"/>
    <w:p w14:paraId="7ECCF55E" w14:textId="77777777" w:rsidR="00765C0E" w:rsidRDefault="00765C0E" w:rsidP="00765C0E"/>
    <w:p w14:paraId="22D20E15" w14:textId="77777777" w:rsidR="00765C0E" w:rsidRDefault="00765C0E" w:rsidP="00765C0E"/>
    <w:p w14:paraId="2817C74D" w14:textId="77777777" w:rsidR="00765C0E" w:rsidRDefault="00765C0E" w:rsidP="00765C0E"/>
    <w:p w14:paraId="0FA71D66" w14:textId="77777777" w:rsidR="00765C0E" w:rsidRDefault="00765C0E" w:rsidP="00765C0E"/>
    <w:p w14:paraId="695E038F" w14:textId="77777777" w:rsidR="00765C0E" w:rsidRDefault="00765C0E" w:rsidP="00765C0E"/>
    <w:p w14:paraId="14E5E8BB" w14:textId="77777777" w:rsidR="00765C0E" w:rsidRPr="00765C0E" w:rsidRDefault="00765C0E" w:rsidP="00765C0E">
      <w:pPr>
        <w:spacing w:line="278" w:lineRule="auto"/>
        <w:rPr>
          <w:kern w:val="2"/>
          <w:sz w:val="24"/>
          <w:szCs w:val="24"/>
          <w14:ligatures w14:val="standardContextual"/>
        </w:rPr>
      </w:pPr>
    </w:p>
    <w:p w14:paraId="531DF7F8" w14:textId="77777777" w:rsidR="00765C0E" w:rsidRPr="00765C0E" w:rsidRDefault="00765C0E" w:rsidP="00765C0E">
      <w:pPr>
        <w:spacing w:line="278" w:lineRule="auto"/>
        <w:rPr>
          <w:kern w:val="2"/>
          <w:sz w:val="24"/>
          <w:szCs w:val="24"/>
          <w14:ligatures w14:val="standardContextual"/>
        </w:rPr>
      </w:pPr>
    </w:p>
    <w:p w14:paraId="3FBEBB1D" w14:textId="77777777" w:rsidR="00765C0E" w:rsidRPr="00765C0E" w:rsidRDefault="00765C0E" w:rsidP="00765C0E">
      <w:pPr>
        <w:spacing w:line="278" w:lineRule="auto"/>
        <w:rPr>
          <w:kern w:val="2"/>
          <w:sz w:val="24"/>
          <w:szCs w:val="24"/>
          <w14:ligatures w14:val="standardContextual"/>
        </w:rPr>
      </w:pPr>
    </w:p>
    <w:p w14:paraId="131D0F18" w14:textId="77777777" w:rsidR="00765C0E" w:rsidRPr="00765C0E" w:rsidRDefault="00765C0E" w:rsidP="00765C0E">
      <w:pPr>
        <w:spacing w:line="278" w:lineRule="auto"/>
        <w:rPr>
          <w:kern w:val="2"/>
          <w:sz w:val="24"/>
          <w:szCs w:val="24"/>
          <w14:ligatures w14:val="standardContextual"/>
        </w:rPr>
      </w:pPr>
    </w:p>
    <w:p w14:paraId="5CD8D11A" w14:textId="77777777" w:rsidR="00765C0E" w:rsidRPr="00765C0E" w:rsidRDefault="00765C0E" w:rsidP="00765C0E">
      <w:pPr>
        <w:spacing w:line="278" w:lineRule="auto"/>
        <w:rPr>
          <w:kern w:val="2"/>
          <w:sz w:val="24"/>
          <w:szCs w:val="24"/>
          <w14:ligatures w14:val="standardContextual"/>
        </w:rPr>
      </w:pPr>
    </w:p>
    <w:p w14:paraId="04DAB3EE" w14:textId="77777777" w:rsidR="00765C0E" w:rsidRPr="00765C0E" w:rsidRDefault="00765C0E" w:rsidP="00765C0E">
      <w:pPr>
        <w:spacing w:line="278" w:lineRule="auto"/>
        <w:rPr>
          <w:kern w:val="2"/>
          <w:sz w:val="24"/>
          <w:szCs w:val="24"/>
          <w14:ligatures w14:val="standardContextual"/>
        </w:rPr>
      </w:pPr>
    </w:p>
    <w:p w14:paraId="55357100" w14:textId="71F2C37D" w:rsidR="00765C0E" w:rsidRPr="00765C0E" w:rsidRDefault="00E90BE5" w:rsidP="00765C0E">
      <w:pPr>
        <w:spacing w:line="278" w:lineRule="auto"/>
        <w:rPr>
          <w:kern w:val="2"/>
          <w:sz w:val="24"/>
          <w:szCs w:val="24"/>
          <w14:ligatures w14:val="standardContextual"/>
        </w:rPr>
      </w:pPr>
      <w:r>
        <w:rPr>
          <w:kern w:val="2"/>
          <w:sz w:val="24"/>
          <w:szCs w:val="24"/>
          <w14:ligatures w14:val="standardContextual"/>
        </w:rPr>
        <w:lastRenderedPageBreak/>
        <w:t xml:space="preserve">Part   A </w:t>
      </w:r>
      <w:r w:rsidR="00765C0E" w:rsidRPr="00765C0E">
        <w:rPr>
          <w:noProof/>
          <w:kern w:val="2"/>
          <w:sz w:val="24"/>
          <w:szCs w:val="24"/>
          <w14:ligatures w14:val="standardContextual"/>
        </w:rPr>
        <w:drawing>
          <wp:inline distT="0" distB="0" distL="0" distR="0" wp14:anchorId="7E3CE809" wp14:editId="019E95B6">
            <wp:extent cx="5731510" cy="3223895"/>
            <wp:effectExtent l="0" t="0" r="2540" b="0"/>
            <wp:docPr id="9359907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990748"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31A37F9D" w14:textId="77777777" w:rsidR="00765C0E" w:rsidRDefault="00765C0E" w:rsidP="00765C0E"/>
    <w:p w14:paraId="4A403725" w14:textId="77777777" w:rsidR="00765C0E" w:rsidRDefault="00765C0E" w:rsidP="00765C0E"/>
    <w:p w14:paraId="6AB3515A" w14:textId="77777777" w:rsidR="00765C0E" w:rsidRDefault="00765C0E" w:rsidP="00765C0E"/>
    <w:p w14:paraId="76B4BD6D" w14:textId="77777777" w:rsidR="00765C0E" w:rsidRDefault="00765C0E" w:rsidP="00765C0E"/>
    <w:p w14:paraId="77080306" w14:textId="77777777" w:rsidR="00765C0E" w:rsidRDefault="00765C0E" w:rsidP="00765C0E"/>
    <w:p w14:paraId="1D06BC2E" w14:textId="77777777" w:rsidR="00765C0E" w:rsidRDefault="00765C0E" w:rsidP="00765C0E"/>
    <w:p w14:paraId="6272E49D" w14:textId="77777777" w:rsidR="00765C0E" w:rsidRDefault="00765C0E" w:rsidP="00765C0E"/>
    <w:p w14:paraId="1BC8FD89" w14:textId="77777777" w:rsidR="00765C0E" w:rsidRDefault="00765C0E" w:rsidP="00765C0E"/>
    <w:p w14:paraId="5E6DB4EF" w14:textId="77777777" w:rsidR="00765C0E" w:rsidRDefault="00765C0E" w:rsidP="00765C0E"/>
    <w:p w14:paraId="236C9D8D" w14:textId="77777777" w:rsidR="00765C0E" w:rsidRDefault="00765C0E" w:rsidP="00765C0E"/>
    <w:p w14:paraId="2380BB01" w14:textId="77777777" w:rsidR="00765C0E" w:rsidRDefault="00765C0E" w:rsidP="00765C0E"/>
    <w:p w14:paraId="4B3D3795" w14:textId="77777777" w:rsidR="00765C0E" w:rsidRDefault="00765C0E" w:rsidP="00765C0E"/>
    <w:p w14:paraId="7B4D1B0A" w14:textId="77777777" w:rsidR="00765C0E" w:rsidRDefault="00765C0E" w:rsidP="00765C0E"/>
    <w:p w14:paraId="79A16405" w14:textId="77777777" w:rsidR="00765C0E" w:rsidRDefault="00765C0E" w:rsidP="00765C0E"/>
    <w:p w14:paraId="719B8D6E" w14:textId="77777777" w:rsidR="00765C0E" w:rsidRDefault="00765C0E" w:rsidP="00765C0E"/>
    <w:p w14:paraId="0E5B4CD3" w14:textId="77777777" w:rsidR="00765C0E" w:rsidRDefault="00765C0E" w:rsidP="00765C0E"/>
    <w:p w14:paraId="6F7875C7" w14:textId="77777777" w:rsidR="00765C0E" w:rsidRDefault="00765C0E" w:rsidP="00765C0E"/>
    <w:p w14:paraId="5DE87E12" w14:textId="77777777" w:rsidR="001B37AF" w:rsidRDefault="001B37AF" w:rsidP="00765C0E">
      <w:pPr>
        <w:spacing w:line="278" w:lineRule="auto"/>
      </w:pPr>
    </w:p>
    <w:p w14:paraId="621B96EC" w14:textId="65FE0A92" w:rsidR="00765C0E" w:rsidRPr="00765C0E" w:rsidRDefault="00765C0E" w:rsidP="00765C0E">
      <w:pPr>
        <w:spacing w:line="278" w:lineRule="auto"/>
        <w:rPr>
          <w:b/>
          <w:bCs/>
          <w:kern w:val="2"/>
          <w:sz w:val="24"/>
          <w:szCs w:val="24"/>
          <w14:ligatures w14:val="standardContextual"/>
        </w:rPr>
      </w:pPr>
      <w:r w:rsidRPr="00765C0E">
        <w:rPr>
          <w:b/>
          <w:bCs/>
          <w:kern w:val="2"/>
          <w:sz w:val="24"/>
          <w:szCs w:val="24"/>
          <w14:ligatures w14:val="standardContextual"/>
        </w:rPr>
        <w:lastRenderedPageBreak/>
        <w:t>Part B – Critical Reflection on Tutor and Peer Feedback</w:t>
      </w:r>
    </w:p>
    <w:p w14:paraId="5779B918" w14:textId="77777777" w:rsidR="00765C0E" w:rsidRPr="00765C0E" w:rsidRDefault="00765C0E" w:rsidP="00765C0E">
      <w:pPr>
        <w:spacing w:line="278" w:lineRule="auto"/>
        <w:rPr>
          <w:kern w:val="2"/>
          <w:sz w:val="24"/>
          <w:szCs w:val="24"/>
          <w14:ligatures w14:val="standardContextual"/>
        </w:rPr>
      </w:pPr>
      <w:r w:rsidRPr="00765C0E">
        <w:rPr>
          <w:kern w:val="2"/>
          <w:sz w:val="24"/>
          <w:szCs w:val="24"/>
          <w14:ligatures w14:val="standardContextual"/>
        </w:rPr>
        <w:t xml:space="preserve">The feedback received from my tutor and peers has helped me identify both the strengths and weaknesses of my proposed </w:t>
      </w:r>
      <w:r w:rsidRPr="00765C0E">
        <w:rPr>
          <w:b/>
          <w:bCs/>
          <w:kern w:val="2"/>
          <w:sz w:val="24"/>
          <w:szCs w:val="24"/>
          <w14:ligatures w14:val="standardContextual"/>
        </w:rPr>
        <w:t>Redevelopment of the Central Multimodal Transport Hub</w:t>
      </w:r>
      <w:r w:rsidRPr="00765C0E">
        <w:rPr>
          <w:kern w:val="2"/>
          <w:sz w:val="24"/>
          <w:szCs w:val="24"/>
          <w14:ligatures w14:val="standardContextual"/>
        </w:rPr>
        <w:t xml:space="preserve"> poster. Overall, the feedback confirmed that the proposal had a clear direction and identified the major areas of the project, but it also showed that several sections needed greater specificity, measurable outcomes and stronger application of project management tools.</w:t>
      </w:r>
    </w:p>
    <w:p w14:paraId="73BEB3FE" w14:textId="77777777" w:rsidR="00765C0E" w:rsidRPr="00765C0E" w:rsidRDefault="00765C0E" w:rsidP="00765C0E">
      <w:pPr>
        <w:spacing w:line="278" w:lineRule="auto"/>
        <w:rPr>
          <w:kern w:val="2"/>
          <w:sz w:val="24"/>
          <w:szCs w:val="24"/>
          <w14:ligatures w14:val="standardContextual"/>
        </w:rPr>
      </w:pPr>
      <w:r w:rsidRPr="00765C0E">
        <w:rPr>
          <w:kern w:val="2"/>
          <w:sz w:val="24"/>
          <w:szCs w:val="24"/>
          <w14:ligatures w14:val="standardContextual"/>
        </w:rPr>
        <w:t xml:space="preserve">One key strength of my proposal was the </w:t>
      </w:r>
      <w:r w:rsidRPr="00765C0E">
        <w:rPr>
          <w:b/>
          <w:bCs/>
          <w:kern w:val="2"/>
          <w:sz w:val="24"/>
          <w:szCs w:val="24"/>
          <w14:ligatures w14:val="standardContextual"/>
        </w:rPr>
        <w:t>project background and rationale</w:t>
      </w:r>
      <w:r w:rsidRPr="00765C0E">
        <w:rPr>
          <w:kern w:val="2"/>
          <w:sz w:val="24"/>
          <w:szCs w:val="24"/>
          <w14:ligatures w14:val="standardContextual"/>
        </w:rPr>
        <w:t>. The feedback recognised that I had explained why the transport hub was important and why redevelopment was required. I identified the consequences of the closure, including disruption to commuters, freight logistics, local businesses and supply chains. However, I recognise that the rationale was still too general. In the final plan, I will strengthen the justification by clearly explaining the specific need for the project: restoring safe and reliable transport capacity, addressing the structural failure of the existing hub and providing a long-term solution rather than simply maintaining temporary transport arrangements. This will make the business and strategic case for redevelopment clearer.</w:t>
      </w:r>
    </w:p>
    <w:p w14:paraId="760C1526" w14:textId="77777777" w:rsidR="00765C0E" w:rsidRPr="00765C0E" w:rsidRDefault="00765C0E" w:rsidP="00765C0E">
      <w:pPr>
        <w:spacing w:line="278" w:lineRule="auto"/>
        <w:rPr>
          <w:kern w:val="2"/>
          <w:sz w:val="24"/>
          <w:szCs w:val="24"/>
          <w14:ligatures w14:val="standardContextual"/>
        </w:rPr>
      </w:pPr>
      <w:r w:rsidRPr="00765C0E">
        <w:rPr>
          <w:kern w:val="2"/>
          <w:sz w:val="24"/>
          <w:szCs w:val="24"/>
          <w14:ligatures w14:val="standardContextual"/>
        </w:rPr>
        <w:t xml:space="preserve">The feedback also identified weaknesses in my </w:t>
      </w:r>
      <w:r w:rsidRPr="00765C0E">
        <w:rPr>
          <w:b/>
          <w:bCs/>
          <w:kern w:val="2"/>
          <w:sz w:val="24"/>
          <w:szCs w:val="24"/>
          <w14:ligatures w14:val="standardContextual"/>
        </w:rPr>
        <w:t>scope and objectives</w:t>
      </w:r>
      <w:r w:rsidRPr="00765C0E">
        <w:rPr>
          <w:kern w:val="2"/>
          <w:sz w:val="24"/>
          <w:szCs w:val="24"/>
          <w14:ligatures w14:val="standardContextual"/>
        </w:rPr>
        <w:t xml:space="preserve">. Although I had started to define what the project would include, the scope did not fully match the assessment requirements. I will therefore develop a more detailed scope statement and clearly distinguish between </w:t>
      </w:r>
      <w:r w:rsidRPr="00765C0E">
        <w:rPr>
          <w:b/>
          <w:bCs/>
          <w:kern w:val="2"/>
          <w:sz w:val="24"/>
          <w:szCs w:val="24"/>
          <w14:ligatures w14:val="standardContextual"/>
        </w:rPr>
        <w:t>in-scope and out-of-scope activities</w:t>
      </w:r>
      <w:r w:rsidRPr="00765C0E">
        <w:rPr>
          <w:kern w:val="2"/>
          <w:sz w:val="24"/>
          <w:szCs w:val="24"/>
          <w14:ligatures w14:val="standardContextual"/>
        </w:rPr>
        <w:t xml:space="preserve">. This will help prevent scope creep and establish clear project boundaries. My objectives will also be improved. Initially, some of my objectives were closer to general aims. I now understand that the </w:t>
      </w:r>
      <w:r w:rsidRPr="00765C0E">
        <w:rPr>
          <w:b/>
          <w:bCs/>
          <w:kern w:val="2"/>
          <w:sz w:val="24"/>
          <w:szCs w:val="24"/>
          <w14:ligatures w14:val="standardContextual"/>
        </w:rPr>
        <w:t>aim should describe what the project ultimately wants to achieve</w:t>
      </w:r>
      <w:r w:rsidRPr="00765C0E">
        <w:rPr>
          <w:kern w:val="2"/>
          <w:sz w:val="24"/>
          <w:szCs w:val="24"/>
          <w14:ligatures w14:val="standardContextual"/>
        </w:rPr>
        <w:t>, while objectives should explain how this will be achieved through specific, measurable and time-bound targets. I will therefore introduce measurable success criteria, such as completion within the approved budget and schedule, compliance with safety and accessibility standards, restoration of transport capacity, carbon-reduction targets and successful implementation of digital systems.</w:t>
      </w:r>
    </w:p>
    <w:p w14:paraId="48945900" w14:textId="77777777" w:rsidR="00765C0E" w:rsidRPr="00765C0E" w:rsidRDefault="00765C0E" w:rsidP="00765C0E">
      <w:pPr>
        <w:spacing w:line="278" w:lineRule="auto"/>
        <w:rPr>
          <w:kern w:val="2"/>
          <w:sz w:val="24"/>
          <w:szCs w:val="24"/>
          <w14:ligatures w14:val="standardContextual"/>
        </w:rPr>
      </w:pPr>
      <w:r w:rsidRPr="00765C0E">
        <w:rPr>
          <w:kern w:val="2"/>
          <w:sz w:val="24"/>
          <w:szCs w:val="24"/>
          <w14:ligatures w14:val="standardContextual"/>
        </w:rPr>
        <w:t xml:space="preserve">The feedback regarding </w:t>
      </w:r>
      <w:r w:rsidRPr="00765C0E">
        <w:rPr>
          <w:b/>
          <w:bCs/>
          <w:kern w:val="2"/>
          <w:sz w:val="24"/>
          <w:szCs w:val="24"/>
          <w14:ligatures w14:val="standardContextual"/>
        </w:rPr>
        <w:t>stakeholder and project management tools</w:t>
      </w:r>
      <w:r w:rsidRPr="00765C0E">
        <w:rPr>
          <w:kern w:val="2"/>
          <w:sz w:val="24"/>
          <w:szCs w:val="24"/>
          <w14:ligatures w14:val="standardContextual"/>
        </w:rPr>
        <w:t xml:space="preserve"> was particularly useful. My stakeholder analysis was considered a good starting point, including the use of a RACI matrix, but it needed to be more comprehensive. I will expand the stakeholder register to include additional groups such as emergency services, utility providers, government funding bodies, technology suppliers, nearby property owners and community representatives. I will also simplify the stakeholder mapping approach so that it clearly demonstrates how stakeholders will be managed and communicated with.</w:t>
      </w:r>
    </w:p>
    <w:p w14:paraId="7E273B20" w14:textId="77777777" w:rsidR="00765C0E" w:rsidRPr="00765C0E" w:rsidRDefault="00765C0E" w:rsidP="00765C0E">
      <w:pPr>
        <w:spacing w:line="278" w:lineRule="auto"/>
        <w:rPr>
          <w:kern w:val="2"/>
          <w:sz w:val="24"/>
          <w:szCs w:val="24"/>
          <w14:ligatures w14:val="standardContextual"/>
        </w:rPr>
      </w:pPr>
      <w:r w:rsidRPr="00765C0E">
        <w:rPr>
          <w:kern w:val="2"/>
          <w:sz w:val="24"/>
          <w:szCs w:val="24"/>
          <w14:ligatures w14:val="standardContextual"/>
        </w:rPr>
        <w:lastRenderedPageBreak/>
        <w:t xml:space="preserve">Another major improvement concerns the </w:t>
      </w:r>
      <w:r w:rsidRPr="00765C0E">
        <w:rPr>
          <w:b/>
          <w:bCs/>
          <w:kern w:val="2"/>
          <w:sz w:val="24"/>
          <w:szCs w:val="24"/>
          <w14:ligatures w14:val="standardContextual"/>
        </w:rPr>
        <w:t>project schedule and progress monitoring</w:t>
      </w:r>
      <w:r w:rsidRPr="00765C0E">
        <w:rPr>
          <w:kern w:val="2"/>
          <w:sz w:val="24"/>
          <w:szCs w:val="24"/>
          <w14:ligatures w14:val="standardContextual"/>
        </w:rPr>
        <w:t>. My original Gantt chart did not clearly demonstrate how long activities would take, when each activity would start and finish, or where the project currently stands. In the final plan, I will develop a more detailed Gantt chart showing activity durations, dependencies, start and finish dates, milestones and project phases. I will also identify the current project stage and explain the next stage of work.</w:t>
      </w:r>
    </w:p>
    <w:p w14:paraId="42142A91" w14:textId="77777777" w:rsidR="00765C0E" w:rsidRPr="00765C0E" w:rsidRDefault="00765C0E" w:rsidP="00765C0E">
      <w:pPr>
        <w:spacing w:line="278" w:lineRule="auto"/>
        <w:rPr>
          <w:kern w:val="2"/>
          <w:sz w:val="24"/>
          <w:szCs w:val="24"/>
          <w14:ligatures w14:val="standardContextual"/>
        </w:rPr>
      </w:pPr>
      <w:r w:rsidRPr="00765C0E">
        <w:rPr>
          <w:kern w:val="2"/>
          <w:sz w:val="24"/>
          <w:szCs w:val="24"/>
          <w14:ligatures w14:val="standardContextual"/>
        </w:rPr>
        <w:t xml:space="preserve">Finally, the feedback highlighted that my </w:t>
      </w:r>
      <w:r w:rsidRPr="00765C0E">
        <w:rPr>
          <w:b/>
          <w:bCs/>
          <w:kern w:val="2"/>
          <w:sz w:val="24"/>
          <w:szCs w:val="24"/>
          <w14:ligatures w14:val="standardContextual"/>
        </w:rPr>
        <w:t>risk assessment required greater depth</w:t>
      </w:r>
      <w:r w:rsidRPr="00765C0E">
        <w:rPr>
          <w:kern w:val="2"/>
          <w:sz w:val="24"/>
          <w:szCs w:val="24"/>
          <w14:ligatures w14:val="standardContextual"/>
        </w:rPr>
        <w:t xml:space="preserve">. Rather than listing broad risks, I will assess each risk according to its likelihood, potential impact, mitigation measures, owner and contingency response. For example, construction cost increases could create a budget overrun, so appropriate cost contingency and financial monitoring will be required. I will also include a detailed </w:t>
      </w:r>
      <w:r w:rsidRPr="00765C0E">
        <w:rPr>
          <w:b/>
          <w:bCs/>
          <w:kern w:val="2"/>
          <w:sz w:val="24"/>
          <w:szCs w:val="24"/>
          <w14:ligatures w14:val="standardContextual"/>
        </w:rPr>
        <w:t>Work Breakdown Structure (WBS)</w:t>
      </w:r>
      <w:r w:rsidRPr="00765C0E">
        <w:rPr>
          <w:kern w:val="2"/>
          <w:sz w:val="24"/>
          <w:szCs w:val="24"/>
          <w14:ligatures w14:val="standardContextual"/>
        </w:rPr>
        <w:t xml:space="preserve"> to demonstrate how the project will be divided into manageable deliverables and work packages.</w:t>
      </w:r>
    </w:p>
    <w:p w14:paraId="1AB1E4E7" w14:textId="77777777" w:rsidR="00765C0E" w:rsidRPr="00765C0E" w:rsidRDefault="00765C0E" w:rsidP="00765C0E">
      <w:pPr>
        <w:spacing w:line="278" w:lineRule="auto"/>
        <w:rPr>
          <w:kern w:val="2"/>
          <w:sz w:val="24"/>
          <w:szCs w:val="24"/>
          <w14:ligatures w14:val="standardContextual"/>
        </w:rPr>
      </w:pPr>
      <w:r w:rsidRPr="00765C0E">
        <w:rPr>
          <w:kern w:val="2"/>
          <w:sz w:val="24"/>
          <w:szCs w:val="24"/>
          <w14:ligatures w14:val="standardContextual"/>
        </w:rPr>
        <w:t>Overall, the feedback has changed my approach from presenting a broad project concept to developing a more structured and measurable project management plan. The final plan will therefore place greater emphasis on defined scope, SMART objectives, measurable success criteria, detailed scheduling, comprehensive stakeholder management, risk analysis and WBS-based project control.</w:t>
      </w:r>
    </w:p>
    <w:p w14:paraId="35A73ECC" w14:textId="77777777" w:rsidR="00765C0E" w:rsidRPr="00765C0E" w:rsidRDefault="00765C0E" w:rsidP="00765C0E">
      <w:pPr>
        <w:spacing w:line="278" w:lineRule="auto"/>
        <w:rPr>
          <w:kern w:val="2"/>
          <w:sz w:val="24"/>
          <w:szCs w:val="24"/>
          <w14:ligatures w14:val="standardContextual"/>
        </w:rPr>
      </w:pPr>
    </w:p>
    <w:p w14:paraId="5E2DE34F" w14:textId="77777777" w:rsidR="0006468A" w:rsidRDefault="0006468A"/>
    <w:p w14:paraId="1D7B3379" w14:textId="77777777" w:rsidR="00765C0E" w:rsidRDefault="00765C0E"/>
    <w:p w14:paraId="31D7CE69" w14:textId="77777777" w:rsidR="00765C0E" w:rsidRDefault="00765C0E"/>
    <w:p w14:paraId="56A75D58" w14:textId="77777777" w:rsidR="00765C0E" w:rsidRDefault="00765C0E"/>
    <w:p w14:paraId="4DE2970B" w14:textId="77777777" w:rsidR="00765C0E" w:rsidRDefault="00765C0E"/>
    <w:p w14:paraId="2EB1A0CC" w14:textId="77777777" w:rsidR="00765C0E" w:rsidRDefault="00765C0E"/>
    <w:p w14:paraId="15399FF0" w14:textId="77777777" w:rsidR="00765C0E" w:rsidRDefault="00765C0E"/>
    <w:p w14:paraId="0EC7355C" w14:textId="77777777" w:rsidR="00765C0E" w:rsidRDefault="00765C0E"/>
    <w:p w14:paraId="191939BB" w14:textId="77777777" w:rsidR="00765C0E" w:rsidRDefault="00765C0E"/>
    <w:p w14:paraId="60827555" w14:textId="77777777" w:rsidR="00765C0E" w:rsidRDefault="00765C0E"/>
    <w:p w14:paraId="214D421B" w14:textId="77777777" w:rsidR="00765C0E" w:rsidRDefault="00765C0E"/>
    <w:p w14:paraId="5AB32E23" w14:textId="77777777" w:rsidR="00765C0E" w:rsidRDefault="00765C0E"/>
    <w:p w14:paraId="749BD037" w14:textId="77777777" w:rsidR="00765C0E" w:rsidRDefault="00765C0E"/>
    <w:p w14:paraId="6116651C" w14:textId="77777777" w:rsidR="00765C0E" w:rsidRDefault="00765C0E"/>
    <w:p w14:paraId="1AAD99E8" w14:textId="77777777" w:rsidR="00765C0E" w:rsidRDefault="00765C0E"/>
    <w:p w14:paraId="20559113"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hAnsi="Arial" w:cs="Arial"/>
          <w:kern w:val="2"/>
          <w:sz w:val="24"/>
          <w:szCs w:val="24"/>
          <w14:ligatures w14:val="standardContextual"/>
        </w:rPr>
        <w:lastRenderedPageBreak/>
        <w:t>Part C: Project Management Plan</w:t>
      </w:r>
    </w:p>
    <w:p w14:paraId="0DAB546E" w14:textId="77777777" w:rsidR="00765C0E" w:rsidRPr="00765C0E" w:rsidRDefault="00765C0E" w:rsidP="00765C0E">
      <w:pPr>
        <w:spacing w:after="0" w:line="240" w:lineRule="auto"/>
        <w:rPr>
          <w:rFonts w:ascii="Arial" w:eastAsia="Times New Roman" w:hAnsi="Arial" w:cs="Arial"/>
          <w:sz w:val="24"/>
          <w:szCs w:val="24"/>
          <w:lang w:eastAsia="en-GB"/>
        </w:rPr>
      </w:pPr>
    </w:p>
    <w:p w14:paraId="304B8991" w14:textId="1811C9A0" w:rsidR="00765C0E" w:rsidRPr="00133A0F" w:rsidRDefault="00765C0E" w:rsidP="00133A0F">
      <w:pPr>
        <w:pStyle w:val="ListParagraph"/>
        <w:numPr>
          <w:ilvl w:val="0"/>
          <w:numId w:val="5"/>
        </w:numPr>
        <w:spacing w:before="100" w:beforeAutospacing="1" w:after="100" w:afterAutospacing="1" w:line="240" w:lineRule="auto"/>
        <w:outlineLvl w:val="0"/>
        <w:rPr>
          <w:rFonts w:ascii="Arial" w:eastAsia="Times New Roman" w:hAnsi="Arial" w:cs="Arial"/>
          <w:b/>
          <w:bCs/>
          <w:kern w:val="36"/>
          <w:sz w:val="24"/>
          <w:szCs w:val="24"/>
          <w:lang w:eastAsia="en-GB"/>
        </w:rPr>
      </w:pPr>
      <w:r w:rsidRPr="00133A0F">
        <w:rPr>
          <w:rFonts w:ascii="Arial" w:eastAsia="Times New Roman" w:hAnsi="Arial" w:cs="Arial"/>
          <w:b/>
          <w:bCs/>
          <w:kern w:val="36"/>
          <w:sz w:val="24"/>
          <w:szCs w:val="24"/>
          <w:lang w:eastAsia="en-GB"/>
        </w:rPr>
        <w:t>Introduction</w:t>
      </w:r>
    </w:p>
    <w:p w14:paraId="72C2039E" w14:textId="77777777" w:rsidR="00133A0F" w:rsidRPr="00133A0F" w:rsidRDefault="00133A0F" w:rsidP="00133A0F">
      <w:pPr>
        <w:pStyle w:val="ListParagraph"/>
        <w:spacing w:before="100" w:beforeAutospacing="1" w:after="100" w:afterAutospacing="1" w:line="240" w:lineRule="auto"/>
        <w:outlineLvl w:val="0"/>
        <w:rPr>
          <w:rFonts w:ascii="Arial" w:eastAsia="Times New Roman" w:hAnsi="Arial" w:cs="Arial"/>
          <w:b/>
          <w:bCs/>
          <w:kern w:val="36"/>
          <w:sz w:val="24"/>
          <w:szCs w:val="24"/>
          <w:lang w:eastAsia="en-GB"/>
        </w:rPr>
      </w:pPr>
    </w:p>
    <w:p w14:paraId="5CE93BB1"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central multimodal transport hub has been closed following a structural inspection which identified deficiencies against modern safety and accessibility requirements. As the hub provides an important interchange for rail, bus, passenger and freight movements, its closure has disrupted commuter journeys, supply chains and local economic activity.</w:t>
      </w:r>
    </w:p>
    <w:p w14:paraId="7AA3ED98"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The proposed project is therefore the </w:t>
      </w:r>
      <w:r w:rsidRPr="00765C0E">
        <w:rPr>
          <w:rFonts w:ascii="Arial" w:eastAsia="Times New Roman" w:hAnsi="Arial" w:cs="Arial"/>
          <w:b/>
          <w:bCs/>
          <w:sz w:val="24"/>
          <w:szCs w:val="24"/>
          <w:lang w:eastAsia="en-GB"/>
        </w:rPr>
        <w:t>redevelopment of the central multimodal transport hub</w:t>
      </w:r>
      <w:r w:rsidRPr="00765C0E">
        <w:rPr>
          <w:rFonts w:ascii="Arial" w:eastAsia="Times New Roman" w:hAnsi="Arial" w:cs="Arial"/>
          <w:sz w:val="24"/>
          <w:szCs w:val="24"/>
          <w:lang w:eastAsia="en-GB"/>
        </w:rPr>
        <w:t>. The rationale is not simply to repair an ageing building, but to restore a critical transport function through a safe, accessible, sustainable and digitally integrated facility. The project will provide a long-term solution to the infrastructure failure while supporting economic recovery and future transport demand.</w:t>
      </w:r>
    </w:p>
    <w:p w14:paraId="7DDEE523"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project will use structured project management techniques including a WBS, Gantt schedule, stakeholder analysis, resource planning, risk management and performance controls. These approaches will provide a framework for controlling scope, time, cost, quality and project risks (Project Management Institute, 2021).</w:t>
      </w:r>
    </w:p>
    <w:p w14:paraId="6B0978E8"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eastAsia="Times New Roman" w:hAnsi="Arial" w:cs="Arial"/>
          <w:b/>
          <w:bCs/>
          <w:kern w:val="36"/>
          <w:sz w:val="24"/>
          <w:szCs w:val="24"/>
          <w:lang w:eastAsia="en-GB"/>
        </w:rPr>
        <w:t>2. Project Description</w:t>
      </w:r>
    </w:p>
    <w:p w14:paraId="65704C99"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hAnsi="Arial" w:cs="Arial"/>
          <w:color w:val="000000"/>
          <w:kern w:val="2"/>
          <w:sz w:val="24"/>
          <w:szCs w:val="24"/>
          <w:shd w:val="clear" w:color="auto" w:fill="FFFFFF"/>
          <w14:ligatures w14:val="standardContextual"/>
        </w:rPr>
        <w:t>A </w:t>
      </w:r>
      <w:r w:rsidRPr="00765C0E">
        <w:rPr>
          <w:rFonts w:ascii="Arial" w:hAnsi="Arial" w:cs="Arial"/>
          <w:b/>
          <w:bCs/>
          <w:color w:val="000000"/>
          <w:kern w:val="2"/>
          <w:sz w:val="24"/>
          <w:szCs w:val="24"/>
          <w:shd w:val="clear" w:color="auto" w:fill="FFFFFF"/>
          <w14:ligatures w14:val="standardContextual"/>
        </w:rPr>
        <w:t>project description</w:t>
      </w:r>
      <w:r w:rsidRPr="00765C0E">
        <w:rPr>
          <w:rFonts w:ascii="Arial" w:hAnsi="Arial" w:cs="Arial"/>
          <w:color w:val="000000"/>
          <w:kern w:val="2"/>
          <w:sz w:val="24"/>
          <w:szCs w:val="24"/>
          <w:shd w:val="clear" w:color="auto" w:fill="FFFFFF"/>
          <w14:ligatures w14:val="standardContextual"/>
        </w:rPr>
        <w:t> is a document that communicates the purpose, goals, and essential details of a project. It explains </w:t>
      </w:r>
      <w:r w:rsidRPr="00765C0E">
        <w:rPr>
          <w:rFonts w:ascii="Arial" w:hAnsi="Arial" w:cs="Arial"/>
          <w:b/>
          <w:bCs/>
          <w:color w:val="000000"/>
          <w:kern w:val="2"/>
          <w:sz w:val="24"/>
          <w:szCs w:val="24"/>
          <w:shd w:val="clear" w:color="auto" w:fill="FFFFFF"/>
          <w14:ligatures w14:val="standardContextual"/>
        </w:rPr>
        <w:t>why the project is being undertaken</w:t>
      </w:r>
      <w:r w:rsidRPr="00765C0E">
        <w:rPr>
          <w:rFonts w:ascii="Arial" w:hAnsi="Arial" w:cs="Arial"/>
          <w:color w:val="000000"/>
          <w:kern w:val="2"/>
          <w:sz w:val="24"/>
          <w:szCs w:val="24"/>
          <w:shd w:val="clear" w:color="auto" w:fill="FFFFFF"/>
          <w14:ligatures w14:val="standardContextual"/>
        </w:rPr>
        <w:t>, what it aims to achieve, and project objectives. As for this project main aims and objectives are as follows making clear distinctions:</w:t>
      </w:r>
      <w:r w:rsidRPr="00765C0E">
        <w:rPr>
          <w:rFonts w:ascii="Arial" w:eastAsia="Times New Roman" w:hAnsi="Arial" w:cs="Arial"/>
          <w:b/>
          <w:bCs/>
          <w:kern w:val="36"/>
          <w:sz w:val="24"/>
          <w:szCs w:val="24"/>
          <w:lang w:eastAsia="en-GB"/>
        </w:rPr>
        <w:t xml:space="preserve"> </w:t>
      </w:r>
    </w:p>
    <w:p w14:paraId="20376E37" w14:textId="77777777" w:rsidR="00765C0E" w:rsidRPr="00765C0E" w:rsidRDefault="00765C0E" w:rsidP="00765C0E">
      <w:pPr>
        <w:spacing w:before="100" w:beforeAutospacing="1" w:after="100" w:afterAutospacing="1" w:line="240" w:lineRule="auto"/>
        <w:outlineLvl w:val="2"/>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Project aim</w:t>
      </w:r>
    </w:p>
    <w:p w14:paraId="098BE549"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To redevelop the central multimodal transport hub into a safe, accessible, sustainable and digitally enabled transport gateway that restores passenger and freight capacity while supporting long-term economic and environmental objectives.</w:t>
      </w:r>
    </w:p>
    <w:p w14:paraId="56E7E8ED" w14:textId="77777777" w:rsidR="00765C0E" w:rsidRPr="00765C0E" w:rsidRDefault="00765C0E" w:rsidP="00765C0E">
      <w:pPr>
        <w:spacing w:before="100" w:beforeAutospacing="1" w:after="100" w:afterAutospacing="1" w:line="240" w:lineRule="auto"/>
        <w:outlineLvl w:val="2"/>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Project objectives</w:t>
      </w:r>
    </w:p>
    <w:p w14:paraId="19DFA9E9"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Safety:</w:t>
      </w:r>
      <w:r w:rsidRPr="00765C0E">
        <w:rPr>
          <w:rFonts w:ascii="Arial" w:eastAsia="Times New Roman" w:hAnsi="Arial" w:cs="Arial"/>
          <w:sz w:val="24"/>
          <w:szCs w:val="24"/>
          <w:lang w:eastAsia="en-GB"/>
        </w:rPr>
        <w:t xml:space="preserve"> Complete structural redevelopment and achieve all required safety, fire and operational approvals before opening.</w:t>
      </w:r>
    </w:p>
    <w:p w14:paraId="34861302"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Accessibility:</w:t>
      </w:r>
      <w:r w:rsidRPr="00765C0E">
        <w:rPr>
          <w:rFonts w:ascii="Arial" w:eastAsia="Times New Roman" w:hAnsi="Arial" w:cs="Arial"/>
          <w:sz w:val="24"/>
          <w:szCs w:val="24"/>
          <w:lang w:eastAsia="en-GB"/>
        </w:rPr>
        <w:t xml:space="preserve"> Provide step-free access, lifts, accessible toilets, suitable platforms, inclusive wayfinding and accessible passenger information.</w:t>
      </w:r>
    </w:p>
    <w:p w14:paraId="1693F285"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Transport capacity:</w:t>
      </w:r>
      <w:r w:rsidRPr="00765C0E">
        <w:rPr>
          <w:rFonts w:ascii="Arial" w:eastAsia="Times New Roman" w:hAnsi="Arial" w:cs="Arial"/>
          <w:sz w:val="24"/>
          <w:szCs w:val="24"/>
          <w:lang w:eastAsia="en-GB"/>
        </w:rPr>
        <w:t xml:space="preserve"> Restore reliable passenger and freight interchange capacity and improve passenger movement through the hub.</w:t>
      </w:r>
    </w:p>
    <w:p w14:paraId="44CB9409"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Digital integration:</w:t>
      </w:r>
      <w:r w:rsidRPr="00765C0E">
        <w:rPr>
          <w:rFonts w:ascii="Arial" w:eastAsia="Times New Roman" w:hAnsi="Arial" w:cs="Arial"/>
          <w:sz w:val="24"/>
          <w:szCs w:val="24"/>
          <w:lang w:eastAsia="en-GB"/>
        </w:rPr>
        <w:t xml:space="preserve"> Implement real-time passenger information, smart ticketing, passenger-flow monitoring and digital freight coordination.</w:t>
      </w:r>
    </w:p>
    <w:p w14:paraId="50FAEE31"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lastRenderedPageBreak/>
        <w:t>Sustainability:</w:t>
      </w:r>
      <w:r w:rsidRPr="00765C0E">
        <w:rPr>
          <w:rFonts w:ascii="Arial" w:eastAsia="Times New Roman" w:hAnsi="Arial" w:cs="Arial"/>
          <w:sz w:val="24"/>
          <w:szCs w:val="24"/>
          <w:lang w:eastAsia="en-GB"/>
        </w:rPr>
        <w:t xml:space="preserve"> Incorporate energy-efficient systems, renewable energy, low-carbon materials, sustainable drainage and EV infrastructure.</w:t>
      </w:r>
    </w:p>
    <w:p w14:paraId="4590AE3C"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Time:</w:t>
      </w:r>
      <w:r w:rsidRPr="00765C0E">
        <w:rPr>
          <w:rFonts w:ascii="Arial" w:eastAsia="Times New Roman" w:hAnsi="Arial" w:cs="Arial"/>
          <w:sz w:val="24"/>
          <w:szCs w:val="24"/>
          <w:lang w:eastAsia="en-GB"/>
        </w:rPr>
        <w:t xml:space="preserve"> Complete the redevelopment within the approved project schedule, subject to agreed tolerances.</w:t>
      </w:r>
    </w:p>
    <w:p w14:paraId="5A7904DE"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Cost:</w:t>
      </w:r>
      <w:r w:rsidRPr="00765C0E">
        <w:rPr>
          <w:rFonts w:ascii="Arial" w:eastAsia="Times New Roman" w:hAnsi="Arial" w:cs="Arial"/>
          <w:sz w:val="24"/>
          <w:szCs w:val="24"/>
          <w:lang w:eastAsia="en-GB"/>
        </w:rPr>
        <w:t xml:space="preserve"> Deliver within the approved budget and maintain appropriate contingency for identified risks.</w:t>
      </w:r>
    </w:p>
    <w:p w14:paraId="6FBCA704"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Quality:</w:t>
      </w:r>
      <w:r w:rsidRPr="00765C0E">
        <w:rPr>
          <w:rFonts w:ascii="Arial" w:eastAsia="Times New Roman" w:hAnsi="Arial" w:cs="Arial"/>
          <w:sz w:val="24"/>
          <w:szCs w:val="24"/>
          <w:lang w:eastAsia="en-GB"/>
        </w:rPr>
        <w:t xml:space="preserve"> Complete the project in accordance with the approved design, statutory requirements and quality-management standards.</w:t>
      </w:r>
    </w:p>
    <w:p w14:paraId="336033A6" w14:textId="77777777" w:rsidR="00765C0E" w:rsidRPr="00765C0E" w:rsidRDefault="00765C0E" w:rsidP="00765C0E">
      <w:pPr>
        <w:spacing w:before="100" w:beforeAutospacing="1" w:after="100" w:afterAutospacing="1" w:line="240" w:lineRule="auto"/>
        <w:outlineLvl w:val="2"/>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Measures of success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4"/>
        <w:gridCol w:w="6065"/>
      </w:tblGrid>
      <w:tr w:rsidR="00765C0E" w:rsidRPr="00765C0E" w14:paraId="167EB4DB" w14:textId="77777777" w:rsidTr="00F779E4">
        <w:trPr>
          <w:tblHeader/>
          <w:tblCellSpacing w:w="15" w:type="dxa"/>
        </w:trPr>
        <w:tc>
          <w:tcPr>
            <w:tcW w:w="0" w:type="auto"/>
            <w:shd w:val="clear" w:color="auto" w:fill="A6A6A6" w:themeFill="background1" w:themeFillShade="A6"/>
            <w:vAlign w:val="center"/>
            <w:hideMark/>
          </w:tcPr>
          <w:p w14:paraId="0CAA3010" w14:textId="77777777" w:rsidR="00765C0E" w:rsidRPr="00765C0E" w:rsidRDefault="00765C0E" w:rsidP="00765C0E">
            <w:pPr>
              <w:spacing w:after="0" w:line="240" w:lineRule="auto"/>
              <w:jc w:val="center"/>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Success measure</w:t>
            </w:r>
          </w:p>
        </w:tc>
        <w:tc>
          <w:tcPr>
            <w:tcW w:w="0" w:type="auto"/>
            <w:shd w:val="clear" w:color="auto" w:fill="A6A6A6" w:themeFill="background1" w:themeFillShade="A6"/>
            <w:vAlign w:val="center"/>
            <w:hideMark/>
          </w:tcPr>
          <w:p w14:paraId="78029799" w14:textId="77777777" w:rsidR="00765C0E" w:rsidRPr="00765C0E" w:rsidRDefault="00765C0E" w:rsidP="00765C0E">
            <w:pPr>
              <w:spacing w:after="0" w:line="240" w:lineRule="auto"/>
              <w:jc w:val="center"/>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Target</w:t>
            </w:r>
          </w:p>
        </w:tc>
      </w:tr>
      <w:tr w:rsidR="00765C0E" w:rsidRPr="00765C0E" w14:paraId="3E2A437B" w14:textId="77777777" w:rsidTr="00F779E4">
        <w:trPr>
          <w:tblCellSpacing w:w="15" w:type="dxa"/>
        </w:trPr>
        <w:tc>
          <w:tcPr>
            <w:tcW w:w="0" w:type="auto"/>
            <w:vAlign w:val="center"/>
            <w:hideMark/>
          </w:tcPr>
          <w:p w14:paraId="15ECFB2B"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Safety</w:t>
            </w:r>
          </w:p>
        </w:tc>
        <w:tc>
          <w:tcPr>
            <w:tcW w:w="0" w:type="auto"/>
            <w:vAlign w:val="center"/>
            <w:hideMark/>
          </w:tcPr>
          <w:p w14:paraId="3F6C70A5"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100% required statutory approvals before opening</w:t>
            </w:r>
          </w:p>
        </w:tc>
      </w:tr>
      <w:tr w:rsidR="00765C0E" w:rsidRPr="00765C0E" w14:paraId="429B8DC5" w14:textId="77777777" w:rsidTr="00F779E4">
        <w:trPr>
          <w:tblCellSpacing w:w="15" w:type="dxa"/>
        </w:trPr>
        <w:tc>
          <w:tcPr>
            <w:tcW w:w="0" w:type="auto"/>
            <w:vAlign w:val="center"/>
            <w:hideMark/>
          </w:tcPr>
          <w:p w14:paraId="766BA1D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Accessibility</w:t>
            </w:r>
          </w:p>
        </w:tc>
        <w:tc>
          <w:tcPr>
            <w:tcW w:w="0" w:type="auto"/>
            <w:vAlign w:val="center"/>
            <w:hideMark/>
          </w:tcPr>
          <w:p w14:paraId="1A2CC55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Fully step-free passenger routes</w:t>
            </w:r>
          </w:p>
        </w:tc>
      </w:tr>
      <w:tr w:rsidR="00765C0E" w:rsidRPr="00765C0E" w14:paraId="42E7765D" w14:textId="77777777" w:rsidTr="00F779E4">
        <w:trPr>
          <w:tblCellSpacing w:w="15" w:type="dxa"/>
        </w:trPr>
        <w:tc>
          <w:tcPr>
            <w:tcW w:w="0" w:type="auto"/>
            <w:vAlign w:val="center"/>
            <w:hideMark/>
          </w:tcPr>
          <w:p w14:paraId="649A9F5F"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Schedule</w:t>
            </w:r>
          </w:p>
        </w:tc>
        <w:tc>
          <w:tcPr>
            <w:tcW w:w="0" w:type="auto"/>
            <w:vAlign w:val="center"/>
            <w:hideMark/>
          </w:tcPr>
          <w:p w14:paraId="1AE0F36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Completion within approved baseline</w:t>
            </w:r>
          </w:p>
        </w:tc>
      </w:tr>
      <w:tr w:rsidR="00765C0E" w:rsidRPr="00765C0E" w14:paraId="543DBB95" w14:textId="77777777" w:rsidTr="00F779E4">
        <w:trPr>
          <w:tblCellSpacing w:w="15" w:type="dxa"/>
        </w:trPr>
        <w:tc>
          <w:tcPr>
            <w:tcW w:w="0" w:type="auto"/>
            <w:vAlign w:val="center"/>
            <w:hideMark/>
          </w:tcPr>
          <w:p w14:paraId="44B4987D"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Cost</w:t>
            </w:r>
          </w:p>
        </w:tc>
        <w:tc>
          <w:tcPr>
            <w:tcW w:w="0" w:type="auto"/>
            <w:vAlign w:val="center"/>
            <w:hideMark/>
          </w:tcPr>
          <w:p w14:paraId="5F4AD0EB"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Final cost within approved budget tolerance</w:t>
            </w:r>
          </w:p>
        </w:tc>
      </w:tr>
      <w:tr w:rsidR="00765C0E" w:rsidRPr="00765C0E" w14:paraId="11C3D908" w14:textId="77777777" w:rsidTr="00F779E4">
        <w:trPr>
          <w:tblCellSpacing w:w="15" w:type="dxa"/>
        </w:trPr>
        <w:tc>
          <w:tcPr>
            <w:tcW w:w="0" w:type="auto"/>
            <w:vAlign w:val="center"/>
            <w:hideMark/>
          </w:tcPr>
          <w:p w14:paraId="5F5238C4"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Digital systems</w:t>
            </w:r>
          </w:p>
        </w:tc>
        <w:tc>
          <w:tcPr>
            <w:tcW w:w="0" w:type="auto"/>
            <w:vAlign w:val="center"/>
            <w:hideMark/>
          </w:tcPr>
          <w:p w14:paraId="705897C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All critical systems tested before opening</w:t>
            </w:r>
          </w:p>
        </w:tc>
      </w:tr>
      <w:tr w:rsidR="00765C0E" w:rsidRPr="00765C0E" w14:paraId="7E69DCE2" w14:textId="77777777" w:rsidTr="00F779E4">
        <w:trPr>
          <w:tblCellSpacing w:w="15" w:type="dxa"/>
        </w:trPr>
        <w:tc>
          <w:tcPr>
            <w:tcW w:w="0" w:type="auto"/>
            <w:vAlign w:val="center"/>
            <w:hideMark/>
          </w:tcPr>
          <w:p w14:paraId="2169C7AC"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Sustainability</w:t>
            </w:r>
          </w:p>
        </w:tc>
        <w:tc>
          <w:tcPr>
            <w:tcW w:w="0" w:type="auto"/>
            <w:vAlign w:val="center"/>
            <w:hideMark/>
          </w:tcPr>
          <w:p w14:paraId="721DDB10"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Agreed carbon-reduction target achieved</w:t>
            </w:r>
          </w:p>
        </w:tc>
      </w:tr>
      <w:tr w:rsidR="00765C0E" w:rsidRPr="00765C0E" w14:paraId="00428D27" w14:textId="77777777" w:rsidTr="00F779E4">
        <w:trPr>
          <w:tblCellSpacing w:w="15" w:type="dxa"/>
        </w:trPr>
        <w:tc>
          <w:tcPr>
            <w:tcW w:w="0" w:type="auto"/>
            <w:vAlign w:val="center"/>
            <w:hideMark/>
          </w:tcPr>
          <w:p w14:paraId="3E4BD5D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Capacity</w:t>
            </w:r>
          </w:p>
        </w:tc>
        <w:tc>
          <w:tcPr>
            <w:tcW w:w="0" w:type="auto"/>
            <w:vAlign w:val="center"/>
            <w:hideMark/>
          </w:tcPr>
          <w:p w14:paraId="7E57902A"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Transport services restored before operational handover</w:t>
            </w:r>
          </w:p>
        </w:tc>
      </w:tr>
      <w:tr w:rsidR="00765C0E" w:rsidRPr="00765C0E" w14:paraId="1540AC8C" w14:textId="77777777" w:rsidTr="00F779E4">
        <w:trPr>
          <w:tblCellSpacing w:w="15" w:type="dxa"/>
        </w:trPr>
        <w:tc>
          <w:tcPr>
            <w:tcW w:w="0" w:type="auto"/>
            <w:vAlign w:val="center"/>
            <w:hideMark/>
          </w:tcPr>
          <w:p w14:paraId="142DC83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Quality</w:t>
            </w:r>
          </w:p>
        </w:tc>
        <w:tc>
          <w:tcPr>
            <w:tcW w:w="0" w:type="auto"/>
            <w:vAlign w:val="center"/>
            <w:hideMark/>
          </w:tcPr>
          <w:p w14:paraId="3B67B96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No unresolved critical defects at handover</w:t>
            </w:r>
          </w:p>
        </w:tc>
      </w:tr>
      <w:tr w:rsidR="00765C0E" w:rsidRPr="00765C0E" w14:paraId="3C71669F" w14:textId="77777777" w:rsidTr="00F779E4">
        <w:trPr>
          <w:tblCellSpacing w:w="15" w:type="dxa"/>
        </w:trPr>
        <w:tc>
          <w:tcPr>
            <w:tcW w:w="0" w:type="auto"/>
            <w:vAlign w:val="center"/>
            <w:hideMark/>
          </w:tcPr>
          <w:p w14:paraId="6D2833C6"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Stakeholder satisfaction</w:t>
            </w:r>
          </w:p>
        </w:tc>
        <w:tc>
          <w:tcPr>
            <w:tcW w:w="0" w:type="auto"/>
            <w:vAlign w:val="center"/>
            <w:hideMark/>
          </w:tcPr>
          <w:p w14:paraId="3A57269F"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Positive post-completion stakeholder evaluation</w:t>
            </w:r>
          </w:p>
        </w:tc>
      </w:tr>
    </w:tbl>
    <w:p w14:paraId="657AB8D4" w14:textId="77777777" w:rsidR="00765C0E" w:rsidRPr="00765C0E" w:rsidRDefault="00765C0E" w:rsidP="00765C0E">
      <w:pPr>
        <w:spacing w:before="100" w:beforeAutospacing="1" w:after="100" w:afterAutospacing="1" w:line="240" w:lineRule="auto"/>
        <w:outlineLvl w:val="2"/>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3. Scope</w:t>
      </w:r>
    </w:p>
    <w:p w14:paraId="30117967" w14:textId="77777777" w:rsidR="00765C0E" w:rsidRPr="00765C0E" w:rsidRDefault="00765C0E" w:rsidP="00765C0E">
      <w:pPr>
        <w:spacing w:before="100" w:beforeAutospacing="1" w:after="100" w:afterAutospacing="1" w:line="240" w:lineRule="auto"/>
        <w:outlineLvl w:val="2"/>
        <w:rPr>
          <w:rFonts w:ascii="Arial" w:eastAsia="Times New Roman" w:hAnsi="Arial" w:cs="Arial"/>
          <w:b/>
          <w:bCs/>
          <w:sz w:val="24"/>
          <w:szCs w:val="24"/>
          <w:lang w:eastAsia="en-GB"/>
        </w:rPr>
      </w:pPr>
      <w:r w:rsidRPr="00765C0E">
        <w:rPr>
          <w:rFonts w:ascii="Arial" w:hAnsi="Arial" w:cs="Arial"/>
          <w:kern w:val="2"/>
          <w:sz w:val="24"/>
          <w:szCs w:val="24"/>
          <w14:ligatures w14:val="standardContextual"/>
        </w:rPr>
        <w:t xml:space="preserve">The project scope identifies the work required to successfully complete the transport hub redevelopment. Clearly defining the scope is important because it establishes project boundaries and reduces the possibility of uncontrolled changes during delivery </w:t>
      </w:r>
      <w:r w:rsidRPr="00765C0E">
        <w:rPr>
          <w:rFonts w:ascii="Arial" w:hAnsi="Arial" w:cs="Arial"/>
          <w:b/>
          <w:bCs/>
          <w:kern w:val="2"/>
          <w:sz w:val="24"/>
          <w:szCs w:val="24"/>
          <w14:ligatures w14:val="standardContextual"/>
        </w:rPr>
        <w:t>(Project Management Institute, 2021)</w:t>
      </w:r>
      <w:r w:rsidRPr="00765C0E">
        <w:rPr>
          <w:rFonts w:ascii="Arial" w:hAnsi="Arial" w:cs="Arial"/>
          <w:kern w:val="2"/>
          <w:sz w:val="24"/>
          <w:szCs w:val="24"/>
          <w14:ligatures w14:val="standardContextual"/>
        </w:rPr>
        <w:t>.</w:t>
      </w:r>
    </w:p>
    <w:p w14:paraId="296B3CD6"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scope of the Central Multimodal Transport Hub Redevelopment defines the activities and deliverables required to restore the hub as a safe, accessible, sustainable and digitally integrated transport facility. Establishing clear project boundaries is important because it identifies what the project is responsible for delivering and what activities will remain outside its control.</w:t>
      </w:r>
    </w:p>
    <w:p w14:paraId="12099E1C"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The </w:t>
      </w:r>
      <w:r w:rsidRPr="00765C0E">
        <w:rPr>
          <w:rFonts w:ascii="Arial" w:eastAsia="Times New Roman" w:hAnsi="Arial" w:cs="Arial"/>
          <w:b/>
          <w:bCs/>
          <w:sz w:val="24"/>
          <w:szCs w:val="24"/>
          <w:lang w:eastAsia="en-GB"/>
        </w:rPr>
        <w:t>in-scope infrastructure works</w:t>
      </w:r>
      <w:r w:rsidRPr="00765C0E">
        <w:rPr>
          <w:rFonts w:ascii="Arial" w:eastAsia="Times New Roman" w:hAnsi="Arial" w:cs="Arial"/>
          <w:sz w:val="24"/>
          <w:szCs w:val="24"/>
          <w:lang w:eastAsia="en-GB"/>
        </w:rPr>
        <w:t xml:space="preserve"> include a detailed structural assessment of the existing hub, followed by strengthening and repair works where required. Any sections considered unsafe will be demolished or replaced. New passenger facilities will be constructed, while platforms and interchange areas will be upgraded to improve the movement of passengers between different transport services. The redevelopment will also include improvements to essential fire safety, electrical and mechanical systems to ensure that the completed facility meets current operational and safety requirements.</w:t>
      </w:r>
    </w:p>
    <w:p w14:paraId="16034CC6"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lastRenderedPageBreak/>
        <w:t>Transport integration</w:t>
      </w:r>
      <w:r w:rsidRPr="00765C0E">
        <w:rPr>
          <w:rFonts w:ascii="Arial" w:eastAsia="Times New Roman" w:hAnsi="Arial" w:cs="Arial"/>
          <w:sz w:val="24"/>
          <w:szCs w:val="24"/>
          <w:lang w:eastAsia="en-GB"/>
        </w:rPr>
        <w:t xml:space="preserve"> is another important part of the project. The redeveloped hub will improve connections between rail, bus, taxi and pedestrian services while providing suitable areas for freight loading and logistics coordination. Cycling facilities will also be incorporated to encourage sustainable travel. Temporary transport arrangements will be provided during construction to reduce disruption and maintain essential passenger and freight movement while the permanent facilities are unavailable.</w:t>
      </w:r>
    </w:p>
    <w:p w14:paraId="17A50F0A"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The project will place significant emphasis on </w:t>
      </w:r>
      <w:r w:rsidRPr="00765C0E">
        <w:rPr>
          <w:rFonts w:ascii="Arial" w:eastAsia="Times New Roman" w:hAnsi="Arial" w:cs="Arial"/>
          <w:b/>
          <w:bCs/>
          <w:sz w:val="24"/>
          <w:szCs w:val="24"/>
          <w:lang w:eastAsia="en-GB"/>
        </w:rPr>
        <w:t>accessibility and inclusive design</w:t>
      </w:r>
      <w:r w:rsidRPr="00765C0E">
        <w:rPr>
          <w:rFonts w:ascii="Arial" w:eastAsia="Times New Roman" w:hAnsi="Arial" w:cs="Arial"/>
          <w:sz w:val="24"/>
          <w:szCs w:val="24"/>
          <w:lang w:eastAsia="en-GB"/>
        </w:rPr>
        <w:t>. Step-free routes, lifts and ramps will be incorporated throughout the hub, together with accessible toilets and other appropriate passenger facilities. Inclusive signage, clear wayfinding and accessible passenger information will be provided so that people with different mobility and accessibility requirements can use the transport hub safely and independently.</w:t>
      </w:r>
    </w:p>
    <w:p w14:paraId="323EB492"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The project scope also includes the installation of </w:t>
      </w:r>
      <w:r w:rsidRPr="00765C0E">
        <w:rPr>
          <w:rFonts w:ascii="Arial" w:eastAsia="Times New Roman" w:hAnsi="Arial" w:cs="Arial"/>
          <w:b/>
          <w:bCs/>
          <w:sz w:val="24"/>
          <w:szCs w:val="24"/>
          <w:lang w:eastAsia="en-GB"/>
        </w:rPr>
        <w:t>digital infrastructure</w:t>
      </w:r>
      <w:r w:rsidRPr="00765C0E">
        <w:rPr>
          <w:rFonts w:ascii="Arial" w:eastAsia="Times New Roman" w:hAnsi="Arial" w:cs="Arial"/>
          <w:sz w:val="24"/>
          <w:szCs w:val="24"/>
          <w:lang w:eastAsia="en-GB"/>
        </w:rPr>
        <w:t xml:space="preserve"> to improve the efficiency of transport operations. This will include real-time passenger information, smart ticketing systems and technology for monitoring passenger movement. Digital systems will also support freight logistics coordination and provide operational control capabilities for the management of the hub.</w:t>
      </w:r>
    </w:p>
    <w:p w14:paraId="2AA218E3"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Environmental sustainability</w:t>
      </w:r>
      <w:r w:rsidRPr="00765C0E">
        <w:rPr>
          <w:rFonts w:ascii="Arial" w:eastAsia="Times New Roman" w:hAnsi="Arial" w:cs="Arial"/>
          <w:sz w:val="24"/>
          <w:szCs w:val="24"/>
          <w:lang w:eastAsia="en-GB"/>
        </w:rPr>
        <w:t xml:space="preserve"> will be integrated into the redevelopment through energy-efficient lighting and equipment, renewable energy generation and sustainable drainage solutions. Electric-vehicle charging infrastructure will also be considered, alongside the use of low-carbon construction materials where technically and financially feasible. These measures will contribute towards reducing both the construction and operational environmental impacts of the hub.</w:t>
      </w:r>
    </w:p>
    <w:p w14:paraId="27A179C2"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The final part of the project scope covers </w:t>
      </w:r>
      <w:r w:rsidRPr="00765C0E">
        <w:rPr>
          <w:rFonts w:ascii="Arial" w:eastAsia="Times New Roman" w:hAnsi="Arial" w:cs="Arial"/>
          <w:b/>
          <w:bCs/>
          <w:sz w:val="24"/>
          <w:szCs w:val="24"/>
          <w:lang w:eastAsia="en-GB"/>
        </w:rPr>
        <w:t>testing, commissioning and handover</w:t>
      </w:r>
      <w:r w:rsidRPr="00765C0E">
        <w:rPr>
          <w:rFonts w:ascii="Arial" w:eastAsia="Times New Roman" w:hAnsi="Arial" w:cs="Arial"/>
          <w:sz w:val="24"/>
          <w:szCs w:val="24"/>
          <w:lang w:eastAsia="en-GB"/>
        </w:rPr>
        <w:t>. Before the facility becomes operational, infrastructure and digital systems will be tested to confirm that they function correctly. Relevant employees will receive training, required safety certification will be obtained, and the completed facility will be formally transferred to the organisations responsible for its operation.</w:t>
      </w:r>
    </w:p>
    <w:p w14:paraId="78C8D147"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Clear </w:t>
      </w:r>
      <w:r w:rsidRPr="00765C0E">
        <w:rPr>
          <w:rFonts w:ascii="Arial" w:eastAsia="Times New Roman" w:hAnsi="Arial" w:cs="Arial"/>
          <w:b/>
          <w:bCs/>
          <w:sz w:val="24"/>
          <w:szCs w:val="24"/>
          <w:lang w:eastAsia="en-GB"/>
        </w:rPr>
        <w:t>out-of-scope boundaries</w:t>
      </w:r>
      <w:r w:rsidRPr="00765C0E">
        <w:rPr>
          <w:rFonts w:ascii="Arial" w:eastAsia="Times New Roman" w:hAnsi="Arial" w:cs="Arial"/>
          <w:sz w:val="24"/>
          <w:szCs w:val="24"/>
          <w:lang w:eastAsia="en-GB"/>
        </w:rPr>
        <w:t xml:space="preserve"> will also be maintained. The project will not include complete reconstruction of the wider city railway network or major highway redevelopment beyond the defined hub boundary. Commercial property developments that are unrelated to the transport hub will also be excluded. Furthermore, the project will not be responsible for the long-term operation of transport services following handover or for replacing the transport operators' organisation-wide IT systems. Wider urban regeneration initiatives that are not directly necessary for successful delivery of the hub will similarly remain outside the project scope.</w:t>
      </w:r>
    </w:p>
    <w:p w14:paraId="4B118DC6"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Defining both the included and excluded activities provides a clear scope baseline against which proposed changes can be assessed. This will help the project manager control </w:t>
      </w:r>
      <w:r w:rsidRPr="00765C0E">
        <w:rPr>
          <w:rFonts w:ascii="Arial" w:eastAsia="Times New Roman" w:hAnsi="Arial" w:cs="Arial"/>
          <w:b/>
          <w:bCs/>
          <w:sz w:val="24"/>
          <w:szCs w:val="24"/>
          <w:lang w:eastAsia="en-GB"/>
        </w:rPr>
        <w:t>scope creep</w:t>
      </w:r>
      <w:r w:rsidRPr="00765C0E">
        <w:rPr>
          <w:rFonts w:ascii="Arial" w:eastAsia="Times New Roman" w:hAnsi="Arial" w:cs="Arial"/>
          <w:sz w:val="24"/>
          <w:szCs w:val="24"/>
          <w:lang w:eastAsia="en-GB"/>
        </w:rPr>
        <w:t>, protect the approved budget and programme, and ensure that resources remain focused on delivering the agreed transport hub outcomes.</w:t>
      </w:r>
    </w:p>
    <w:p w14:paraId="7B78BDDE"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eastAsia="Times New Roman" w:hAnsi="Arial" w:cs="Arial"/>
          <w:b/>
          <w:bCs/>
          <w:kern w:val="36"/>
          <w:sz w:val="24"/>
          <w:szCs w:val="24"/>
          <w:lang w:eastAsia="en-GB"/>
        </w:rPr>
        <w:lastRenderedPageBreak/>
        <w:t>4. Work Breakdown Structure (WBS)</w:t>
      </w:r>
    </w:p>
    <w:p w14:paraId="6218DECA"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hAnsi="Arial" w:cs="Arial"/>
          <w:kern w:val="2"/>
          <w:sz w:val="24"/>
          <w:szCs w:val="24"/>
          <w14:ligatures w14:val="standardContextual"/>
        </w:rPr>
        <w:t xml:space="preserve">A Work Breakdown Structure divides the overall project into smaller and more manageable work packages </w:t>
      </w:r>
      <w:r w:rsidRPr="00765C0E">
        <w:rPr>
          <w:rFonts w:ascii="Arial" w:hAnsi="Arial" w:cs="Arial"/>
          <w:b/>
          <w:bCs/>
          <w:kern w:val="2"/>
          <w:sz w:val="24"/>
          <w:szCs w:val="24"/>
          <w14:ligatures w14:val="standardContextual"/>
        </w:rPr>
        <w:t>(Project Management Institute, 2021)</w:t>
      </w:r>
      <w:r w:rsidRPr="00765C0E">
        <w:rPr>
          <w:rFonts w:ascii="Arial" w:hAnsi="Arial" w:cs="Arial"/>
          <w:kern w:val="2"/>
          <w:sz w:val="24"/>
          <w:szCs w:val="24"/>
          <w14:ligatures w14:val="standardContextual"/>
        </w:rPr>
        <w:t>. This helps the project manager organise activities, allocate responsibilities, estimate resources and monitor project performance.</w:t>
      </w:r>
    </w:p>
    <w:p w14:paraId="6F27D002"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A Work Breakdown Structure (WBS) divides the transport hub redevelopment into smaller and more manageable parts. This makes it easier for the project manager to organise activities, allocate responsibilities, estimate resources and monitor progress. The project will be divided into six main stages.</w:t>
      </w:r>
    </w:p>
    <w:p w14:paraId="6563DAC1"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1. Project Planning and Management</w:t>
      </w:r>
      <w:r w:rsidRPr="00765C0E">
        <w:rPr>
          <w:rFonts w:ascii="Arial" w:eastAsia="Times New Roman" w:hAnsi="Arial" w:cs="Arial"/>
          <w:sz w:val="24"/>
          <w:szCs w:val="24"/>
          <w:lang w:eastAsia="en-GB"/>
        </w:rPr>
        <w:br/>
        <w:t>This stage includes setting up the project, confirming the objectives and budget, managing stakeholders, monitoring risks and controlling the overall progress of the project.</w:t>
      </w:r>
    </w:p>
    <w:p w14:paraId="42CC0C09"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2. Surveys and Design</w:t>
      </w:r>
      <w:r w:rsidRPr="00765C0E">
        <w:rPr>
          <w:rFonts w:ascii="Arial" w:eastAsia="Times New Roman" w:hAnsi="Arial" w:cs="Arial"/>
          <w:sz w:val="24"/>
          <w:szCs w:val="24"/>
          <w:lang w:eastAsia="en-GB"/>
        </w:rPr>
        <w:br/>
        <w:t>The existing transport hub will be inspected to understand its structural condition. Architects and engineers will then prepare designs covering the building, transport facilities, accessibility, sustainability and digital systems.</w:t>
      </w:r>
    </w:p>
    <w:p w14:paraId="28F67AA8"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3. Approvals and Procurement</w:t>
      </w:r>
      <w:r w:rsidRPr="00765C0E">
        <w:rPr>
          <w:rFonts w:ascii="Arial" w:eastAsia="Times New Roman" w:hAnsi="Arial" w:cs="Arial"/>
          <w:sz w:val="24"/>
          <w:szCs w:val="24"/>
          <w:lang w:eastAsia="en-GB"/>
        </w:rPr>
        <w:br/>
        <w:t>Required planning, safety and environmental approvals will be obtained before major construction begins. Contractors and suppliers will then be selected through an appropriate procurement process.</w:t>
      </w:r>
    </w:p>
    <w:p w14:paraId="12CC3A27"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4. Construction and Redevelopment</w:t>
      </w:r>
      <w:r w:rsidRPr="00765C0E">
        <w:rPr>
          <w:rFonts w:ascii="Arial" w:eastAsia="Times New Roman" w:hAnsi="Arial" w:cs="Arial"/>
          <w:sz w:val="24"/>
          <w:szCs w:val="24"/>
          <w:lang w:eastAsia="en-GB"/>
        </w:rPr>
        <w:br/>
        <w:t>This is the main delivery stage. It includes site preparation, demolition of unsafe areas, structural works, construction of passenger facilities, accessibility improvements and installation of mechanical and electrical systems.</w:t>
      </w:r>
    </w:p>
    <w:p w14:paraId="3FDFA9B5"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5. Digital and Sustainable Systems</w:t>
      </w:r>
      <w:r w:rsidRPr="00765C0E">
        <w:rPr>
          <w:rFonts w:ascii="Arial" w:eastAsia="Times New Roman" w:hAnsi="Arial" w:cs="Arial"/>
          <w:sz w:val="24"/>
          <w:szCs w:val="24"/>
          <w:lang w:eastAsia="en-GB"/>
        </w:rPr>
        <w:br/>
        <w:t>Digital technologies such as smart ticketing, real-time passenger information and passenger-flow monitoring will be installed. Sustainable features, including energy-efficient equipment and renewable-energy systems, will also be incorporated.</w:t>
      </w:r>
    </w:p>
    <w:p w14:paraId="027E5FCC"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6. Testing and Handover</w:t>
      </w:r>
      <w:r w:rsidRPr="00765C0E">
        <w:rPr>
          <w:rFonts w:ascii="Arial" w:eastAsia="Times New Roman" w:hAnsi="Arial" w:cs="Arial"/>
          <w:sz w:val="24"/>
          <w:szCs w:val="24"/>
          <w:lang w:eastAsia="en-GB"/>
        </w:rPr>
        <w:br/>
        <w:t>The completed hub and its systems will be inspected and tested to confirm that they meet the required safety, quality and operational standards. Staff will receive appropriate training before the facility is formally handed over and opened for operation.</w:t>
      </w:r>
    </w:p>
    <w:p w14:paraId="452DBCD2"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The WBS provides a clear structure for delivering the project and allows each stage to be monitored against its planned </w:t>
      </w:r>
      <w:r w:rsidRPr="00765C0E">
        <w:rPr>
          <w:rFonts w:ascii="Arial" w:eastAsia="Times New Roman" w:hAnsi="Arial" w:cs="Arial"/>
          <w:b/>
          <w:bCs/>
          <w:sz w:val="24"/>
          <w:szCs w:val="24"/>
          <w:lang w:eastAsia="en-GB"/>
        </w:rPr>
        <w:t>time, cost, quality and resource requirements</w:t>
      </w:r>
      <w:r w:rsidRPr="00765C0E">
        <w:rPr>
          <w:rFonts w:ascii="Arial" w:eastAsia="Times New Roman" w:hAnsi="Arial" w:cs="Arial"/>
          <w:sz w:val="24"/>
          <w:szCs w:val="24"/>
          <w:lang w:eastAsia="en-GB"/>
        </w:rPr>
        <w:t>.</w:t>
      </w:r>
    </w:p>
    <w:p w14:paraId="097C0F4D" w14:textId="77777777" w:rsidR="00715C17" w:rsidRDefault="00715C17" w:rsidP="00765C0E">
      <w:pPr>
        <w:spacing w:before="100" w:beforeAutospacing="1" w:after="100" w:afterAutospacing="1" w:line="240" w:lineRule="auto"/>
        <w:rPr>
          <w:rFonts w:ascii="Arial" w:eastAsia="Times New Roman" w:hAnsi="Arial" w:cs="Arial"/>
          <w:b/>
          <w:bCs/>
          <w:kern w:val="36"/>
          <w:sz w:val="24"/>
          <w:szCs w:val="24"/>
          <w:lang w:eastAsia="en-GB"/>
        </w:rPr>
      </w:pPr>
    </w:p>
    <w:p w14:paraId="49A558B8" w14:textId="77777777" w:rsidR="00715C17" w:rsidRDefault="00715C17" w:rsidP="00765C0E">
      <w:pPr>
        <w:spacing w:before="100" w:beforeAutospacing="1" w:after="100" w:afterAutospacing="1" w:line="240" w:lineRule="auto"/>
        <w:rPr>
          <w:rFonts w:ascii="Arial" w:eastAsia="Times New Roman" w:hAnsi="Arial" w:cs="Arial"/>
          <w:b/>
          <w:bCs/>
          <w:kern w:val="36"/>
          <w:sz w:val="24"/>
          <w:szCs w:val="24"/>
          <w:lang w:eastAsia="en-GB"/>
        </w:rPr>
      </w:pPr>
    </w:p>
    <w:p w14:paraId="06B1A879" w14:textId="7763C5BA"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kern w:val="36"/>
          <w:sz w:val="24"/>
          <w:szCs w:val="24"/>
          <w:lang w:eastAsia="en-GB"/>
        </w:rPr>
        <w:lastRenderedPageBreak/>
        <w:t>5. Quad Chart</w:t>
      </w:r>
    </w:p>
    <w:p w14:paraId="6898EED0"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hAnsi="Arial" w:cs="Arial"/>
          <w:kern w:val="2"/>
          <w:sz w:val="24"/>
          <w:szCs w:val="24"/>
          <w14:ligatures w14:val="standardContextual"/>
        </w:rPr>
        <w:t xml:space="preserve">The Quad Chart provides a concise overview of the project's need, aim, key objectives and measures of success. It allows important project information to be communicated clearly to stakeholders and supports a shared understanding of expected outcomes. Clear communication of project objectives and expected benefits is important for maintaining stakeholder understanding and supporting effective project governance </w:t>
      </w:r>
      <w:r w:rsidRPr="00765C0E">
        <w:rPr>
          <w:rFonts w:ascii="Arial" w:hAnsi="Arial" w:cs="Arial"/>
          <w:b/>
          <w:bCs/>
          <w:kern w:val="2"/>
          <w:sz w:val="24"/>
          <w:szCs w:val="24"/>
          <w14:ligatures w14:val="standardContextual"/>
        </w:rPr>
        <w:t>(Kerzner, 2022)</w:t>
      </w:r>
      <w:r w:rsidRPr="00765C0E">
        <w:rPr>
          <w:rFonts w:ascii="Arial" w:hAnsi="Arial" w:cs="Arial"/>
          <w:kern w:val="2"/>
          <w:sz w:val="24"/>
          <w:szCs w:val="24"/>
          <w14:ligatures w14:val="standardContextual"/>
        </w:rPr>
        <w:t>.</w:t>
      </w:r>
    </w:p>
    <w:p w14:paraId="4E0E9EFE"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Quad Chart provides a clear summary of the main purpose and expected outcomes of the transport hub redevelopment.</w:t>
      </w:r>
    </w:p>
    <w:p w14:paraId="21F652AA"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 The project is needed because the existing hub is structurally unsafe and its closure has disrupted passenger transport, freight services and local businesses. The main aim is to create a safe, accessible, sustainable and digitally enabled transport hub. Key objectives include restoring transport capacity, improving accessibility, introducing digital systems and reducing environmental impact. Project success will be measured through statutory approval, restored services, step-free access, operational digital systems, achievement of carbon targets and delivery within the agreed budget and schedule.</w:t>
      </w:r>
    </w:p>
    <w:p w14:paraId="01CDF5D0"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p>
    <w:p w14:paraId="555BECED"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p>
    <w:p w14:paraId="429D1B10"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p>
    <w:p w14:paraId="202412ED"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eastAsia="Times New Roman" w:hAnsi="Arial" w:cs="Arial"/>
          <w:b/>
          <w:bCs/>
          <w:noProof/>
          <w:kern w:val="36"/>
          <w:sz w:val="24"/>
          <w:szCs w:val="24"/>
          <w:lang w:eastAsia="en-GB"/>
        </w:rPr>
        <w:drawing>
          <wp:inline distT="0" distB="0" distL="0" distR="0" wp14:anchorId="09E3B89A" wp14:editId="002DA5A5">
            <wp:extent cx="5731510" cy="3820795"/>
            <wp:effectExtent l="0" t="0" r="2540" b="8255"/>
            <wp:docPr id="773026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26743" name=""/>
                    <pic:cNvPicPr/>
                  </pic:nvPicPr>
                  <pic:blipFill>
                    <a:blip r:embed="rId7"/>
                    <a:stretch>
                      <a:fillRect/>
                    </a:stretch>
                  </pic:blipFill>
                  <pic:spPr>
                    <a:xfrm>
                      <a:off x="0" y="0"/>
                      <a:ext cx="5731510" cy="3820795"/>
                    </a:xfrm>
                    <a:prstGeom prst="rect">
                      <a:avLst/>
                    </a:prstGeom>
                  </pic:spPr>
                </pic:pic>
              </a:graphicData>
            </a:graphic>
          </wp:inline>
        </w:drawing>
      </w:r>
    </w:p>
    <w:p w14:paraId="22F6C6F8"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p>
    <w:p w14:paraId="703BECC3"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eastAsia="Times New Roman" w:hAnsi="Arial" w:cs="Arial"/>
          <w:b/>
          <w:bCs/>
          <w:kern w:val="36"/>
          <w:sz w:val="24"/>
          <w:szCs w:val="24"/>
          <w:lang w:eastAsia="en-GB"/>
        </w:rPr>
        <w:t>6. Gantt Chart</w:t>
      </w:r>
    </w:p>
    <w:p w14:paraId="45F6D86B"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A Gantt chart provides a visual representation of the project schedule by showing the planned start, duration and completion of project activities </w:t>
      </w:r>
      <w:r w:rsidRPr="00765C0E">
        <w:rPr>
          <w:rFonts w:ascii="Arial" w:eastAsia="Times New Roman" w:hAnsi="Arial" w:cs="Arial"/>
          <w:b/>
          <w:bCs/>
          <w:sz w:val="24"/>
          <w:szCs w:val="24"/>
          <w:lang w:eastAsia="en-GB"/>
        </w:rPr>
        <w:t>(Lock, 2020)</w:t>
      </w:r>
      <w:r w:rsidRPr="00765C0E">
        <w:rPr>
          <w:rFonts w:ascii="Arial" w:eastAsia="Times New Roman" w:hAnsi="Arial" w:cs="Arial"/>
          <w:sz w:val="24"/>
          <w:szCs w:val="24"/>
          <w:lang w:eastAsia="en-GB"/>
        </w:rPr>
        <w:t>. It enables the project manager to understand the sequence of activities and monitor progress against the approved programme.</w:t>
      </w:r>
    </w:p>
    <w:p w14:paraId="29D96A26"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p>
    <w:p w14:paraId="14C9EF27"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Gantt chart presents the planned timeline for the transport hub redevelopment and shows when each major project activity will start and finish. The project is planned over a 24-month period, beginning with project initiation, surveys and design, followed by approvals, procurement and construction. The final stages include digital installation, testing, staff training and operational handover. The Gantt chart will help the project manager monitor progress, identify delays and ensure that activities are completed in the correct sequence and within the agreed schedule.</w:t>
      </w:r>
    </w:p>
    <w:p w14:paraId="21E85940"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noProof/>
          <w:sz w:val="24"/>
          <w:szCs w:val="24"/>
          <w:lang w:eastAsia="en-GB"/>
        </w:rPr>
        <w:drawing>
          <wp:inline distT="0" distB="0" distL="0" distR="0" wp14:anchorId="7238592B" wp14:editId="76C1C998">
            <wp:extent cx="5731510" cy="3145155"/>
            <wp:effectExtent l="0" t="0" r="2540" b="0"/>
            <wp:docPr id="176851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513601" name=""/>
                    <pic:cNvPicPr/>
                  </pic:nvPicPr>
                  <pic:blipFill>
                    <a:blip r:embed="rId8"/>
                    <a:stretch>
                      <a:fillRect/>
                    </a:stretch>
                  </pic:blipFill>
                  <pic:spPr>
                    <a:xfrm>
                      <a:off x="0" y="0"/>
                      <a:ext cx="5731510" cy="3145155"/>
                    </a:xfrm>
                    <a:prstGeom prst="rect">
                      <a:avLst/>
                    </a:prstGeom>
                  </pic:spPr>
                </pic:pic>
              </a:graphicData>
            </a:graphic>
          </wp:inline>
        </w:drawing>
      </w:r>
    </w:p>
    <w:p w14:paraId="69B4BAEC" w14:textId="77777777" w:rsidR="00765C0E" w:rsidRPr="00765C0E" w:rsidRDefault="00765C0E" w:rsidP="00765C0E">
      <w:pPr>
        <w:spacing w:after="0" w:line="240" w:lineRule="auto"/>
        <w:rPr>
          <w:rFonts w:ascii="Arial" w:eastAsia="Times New Roman" w:hAnsi="Arial" w:cs="Arial"/>
          <w:sz w:val="24"/>
          <w:szCs w:val="24"/>
          <w:lang w:eastAsia="en-GB"/>
        </w:rPr>
      </w:pPr>
    </w:p>
    <w:p w14:paraId="5573E54C" w14:textId="77777777" w:rsidR="00765C0E" w:rsidRPr="00765C0E" w:rsidRDefault="00765C0E" w:rsidP="00765C0E">
      <w:pPr>
        <w:spacing w:after="0" w:line="240" w:lineRule="auto"/>
        <w:rPr>
          <w:rFonts w:ascii="Arial" w:eastAsia="Times New Roman" w:hAnsi="Arial" w:cs="Arial"/>
          <w:sz w:val="24"/>
          <w:szCs w:val="24"/>
          <w:lang w:eastAsia="en-GB"/>
        </w:rPr>
      </w:pPr>
    </w:p>
    <w:p w14:paraId="5A306E39" w14:textId="77777777" w:rsidR="00765C0E" w:rsidRPr="00765C0E" w:rsidRDefault="00765C0E" w:rsidP="00765C0E">
      <w:pPr>
        <w:spacing w:after="0" w:line="240" w:lineRule="auto"/>
        <w:rPr>
          <w:rFonts w:ascii="Arial" w:eastAsia="Times New Roman" w:hAnsi="Arial" w:cs="Arial"/>
          <w:sz w:val="24"/>
          <w:szCs w:val="24"/>
          <w:lang w:eastAsia="en-GB"/>
        </w:rPr>
      </w:pPr>
    </w:p>
    <w:p w14:paraId="0F0163D7" w14:textId="77777777" w:rsidR="00765C0E" w:rsidRPr="00765C0E" w:rsidRDefault="00765C0E" w:rsidP="00765C0E">
      <w:pPr>
        <w:spacing w:after="0" w:line="240" w:lineRule="auto"/>
        <w:rPr>
          <w:rFonts w:ascii="Arial" w:eastAsia="Times New Roman" w:hAnsi="Arial" w:cs="Arial"/>
          <w:sz w:val="24"/>
          <w:szCs w:val="24"/>
          <w:lang w:eastAsia="en-GB"/>
        </w:rPr>
      </w:pPr>
    </w:p>
    <w:p w14:paraId="435FEE7F" w14:textId="77777777" w:rsidR="00765C0E" w:rsidRPr="00765C0E" w:rsidRDefault="00765C0E" w:rsidP="00765C0E">
      <w:pPr>
        <w:spacing w:after="0" w:line="240" w:lineRule="auto"/>
        <w:rPr>
          <w:rFonts w:ascii="Arial" w:eastAsia="Times New Roman" w:hAnsi="Arial" w:cs="Arial"/>
          <w:sz w:val="24"/>
          <w:szCs w:val="24"/>
          <w:lang w:eastAsia="en-GB"/>
        </w:rPr>
      </w:pPr>
    </w:p>
    <w:p w14:paraId="524D4B3D" w14:textId="77777777" w:rsidR="00765C0E" w:rsidRPr="00765C0E" w:rsidRDefault="00765C0E" w:rsidP="00765C0E">
      <w:pPr>
        <w:spacing w:after="0" w:line="240" w:lineRule="auto"/>
        <w:rPr>
          <w:rFonts w:ascii="Arial" w:eastAsia="Times New Roman" w:hAnsi="Arial" w:cs="Arial"/>
          <w:sz w:val="24"/>
          <w:szCs w:val="24"/>
          <w:lang w:eastAsia="en-GB"/>
        </w:rPr>
      </w:pPr>
    </w:p>
    <w:p w14:paraId="7A4C3979" w14:textId="77777777" w:rsidR="00765C0E" w:rsidRPr="00765C0E" w:rsidRDefault="00765C0E" w:rsidP="00765C0E">
      <w:pPr>
        <w:spacing w:after="0" w:line="240" w:lineRule="auto"/>
        <w:rPr>
          <w:rFonts w:ascii="Arial" w:eastAsia="Times New Roman" w:hAnsi="Arial" w:cs="Arial"/>
          <w:sz w:val="24"/>
          <w:szCs w:val="24"/>
          <w:lang w:eastAsia="en-GB"/>
        </w:rPr>
      </w:pPr>
    </w:p>
    <w:p w14:paraId="5945E0C0" w14:textId="77777777" w:rsidR="00765C0E" w:rsidRPr="00765C0E" w:rsidRDefault="00765C0E" w:rsidP="00765C0E">
      <w:pPr>
        <w:spacing w:after="0" w:line="240" w:lineRule="auto"/>
        <w:rPr>
          <w:rFonts w:ascii="Arial" w:eastAsia="Times New Roman" w:hAnsi="Arial" w:cs="Arial"/>
          <w:sz w:val="24"/>
          <w:szCs w:val="24"/>
          <w:lang w:eastAsia="en-GB"/>
        </w:rPr>
      </w:pPr>
    </w:p>
    <w:p w14:paraId="68CC0116" w14:textId="77777777" w:rsidR="00765C0E" w:rsidRPr="00765C0E" w:rsidRDefault="00765C0E" w:rsidP="00765C0E">
      <w:pPr>
        <w:spacing w:after="0" w:line="240" w:lineRule="auto"/>
        <w:rPr>
          <w:rFonts w:ascii="Arial" w:eastAsia="Times New Roman" w:hAnsi="Arial" w:cs="Arial"/>
          <w:sz w:val="24"/>
          <w:szCs w:val="24"/>
          <w:lang w:eastAsia="en-GB"/>
        </w:rPr>
      </w:pPr>
    </w:p>
    <w:p w14:paraId="755292F0" w14:textId="77777777" w:rsidR="00765C0E" w:rsidRPr="00765C0E" w:rsidRDefault="00765C0E" w:rsidP="00765C0E">
      <w:pPr>
        <w:spacing w:after="0" w:line="240" w:lineRule="auto"/>
        <w:rPr>
          <w:rFonts w:ascii="Arial" w:eastAsia="Times New Roman" w:hAnsi="Arial" w:cs="Arial"/>
          <w:sz w:val="24"/>
          <w:szCs w:val="24"/>
          <w:lang w:eastAsia="en-GB"/>
        </w:rPr>
      </w:pPr>
    </w:p>
    <w:p w14:paraId="7BDBFB3E" w14:textId="77777777" w:rsidR="00765C0E" w:rsidRPr="00765C0E" w:rsidRDefault="00765C0E" w:rsidP="00765C0E">
      <w:pPr>
        <w:spacing w:before="100" w:beforeAutospacing="1" w:after="100" w:afterAutospacing="1" w:line="240" w:lineRule="auto"/>
        <w:outlineLvl w:val="0"/>
        <w:rPr>
          <w:rFonts w:ascii="Arial" w:eastAsia="Times New Roman" w:hAnsi="Arial" w:cs="Arial"/>
          <w:sz w:val="24"/>
          <w:szCs w:val="24"/>
          <w:lang w:eastAsia="en-GB"/>
        </w:rPr>
      </w:pPr>
    </w:p>
    <w:p w14:paraId="414275AE"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eastAsia="Times New Roman" w:hAnsi="Arial" w:cs="Arial"/>
          <w:b/>
          <w:bCs/>
          <w:kern w:val="36"/>
          <w:sz w:val="24"/>
          <w:szCs w:val="24"/>
          <w:lang w:eastAsia="en-GB"/>
        </w:rPr>
        <w:lastRenderedPageBreak/>
        <w:t>7. Stakeholder Involvement</w:t>
      </w:r>
    </w:p>
    <w:p w14:paraId="2DA96D4D"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Stakeholders are individuals, organisations or groups that can influence a project or may be affected by its outcomes. Effective stakeholder management is particularly important in major infrastructure projects because different stakeholder groups may have different expectations and levels of influence </w:t>
      </w:r>
      <w:r w:rsidRPr="00765C0E">
        <w:rPr>
          <w:rFonts w:ascii="Arial" w:eastAsia="Times New Roman" w:hAnsi="Arial" w:cs="Arial"/>
          <w:b/>
          <w:bCs/>
          <w:sz w:val="24"/>
          <w:szCs w:val="24"/>
          <w:lang w:eastAsia="en-GB"/>
        </w:rPr>
        <w:t>(Olander, 2007)</w:t>
      </w:r>
    </w:p>
    <w:p w14:paraId="57D2FBB0"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main stakeholders in the transport hub redevelopment include the local authority and project sponsor, passengers, accessibility groups, rail and bus operators, freight companies, contractors, engineers, regulators, emergency services, local businesses and residents. Their involvement will help ensure that the project considers safety, accessibility, transport operations and community needs.</w:t>
      </w:r>
    </w:p>
    <w:p w14:paraId="540E6B2C"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A </w:t>
      </w:r>
      <w:r w:rsidRPr="00765C0E">
        <w:rPr>
          <w:rFonts w:ascii="Arial" w:eastAsia="Times New Roman" w:hAnsi="Arial" w:cs="Arial"/>
          <w:b/>
          <w:bCs/>
          <w:sz w:val="24"/>
          <w:szCs w:val="24"/>
          <w:lang w:eastAsia="en-GB"/>
        </w:rPr>
        <w:t>Power–Interest Matrix</w:t>
      </w:r>
      <w:r w:rsidRPr="00765C0E">
        <w:rPr>
          <w:rFonts w:ascii="Arial" w:eastAsia="Times New Roman" w:hAnsi="Arial" w:cs="Arial"/>
          <w:sz w:val="24"/>
          <w:szCs w:val="24"/>
          <w:lang w:eastAsia="en-GB"/>
        </w:rPr>
        <w:t xml:space="preserve"> will be used to identify how stakeholders should be managed. High-power and high-interest stakeholders, such as the project sponsor, local authority and transport operators, will be managed closely. Passengers, residents and local businesses will be kept informed through consultations and regular project updates. Effective communication and stakeholder engagement will help reduce conflict, support decision-making and improve the successful delivery of the project.</w:t>
      </w:r>
    </w:p>
    <w:p w14:paraId="483267D4"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p>
    <w:p w14:paraId="50C5F89F"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p>
    <w:p w14:paraId="55DFC5F9"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noProof/>
          <w:sz w:val="24"/>
          <w:szCs w:val="24"/>
          <w:lang w:eastAsia="en-GB"/>
        </w:rPr>
        <w:drawing>
          <wp:inline distT="0" distB="0" distL="0" distR="0" wp14:anchorId="035FC7EE" wp14:editId="0C85A4BF">
            <wp:extent cx="5731510" cy="3820795"/>
            <wp:effectExtent l="0" t="0" r="2540" b="8255"/>
            <wp:docPr id="951955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55883" name=""/>
                    <pic:cNvPicPr/>
                  </pic:nvPicPr>
                  <pic:blipFill>
                    <a:blip r:embed="rId9"/>
                    <a:stretch>
                      <a:fillRect/>
                    </a:stretch>
                  </pic:blipFill>
                  <pic:spPr>
                    <a:xfrm>
                      <a:off x="0" y="0"/>
                      <a:ext cx="5731510" cy="3820795"/>
                    </a:xfrm>
                    <a:prstGeom prst="rect">
                      <a:avLst/>
                    </a:prstGeom>
                  </pic:spPr>
                </pic:pic>
              </a:graphicData>
            </a:graphic>
          </wp:inline>
        </w:drawing>
      </w:r>
    </w:p>
    <w:p w14:paraId="04BAD5F9" w14:textId="77777777" w:rsidR="00765C0E" w:rsidRPr="00765C0E" w:rsidRDefault="00765C0E" w:rsidP="00765C0E">
      <w:pPr>
        <w:spacing w:after="0" w:line="240" w:lineRule="auto"/>
        <w:rPr>
          <w:rFonts w:ascii="Arial" w:eastAsia="Times New Roman" w:hAnsi="Arial" w:cs="Arial"/>
          <w:sz w:val="24"/>
          <w:szCs w:val="24"/>
          <w:lang w:eastAsia="en-GB"/>
        </w:rPr>
      </w:pPr>
    </w:p>
    <w:p w14:paraId="0EAF763F" w14:textId="77777777" w:rsidR="00765C0E" w:rsidRPr="00765C0E" w:rsidRDefault="00765C0E" w:rsidP="00765C0E">
      <w:pPr>
        <w:spacing w:after="0" w:line="240" w:lineRule="auto"/>
        <w:rPr>
          <w:rFonts w:ascii="Arial" w:eastAsia="Times New Roman" w:hAnsi="Arial" w:cs="Arial"/>
          <w:sz w:val="24"/>
          <w:szCs w:val="24"/>
          <w:lang w:eastAsia="en-GB"/>
        </w:rPr>
      </w:pPr>
    </w:p>
    <w:p w14:paraId="7C57F89E"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p>
    <w:p w14:paraId="55E9CC45"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eastAsia="Times New Roman" w:hAnsi="Arial" w:cs="Arial"/>
          <w:b/>
          <w:bCs/>
          <w:kern w:val="36"/>
          <w:sz w:val="24"/>
          <w:szCs w:val="24"/>
          <w:lang w:eastAsia="en-GB"/>
        </w:rPr>
        <w:t>8. Allocation of Resources</w:t>
      </w:r>
    </w:p>
    <w:p w14:paraId="054E4B1C"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Effective resource management ensures that appropriate people, equipment, materials and financial resources are available when required </w:t>
      </w:r>
      <w:r w:rsidRPr="00765C0E">
        <w:rPr>
          <w:rFonts w:ascii="Arial" w:eastAsia="Times New Roman" w:hAnsi="Arial" w:cs="Arial"/>
          <w:b/>
          <w:bCs/>
          <w:sz w:val="24"/>
          <w:szCs w:val="24"/>
          <w:lang w:eastAsia="en-GB"/>
        </w:rPr>
        <w:t>(Meredith, Shafer and Mantel, 2017)</w:t>
      </w:r>
      <w:r w:rsidRPr="00765C0E">
        <w:rPr>
          <w:rFonts w:ascii="Arial" w:eastAsia="Times New Roman" w:hAnsi="Arial" w:cs="Arial"/>
          <w:sz w:val="24"/>
          <w:szCs w:val="24"/>
          <w:lang w:eastAsia="en-GB"/>
        </w:rPr>
        <w:t>. Resources must therefore be allocated according to project activities, priorities and schedule requirements.</w:t>
      </w:r>
    </w:p>
    <w:p w14:paraId="27A4350F"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Human resources</w:t>
      </w:r>
    </w:p>
    <w:p w14:paraId="619449A7"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Project manager</w:t>
      </w:r>
    </w:p>
    <w:p w14:paraId="10DA7745"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Project coordinator</w:t>
      </w:r>
    </w:p>
    <w:p w14:paraId="281E3F40"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Quantity surveyor</w:t>
      </w:r>
    </w:p>
    <w:p w14:paraId="2B6D4208"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Architects</w:t>
      </w:r>
    </w:p>
    <w:p w14:paraId="198B0733"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Structural engineers</w:t>
      </w:r>
    </w:p>
    <w:p w14:paraId="059FDE49"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Civil engineers</w:t>
      </w:r>
    </w:p>
    <w:p w14:paraId="611F572E"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M&amp;E engineers</w:t>
      </w:r>
    </w:p>
    <w:p w14:paraId="0A60768D"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Health and safety specialists</w:t>
      </w:r>
    </w:p>
    <w:p w14:paraId="31B0B5D9"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Environmental specialists</w:t>
      </w:r>
    </w:p>
    <w:p w14:paraId="633D0944"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Digital/IT specialists</w:t>
      </w:r>
    </w:p>
    <w:p w14:paraId="379961D3"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Procurement specialists</w:t>
      </w:r>
    </w:p>
    <w:p w14:paraId="124AB99E"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Construction workforce</w:t>
      </w:r>
    </w:p>
    <w:p w14:paraId="57BF8D55" w14:textId="77777777" w:rsidR="00765C0E" w:rsidRPr="00765C0E" w:rsidRDefault="00765C0E" w:rsidP="00765C0E">
      <w:pPr>
        <w:numPr>
          <w:ilvl w:val="0"/>
          <w:numId w:val="1"/>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Testing and commissioning team</w:t>
      </w:r>
    </w:p>
    <w:p w14:paraId="6A9DD2CA" w14:textId="77777777" w:rsidR="00765C0E" w:rsidRPr="00765C0E" w:rsidRDefault="00765C0E" w:rsidP="00765C0E">
      <w:pPr>
        <w:spacing w:before="100" w:beforeAutospacing="1" w:after="100" w:afterAutospacing="1" w:line="240" w:lineRule="auto"/>
        <w:outlineLvl w:val="2"/>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Physical resources</w:t>
      </w:r>
    </w:p>
    <w:p w14:paraId="43AC7237" w14:textId="77777777" w:rsidR="00765C0E" w:rsidRPr="00765C0E" w:rsidRDefault="00765C0E" w:rsidP="00765C0E">
      <w:pPr>
        <w:numPr>
          <w:ilvl w:val="0"/>
          <w:numId w:val="2"/>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Construction plant and equipment</w:t>
      </w:r>
    </w:p>
    <w:p w14:paraId="49A671DC" w14:textId="77777777" w:rsidR="00765C0E" w:rsidRPr="00765C0E" w:rsidRDefault="00765C0E" w:rsidP="00765C0E">
      <w:pPr>
        <w:numPr>
          <w:ilvl w:val="0"/>
          <w:numId w:val="2"/>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Building materials</w:t>
      </w:r>
    </w:p>
    <w:p w14:paraId="116AE283" w14:textId="77777777" w:rsidR="00765C0E" w:rsidRPr="00765C0E" w:rsidRDefault="00765C0E" w:rsidP="00765C0E">
      <w:pPr>
        <w:numPr>
          <w:ilvl w:val="0"/>
          <w:numId w:val="2"/>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Temporary passenger facilities</w:t>
      </w:r>
    </w:p>
    <w:p w14:paraId="4C806A0C" w14:textId="77777777" w:rsidR="00765C0E" w:rsidRPr="00765C0E" w:rsidRDefault="00765C0E" w:rsidP="00765C0E">
      <w:pPr>
        <w:numPr>
          <w:ilvl w:val="0"/>
          <w:numId w:val="2"/>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Safety equipment</w:t>
      </w:r>
    </w:p>
    <w:p w14:paraId="75711982" w14:textId="77777777" w:rsidR="00765C0E" w:rsidRPr="00765C0E" w:rsidRDefault="00765C0E" w:rsidP="00765C0E">
      <w:pPr>
        <w:numPr>
          <w:ilvl w:val="0"/>
          <w:numId w:val="2"/>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IT and communication infrastructure</w:t>
      </w:r>
    </w:p>
    <w:p w14:paraId="0EEC978D" w14:textId="77777777" w:rsidR="00765C0E" w:rsidRPr="00765C0E" w:rsidRDefault="00765C0E" w:rsidP="00765C0E">
      <w:pPr>
        <w:numPr>
          <w:ilvl w:val="0"/>
          <w:numId w:val="2"/>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Surveying equipment</w:t>
      </w:r>
    </w:p>
    <w:p w14:paraId="257EB180" w14:textId="77777777" w:rsidR="00765C0E" w:rsidRPr="00765C0E" w:rsidRDefault="00765C0E" w:rsidP="00765C0E">
      <w:pPr>
        <w:spacing w:before="100" w:beforeAutospacing="1" w:after="100" w:afterAutospacing="1" w:line="240" w:lineRule="auto"/>
        <w:outlineLvl w:val="2"/>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Financial resources</w:t>
      </w:r>
    </w:p>
    <w:p w14:paraId="086C3499"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project budget should be divided between:</w:t>
      </w:r>
    </w:p>
    <w:p w14:paraId="3A2A94CB" w14:textId="77777777" w:rsidR="00765C0E" w:rsidRPr="00765C0E" w:rsidRDefault="00765C0E" w:rsidP="00765C0E">
      <w:pPr>
        <w:numPr>
          <w:ilvl w:val="0"/>
          <w:numId w:val="3"/>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Design and consultancy</w:t>
      </w:r>
    </w:p>
    <w:p w14:paraId="0E9B06F7" w14:textId="77777777" w:rsidR="00765C0E" w:rsidRPr="00765C0E" w:rsidRDefault="00765C0E" w:rsidP="00765C0E">
      <w:pPr>
        <w:numPr>
          <w:ilvl w:val="0"/>
          <w:numId w:val="3"/>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Construction</w:t>
      </w:r>
    </w:p>
    <w:p w14:paraId="6C66F5B0" w14:textId="77777777" w:rsidR="00765C0E" w:rsidRPr="00765C0E" w:rsidRDefault="00765C0E" w:rsidP="00765C0E">
      <w:pPr>
        <w:numPr>
          <w:ilvl w:val="0"/>
          <w:numId w:val="3"/>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Digital infrastructure</w:t>
      </w:r>
    </w:p>
    <w:p w14:paraId="44EC5779" w14:textId="77777777" w:rsidR="00765C0E" w:rsidRPr="00765C0E" w:rsidRDefault="00765C0E" w:rsidP="00765C0E">
      <w:pPr>
        <w:numPr>
          <w:ilvl w:val="0"/>
          <w:numId w:val="3"/>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Sustainability measures</w:t>
      </w:r>
    </w:p>
    <w:p w14:paraId="39E4A495" w14:textId="77777777" w:rsidR="00765C0E" w:rsidRPr="00765C0E" w:rsidRDefault="00765C0E" w:rsidP="00765C0E">
      <w:pPr>
        <w:numPr>
          <w:ilvl w:val="0"/>
          <w:numId w:val="3"/>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Temporary transport arrangements</w:t>
      </w:r>
    </w:p>
    <w:p w14:paraId="138AC9FD" w14:textId="77777777" w:rsidR="00765C0E" w:rsidRPr="00765C0E" w:rsidRDefault="00765C0E" w:rsidP="00765C0E">
      <w:pPr>
        <w:numPr>
          <w:ilvl w:val="0"/>
          <w:numId w:val="3"/>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Risk contingency</w:t>
      </w:r>
    </w:p>
    <w:p w14:paraId="4E73AAED" w14:textId="77777777" w:rsidR="00765C0E" w:rsidRPr="00765C0E" w:rsidRDefault="00765C0E" w:rsidP="00765C0E">
      <w:pPr>
        <w:numPr>
          <w:ilvl w:val="0"/>
          <w:numId w:val="3"/>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Testing and commissioning</w:t>
      </w:r>
    </w:p>
    <w:p w14:paraId="467132E5"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A formal </w:t>
      </w:r>
      <w:r w:rsidRPr="00765C0E">
        <w:rPr>
          <w:rFonts w:ascii="Arial" w:eastAsia="Times New Roman" w:hAnsi="Arial" w:cs="Arial"/>
          <w:b/>
          <w:bCs/>
          <w:sz w:val="24"/>
          <w:szCs w:val="24"/>
          <w:lang w:eastAsia="en-GB"/>
        </w:rPr>
        <w:t>cost baseline and contingency allowance</w:t>
      </w:r>
      <w:r w:rsidRPr="00765C0E">
        <w:rPr>
          <w:rFonts w:ascii="Arial" w:eastAsia="Times New Roman" w:hAnsi="Arial" w:cs="Arial"/>
          <w:sz w:val="24"/>
          <w:szCs w:val="24"/>
          <w:lang w:eastAsia="en-GB"/>
        </w:rPr>
        <w:t xml:space="preserve"> should be maintained by the project manager and quantity surveyor.</w:t>
      </w:r>
    </w:p>
    <w:p w14:paraId="7FBA4B23" w14:textId="77777777" w:rsidR="00765C0E" w:rsidRPr="00765C0E" w:rsidRDefault="00765C0E" w:rsidP="00765C0E">
      <w:pPr>
        <w:spacing w:after="0" w:line="240" w:lineRule="auto"/>
        <w:rPr>
          <w:rFonts w:ascii="Arial" w:eastAsia="Times New Roman" w:hAnsi="Arial" w:cs="Arial"/>
          <w:sz w:val="24"/>
          <w:szCs w:val="24"/>
          <w:lang w:eastAsia="en-GB"/>
        </w:rPr>
      </w:pPr>
    </w:p>
    <w:p w14:paraId="28E176A7"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eastAsia="Times New Roman" w:hAnsi="Arial" w:cs="Arial"/>
          <w:b/>
          <w:bCs/>
          <w:kern w:val="36"/>
          <w:sz w:val="24"/>
          <w:szCs w:val="24"/>
          <w:lang w:eastAsia="en-GB"/>
        </w:rPr>
        <w:lastRenderedPageBreak/>
        <w:t>9. Risk Analys</w:t>
      </w:r>
    </w:p>
    <w:p w14:paraId="6C919EBC"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Risk management involves identifying, assessing and responding to uncertain events that may influence the achievement of project objectives </w:t>
      </w:r>
      <w:r w:rsidRPr="00765C0E">
        <w:rPr>
          <w:rFonts w:ascii="Arial" w:eastAsia="Times New Roman" w:hAnsi="Arial" w:cs="Arial"/>
          <w:b/>
          <w:bCs/>
          <w:sz w:val="24"/>
          <w:szCs w:val="24"/>
          <w:lang w:eastAsia="en-GB"/>
        </w:rPr>
        <w:t>(Ward and Chapman, 2003)</w:t>
      </w:r>
      <w:r w:rsidRPr="00765C0E">
        <w:rPr>
          <w:rFonts w:ascii="Arial" w:eastAsia="Times New Roman" w:hAnsi="Arial" w:cs="Arial"/>
          <w:sz w:val="24"/>
          <w:szCs w:val="24"/>
          <w:lang w:eastAsia="en-GB"/>
        </w:rPr>
        <w:t>. Risks should be evaluated according to their likelihood and potential impact on project cost, schedule, quality and safety.</w:t>
      </w:r>
    </w:p>
    <w:p w14:paraId="298389BC"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p>
    <w:p w14:paraId="3647B974"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Risk analysis is an important part of project management because it identifies potential problems that could affect the successful delivery of the project. Each risk should be assessed according to its </w:t>
      </w:r>
      <w:r w:rsidRPr="00765C0E">
        <w:rPr>
          <w:rFonts w:ascii="Arial" w:eastAsia="Times New Roman" w:hAnsi="Arial" w:cs="Arial"/>
          <w:b/>
          <w:bCs/>
          <w:sz w:val="24"/>
          <w:szCs w:val="24"/>
          <w:lang w:eastAsia="en-GB"/>
        </w:rPr>
        <w:t>likelihood of occurring and the level of impact</w:t>
      </w:r>
      <w:r w:rsidRPr="00765C0E">
        <w:rPr>
          <w:rFonts w:ascii="Arial" w:eastAsia="Times New Roman" w:hAnsi="Arial" w:cs="Arial"/>
          <w:sz w:val="24"/>
          <w:szCs w:val="24"/>
          <w:lang w:eastAsia="en-GB"/>
        </w:rPr>
        <w:t xml:space="preserve"> it could have on project time, cost, quality and safety. Appropriate mitigation measures can then be introduced to reduce the likelihood or impact of the risk.</w:t>
      </w:r>
    </w:p>
    <w:p w14:paraId="78A26DE8"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b/>
          <w:bCs/>
          <w:sz w:val="24"/>
          <w:szCs w:val="24"/>
          <w:lang w:eastAsia="en-GB"/>
        </w:rPr>
        <w:t>Risk → Likelihood → Impact → Overall rating → Mitigation → Contingency → Owner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9"/>
        <w:gridCol w:w="1260"/>
        <w:gridCol w:w="914"/>
        <w:gridCol w:w="1920"/>
        <w:gridCol w:w="2783"/>
      </w:tblGrid>
      <w:tr w:rsidR="00765C0E" w:rsidRPr="00765C0E" w14:paraId="7633F1BC" w14:textId="77777777" w:rsidTr="00F779E4">
        <w:trPr>
          <w:tblHeader/>
          <w:tblCellSpacing w:w="15" w:type="dxa"/>
        </w:trPr>
        <w:tc>
          <w:tcPr>
            <w:tcW w:w="0" w:type="auto"/>
            <w:vAlign w:val="center"/>
            <w:hideMark/>
          </w:tcPr>
          <w:p w14:paraId="0A5F4429" w14:textId="77777777" w:rsidR="00765C0E" w:rsidRPr="00765C0E" w:rsidRDefault="00765C0E" w:rsidP="00765C0E">
            <w:pPr>
              <w:spacing w:after="0" w:line="240" w:lineRule="auto"/>
              <w:jc w:val="center"/>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Risk</w:t>
            </w:r>
          </w:p>
        </w:tc>
        <w:tc>
          <w:tcPr>
            <w:tcW w:w="0" w:type="auto"/>
            <w:vAlign w:val="center"/>
            <w:hideMark/>
          </w:tcPr>
          <w:p w14:paraId="03C69B83" w14:textId="77777777" w:rsidR="00765C0E" w:rsidRPr="00765C0E" w:rsidRDefault="00765C0E" w:rsidP="00765C0E">
            <w:pPr>
              <w:spacing w:after="0" w:line="240" w:lineRule="auto"/>
              <w:jc w:val="center"/>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Likelihood</w:t>
            </w:r>
          </w:p>
        </w:tc>
        <w:tc>
          <w:tcPr>
            <w:tcW w:w="0" w:type="auto"/>
            <w:vAlign w:val="center"/>
            <w:hideMark/>
          </w:tcPr>
          <w:p w14:paraId="7548900F" w14:textId="77777777" w:rsidR="00765C0E" w:rsidRPr="00765C0E" w:rsidRDefault="00765C0E" w:rsidP="00765C0E">
            <w:pPr>
              <w:spacing w:after="0" w:line="240" w:lineRule="auto"/>
              <w:jc w:val="center"/>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Impact</w:t>
            </w:r>
          </w:p>
        </w:tc>
        <w:tc>
          <w:tcPr>
            <w:tcW w:w="0" w:type="auto"/>
            <w:vAlign w:val="center"/>
            <w:hideMark/>
          </w:tcPr>
          <w:p w14:paraId="7BCB7460" w14:textId="77777777" w:rsidR="00765C0E" w:rsidRPr="00765C0E" w:rsidRDefault="00765C0E" w:rsidP="00765C0E">
            <w:pPr>
              <w:spacing w:after="0" w:line="240" w:lineRule="auto"/>
              <w:jc w:val="center"/>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Mitigation</w:t>
            </w:r>
          </w:p>
        </w:tc>
        <w:tc>
          <w:tcPr>
            <w:tcW w:w="0" w:type="auto"/>
            <w:vAlign w:val="center"/>
            <w:hideMark/>
          </w:tcPr>
          <w:p w14:paraId="473C7A7D" w14:textId="77777777" w:rsidR="00765C0E" w:rsidRPr="00765C0E" w:rsidRDefault="00765C0E" w:rsidP="00765C0E">
            <w:pPr>
              <w:spacing w:after="0" w:line="240" w:lineRule="auto"/>
              <w:jc w:val="center"/>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Contingency</w:t>
            </w:r>
          </w:p>
        </w:tc>
      </w:tr>
      <w:tr w:rsidR="00765C0E" w:rsidRPr="00765C0E" w14:paraId="63A361DB" w14:textId="77777777" w:rsidTr="00F779E4">
        <w:trPr>
          <w:tblCellSpacing w:w="15" w:type="dxa"/>
        </w:trPr>
        <w:tc>
          <w:tcPr>
            <w:tcW w:w="0" w:type="auto"/>
            <w:vAlign w:val="center"/>
            <w:hideMark/>
          </w:tcPr>
          <w:p w14:paraId="41CDC1D1"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Unexpected structural defects</w:t>
            </w:r>
          </w:p>
        </w:tc>
        <w:tc>
          <w:tcPr>
            <w:tcW w:w="0" w:type="auto"/>
            <w:vAlign w:val="center"/>
            <w:hideMark/>
          </w:tcPr>
          <w:p w14:paraId="0D9146F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195C5BFB"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07417564"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Detailed surveys before construction</w:t>
            </w:r>
          </w:p>
        </w:tc>
        <w:tc>
          <w:tcPr>
            <w:tcW w:w="0" w:type="auto"/>
            <w:vAlign w:val="center"/>
            <w:hideMark/>
          </w:tcPr>
          <w:p w14:paraId="7541428F"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Controlled contingency and redesign allowance</w:t>
            </w:r>
          </w:p>
        </w:tc>
      </w:tr>
      <w:tr w:rsidR="00765C0E" w:rsidRPr="00765C0E" w14:paraId="2F8B63C0" w14:textId="77777777" w:rsidTr="00F779E4">
        <w:trPr>
          <w:tblCellSpacing w:w="15" w:type="dxa"/>
        </w:trPr>
        <w:tc>
          <w:tcPr>
            <w:tcW w:w="0" w:type="auto"/>
            <w:vAlign w:val="center"/>
            <w:hideMark/>
          </w:tcPr>
          <w:p w14:paraId="0DEDFCC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Construction cost inflation</w:t>
            </w:r>
          </w:p>
        </w:tc>
        <w:tc>
          <w:tcPr>
            <w:tcW w:w="0" w:type="auto"/>
            <w:vAlign w:val="center"/>
            <w:hideMark/>
          </w:tcPr>
          <w:p w14:paraId="7E073F8C"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771DD53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4E89ACD2"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Early cost planning and procurement</w:t>
            </w:r>
          </w:p>
        </w:tc>
        <w:tc>
          <w:tcPr>
            <w:tcW w:w="0" w:type="auto"/>
            <w:vAlign w:val="center"/>
            <w:hideMark/>
          </w:tcPr>
          <w:p w14:paraId="12B7C849"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Management reserve/change control</w:t>
            </w:r>
          </w:p>
        </w:tc>
      </w:tr>
      <w:tr w:rsidR="00765C0E" w:rsidRPr="00765C0E" w14:paraId="1659951D" w14:textId="77777777" w:rsidTr="00F779E4">
        <w:trPr>
          <w:tblCellSpacing w:w="15" w:type="dxa"/>
        </w:trPr>
        <w:tc>
          <w:tcPr>
            <w:tcW w:w="0" w:type="auto"/>
            <w:vAlign w:val="center"/>
            <w:hideMark/>
          </w:tcPr>
          <w:p w14:paraId="117E7E51"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Programme delay</w:t>
            </w:r>
          </w:p>
        </w:tc>
        <w:tc>
          <w:tcPr>
            <w:tcW w:w="0" w:type="auto"/>
            <w:vAlign w:val="center"/>
            <w:hideMark/>
          </w:tcPr>
          <w:p w14:paraId="3CC09A6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43F13FDC"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192BA2DB"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Critical-path monitoring</w:t>
            </w:r>
          </w:p>
        </w:tc>
        <w:tc>
          <w:tcPr>
            <w:tcW w:w="0" w:type="auto"/>
            <w:vAlign w:val="center"/>
            <w:hideMark/>
          </w:tcPr>
          <w:p w14:paraId="3A136D6C"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Schedule contingency</w:t>
            </w:r>
          </w:p>
        </w:tc>
      </w:tr>
      <w:tr w:rsidR="00765C0E" w:rsidRPr="00765C0E" w14:paraId="591C7161" w14:textId="77777777" w:rsidTr="00F779E4">
        <w:trPr>
          <w:tblCellSpacing w:w="15" w:type="dxa"/>
        </w:trPr>
        <w:tc>
          <w:tcPr>
            <w:tcW w:w="0" w:type="auto"/>
            <w:vAlign w:val="center"/>
            <w:hideMark/>
          </w:tcPr>
          <w:p w14:paraId="05BA3AF4"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Planning approval delay</w:t>
            </w:r>
          </w:p>
        </w:tc>
        <w:tc>
          <w:tcPr>
            <w:tcW w:w="0" w:type="auto"/>
            <w:vAlign w:val="center"/>
            <w:hideMark/>
          </w:tcPr>
          <w:p w14:paraId="547445B5"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0BA30AE5"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08E5BA61"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Early engagement with authorities</w:t>
            </w:r>
          </w:p>
        </w:tc>
        <w:tc>
          <w:tcPr>
            <w:tcW w:w="0" w:type="auto"/>
            <w:vAlign w:val="center"/>
            <w:hideMark/>
          </w:tcPr>
          <w:p w14:paraId="702BBDC7"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Adjust programme sequencing</w:t>
            </w:r>
          </w:p>
        </w:tc>
      </w:tr>
      <w:tr w:rsidR="00765C0E" w:rsidRPr="00765C0E" w14:paraId="78FBF2DE" w14:textId="77777777" w:rsidTr="00F779E4">
        <w:trPr>
          <w:tblCellSpacing w:w="15" w:type="dxa"/>
        </w:trPr>
        <w:tc>
          <w:tcPr>
            <w:tcW w:w="0" w:type="auto"/>
            <w:vAlign w:val="center"/>
            <w:hideMark/>
          </w:tcPr>
          <w:p w14:paraId="33367A45"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Contractor underperformance</w:t>
            </w:r>
          </w:p>
        </w:tc>
        <w:tc>
          <w:tcPr>
            <w:tcW w:w="0" w:type="auto"/>
            <w:vAlign w:val="center"/>
            <w:hideMark/>
          </w:tcPr>
          <w:p w14:paraId="4BFD6F59"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54A591B5"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6ED3A791"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Due diligence and performance criteria</w:t>
            </w:r>
          </w:p>
        </w:tc>
        <w:tc>
          <w:tcPr>
            <w:tcW w:w="0" w:type="auto"/>
            <w:vAlign w:val="center"/>
            <w:hideMark/>
          </w:tcPr>
          <w:p w14:paraId="48D04536"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Escalation/replacement strategy</w:t>
            </w:r>
          </w:p>
        </w:tc>
      </w:tr>
      <w:tr w:rsidR="00765C0E" w:rsidRPr="00765C0E" w14:paraId="50E9347C" w14:textId="77777777" w:rsidTr="00F779E4">
        <w:trPr>
          <w:tblCellSpacing w:w="15" w:type="dxa"/>
        </w:trPr>
        <w:tc>
          <w:tcPr>
            <w:tcW w:w="0" w:type="auto"/>
            <w:vAlign w:val="center"/>
            <w:hideMark/>
          </w:tcPr>
          <w:p w14:paraId="74A12F13"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Supply-chain disruption</w:t>
            </w:r>
          </w:p>
        </w:tc>
        <w:tc>
          <w:tcPr>
            <w:tcW w:w="0" w:type="auto"/>
            <w:vAlign w:val="center"/>
            <w:hideMark/>
          </w:tcPr>
          <w:p w14:paraId="6697D2A1"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69784586"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46101A1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Early procurement of critical materials</w:t>
            </w:r>
          </w:p>
        </w:tc>
        <w:tc>
          <w:tcPr>
            <w:tcW w:w="0" w:type="auto"/>
            <w:vAlign w:val="center"/>
            <w:hideMark/>
          </w:tcPr>
          <w:p w14:paraId="72C6D513"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Alternative suppliers</w:t>
            </w:r>
          </w:p>
        </w:tc>
      </w:tr>
      <w:tr w:rsidR="00765C0E" w:rsidRPr="00765C0E" w14:paraId="36C25960" w14:textId="77777777" w:rsidTr="00F779E4">
        <w:trPr>
          <w:tblCellSpacing w:w="15" w:type="dxa"/>
        </w:trPr>
        <w:tc>
          <w:tcPr>
            <w:tcW w:w="0" w:type="auto"/>
            <w:vAlign w:val="center"/>
            <w:hideMark/>
          </w:tcPr>
          <w:p w14:paraId="1D8F592F"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Construction accident</w:t>
            </w:r>
          </w:p>
        </w:tc>
        <w:tc>
          <w:tcPr>
            <w:tcW w:w="0" w:type="auto"/>
            <w:vAlign w:val="center"/>
            <w:hideMark/>
          </w:tcPr>
          <w:p w14:paraId="1F5D1547"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Low</w:t>
            </w:r>
          </w:p>
        </w:tc>
        <w:tc>
          <w:tcPr>
            <w:tcW w:w="0" w:type="auto"/>
            <w:vAlign w:val="center"/>
            <w:hideMark/>
          </w:tcPr>
          <w:p w14:paraId="5105F6EB"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6CDE8310"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H&amp;S plan, training and inspections</w:t>
            </w:r>
          </w:p>
        </w:tc>
        <w:tc>
          <w:tcPr>
            <w:tcW w:w="0" w:type="auto"/>
            <w:vAlign w:val="center"/>
            <w:hideMark/>
          </w:tcPr>
          <w:p w14:paraId="2F56FA05"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Emergency response procedure</w:t>
            </w:r>
          </w:p>
        </w:tc>
      </w:tr>
      <w:tr w:rsidR="00765C0E" w:rsidRPr="00765C0E" w14:paraId="7AC8E5F6" w14:textId="77777777" w:rsidTr="00F779E4">
        <w:trPr>
          <w:tblCellSpacing w:w="15" w:type="dxa"/>
        </w:trPr>
        <w:tc>
          <w:tcPr>
            <w:tcW w:w="0" w:type="auto"/>
            <w:vAlign w:val="center"/>
            <w:hideMark/>
          </w:tcPr>
          <w:p w14:paraId="58EB7D42"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Passenger disruption</w:t>
            </w:r>
          </w:p>
        </w:tc>
        <w:tc>
          <w:tcPr>
            <w:tcW w:w="0" w:type="auto"/>
            <w:vAlign w:val="center"/>
            <w:hideMark/>
          </w:tcPr>
          <w:p w14:paraId="5D312E75"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42D0246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461184D2"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Phased construction and temporary routes</w:t>
            </w:r>
          </w:p>
        </w:tc>
        <w:tc>
          <w:tcPr>
            <w:tcW w:w="0" w:type="auto"/>
            <w:vAlign w:val="center"/>
            <w:hideMark/>
          </w:tcPr>
          <w:p w14:paraId="29213A5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Temporary transport arrangements</w:t>
            </w:r>
          </w:p>
        </w:tc>
      </w:tr>
      <w:tr w:rsidR="00765C0E" w:rsidRPr="00765C0E" w14:paraId="2BC1C3D7" w14:textId="77777777" w:rsidTr="00F779E4">
        <w:trPr>
          <w:tblCellSpacing w:w="15" w:type="dxa"/>
        </w:trPr>
        <w:tc>
          <w:tcPr>
            <w:tcW w:w="0" w:type="auto"/>
            <w:vAlign w:val="center"/>
            <w:hideMark/>
          </w:tcPr>
          <w:p w14:paraId="082B08F4"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Digital system failure</w:t>
            </w:r>
          </w:p>
        </w:tc>
        <w:tc>
          <w:tcPr>
            <w:tcW w:w="0" w:type="auto"/>
            <w:vAlign w:val="center"/>
            <w:hideMark/>
          </w:tcPr>
          <w:p w14:paraId="7603326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73B1C1B4"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05611566"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Testing and integration trials</w:t>
            </w:r>
          </w:p>
        </w:tc>
        <w:tc>
          <w:tcPr>
            <w:tcW w:w="0" w:type="auto"/>
            <w:vAlign w:val="center"/>
            <w:hideMark/>
          </w:tcPr>
          <w:p w14:paraId="787E990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Backup systems/manual processes</w:t>
            </w:r>
          </w:p>
        </w:tc>
      </w:tr>
      <w:tr w:rsidR="00765C0E" w:rsidRPr="00765C0E" w14:paraId="54100FFD" w14:textId="77777777" w:rsidTr="00F779E4">
        <w:trPr>
          <w:tblCellSpacing w:w="15" w:type="dxa"/>
        </w:trPr>
        <w:tc>
          <w:tcPr>
            <w:tcW w:w="0" w:type="auto"/>
            <w:vAlign w:val="center"/>
            <w:hideMark/>
          </w:tcPr>
          <w:p w14:paraId="4382D35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Cybersecurity incident</w:t>
            </w:r>
          </w:p>
        </w:tc>
        <w:tc>
          <w:tcPr>
            <w:tcW w:w="0" w:type="auto"/>
            <w:vAlign w:val="center"/>
            <w:hideMark/>
          </w:tcPr>
          <w:p w14:paraId="0CF382D6"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74EEFC5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0F549DEF"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Security controls and penetration testing</w:t>
            </w:r>
          </w:p>
        </w:tc>
        <w:tc>
          <w:tcPr>
            <w:tcW w:w="0" w:type="auto"/>
            <w:vAlign w:val="center"/>
            <w:hideMark/>
          </w:tcPr>
          <w:p w14:paraId="3C3B8FFF"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Incident-response plan</w:t>
            </w:r>
          </w:p>
        </w:tc>
      </w:tr>
      <w:tr w:rsidR="00765C0E" w:rsidRPr="00765C0E" w14:paraId="3521D8F4" w14:textId="77777777" w:rsidTr="00F779E4">
        <w:trPr>
          <w:tblCellSpacing w:w="15" w:type="dxa"/>
        </w:trPr>
        <w:tc>
          <w:tcPr>
            <w:tcW w:w="0" w:type="auto"/>
            <w:vAlign w:val="center"/>
            <w:hideMark/>
          </w:tcPr>
          <w:p w14:paraId="07423B66"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lastRenderedPageBreak/>
              <w:t>Environmental non-compliance</w:t>
            </w:r>
          </w:p>
        </w:tc>
        <w:tc>
          <w:tcPr>
            <w:tcW w:w="0" w:type="auto"/>
            <w:vAlign w:val="center"/>
            <w:hideMark/>
          </w:tcPr>
          <w:p w14:paraId="12ED6D6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Low</w:t>
            </w:r>
          </w:p>
        </w:tc>
        <w:tc>
          <w:tcPr>
            <w:tcW w:w="0" w:type="auto"/>
            <w:vAlign w:val="center"/>
            <w:hideMark/>
          </w:tcPr>
          <w:p w14:paraId="398AEED8"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21F9B9EC"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Environmental monitoring</w:t>
            </w:r>
          </w:p>
        </w:tc>
        <w:tc>
          <w:tcPr>
            <w:tcW w:w="0" w:type="auto"/>
            <w:vAlign w:val="center"/>
            <w:hideMark/>
          </w:tcPr>
          <w:p w14:paraId="045E6A54"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Corrective action</w:t>
            </w:r>
          </w:p>
        </w:tc>
      </w:tr>
      <w:tr w:rsidR="00765C0E" w:rsidRPr="00765C0E" w14:paraId="6872CF2D" w14:textId="77777777" w:rsidTr="00F779E4">
        <w:trPr>
          <w:tblCellSpacing w:w="15" w:type="dxa"/>
        </w:trPr>
        <w:tc>
          <w:tcPr>
            <w:tcW w:w="0" w:type="auto"/>
            <w:vAlign w:val="center"/>
            <w:hideMark/>
          </w:tcPr>
          <w:p w14:paraId="6E8CEA92"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Inflation/funding shortfall</w:t>
            </w:r>
          </w:p>
        </w:tc>
        <w:tc>
          <w:tcPr>
            <w:tcW w:w="0" w:type="auto"/>
            <w:vAlign w:val="center"/>
            <w:hideMark/>
          </w:tcPr>
          <w:p w14:paraId="2F0FCC64"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0C20DACB"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637655A4"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Cost forecasting</w:t>
            </w:r>
          </w:p>
        </w:tc>
        <w:tc>
          <w:tcPr>
            <w:tcW w:w="0" w:type="auto"/>
            <w:vAlign w:val="center"/>
            <w:hideMark/>
          </w:tcPr>
          <w:p w14:paraId="4DC061C0"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Prioritised scope/change control</w:t>
            </w:r>
          </w:p>
        </w:tc>
      </w:tr>
      <w:tr w:rsidR="00765C0E" w:rsidRPr="00765C0E" w14:paraId="1135E759" w14:textId="77777777" w:rsidTr="00F779E4">
        <w:trPr>
          <w:tblCellSpacing w:w="15" w:type="dxa"/>
        </w:trPr>
        <w:tc>
          <w:tcPr>
            <w:tcW w:w="0" w:type="auto"/>
            <w:vAlign w:val="center"/>
            <w:hideMark/>
          </w:tcPr>
          <w:p w14:paraId="1782D5A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Stakeholder opposition</w:t>
            </w:r>
          </w:p>
        </w:tc>
        <w:tc>
          <w:tcPr>
            <w:tcW w:w="0" w:type="auto"/>
            <w:vAlign w:val="center"/>
            <w:hideMark/>
          </w:tcPr>
          <w:p w14:paraId="114C3002"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32DA6E41"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Medium</w:t>
            </w:r>
          </w:p>
        </w:tc>
        <w:tc>
          <w:tcPr>
            <w:tcW w:w="0" w:type="auto"/>
            <w:vAlign w:val="center"/>
            <w:hideMark/>
          </w:tcPr>
          <w:p w14:paraId="00C48FEE"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Consultation and communication</w:t>
            </w:r>
          </w:p>
        </w:tc>
        <w:tc>
          <w:tcPr>
            <w:tcW w:w="0" w:type="auto"/>
            <w:vAlign w:val="center"/>
            <w:hideMark/>
          </w:tcPr>
          <w:p w14:paraId="0FD2488C"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Escalation and design review</w:t>
            </w:r>
          </w:p>
        </w:tc>
      </w:tr>
      <w:tr w:rsidR="00765C0E" w:rsidRPr="00765C0E" w14:paraId="45FD0FB0" w14:textId="77777777" w:rsidTr="00F779E4">
        <w:trPr>
          <w:tblCellSpacing w:w="15" w:type="dxa"/>
        </w:trPr>
        <w:tc>
          <w:tcPr>
            <w:tcW w:w="0" w:type="auto"/>
            <w:vAlign w:val="center"/>
            <w:hideMark/>
          </w:tcPr>
          <w:p w14:paraId="5BF9010F"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Poor accessibility outcome</w:t>
            </w:r>
          </w:p>
        </w:tc>
        <w:tc>
          <w:tcPr>
            <w:tcW w:w="0" w:type="auto"/>
            <w:vAlign w:val="center"/>
            <w:hideMark/>
          </w:tcPr>
          <w:p w14:paraId="7AAA75B9"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Low</w:t>
            </w:r>
          </w:p>
        </w:tc>
        <w:tc>
          <w:tcPr>
            <w:tcW w:w="0" w:type="auto"/>
            <w:vAlign w:val="center"/>
            <w:hideMark/>
          </w:tcPr>
          <w:p w14:paraId="7873377C"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High</w:t>
            </w:r>
          </w:p>
        </w:tc>
        <w:tc>
          <w:tcPr>
            <w:tcW w:w="0" w:type="auto"/>
            <w:vAlign w:val="center"/>
            <w:hideMark/>
          </w:tcPr>
          <w:p w14:paraId="772484DB"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Accessibility review throughout design</w:t>
            </w:r>
          </w:p>
        </w:tc>
        <w:tc>
          <w:tcPr>
            <w:tcW w:w="0" w:type="auto"/>
            <w:vAlign w:val="center"/>
            <w:hideMark/>
          </w:tcPr>
          <w:p w14:paraId="4F09CCA7" w14:textId="77777777" w:rsidR="00765C0E" w:rsidRPr="00765C0E" w:rsidRDefault="00765C0E" w:rsidP="00765C0E">
            <w:pPr>
              <w:spacing w:after="0"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Corrective works before opening</w:t>
            </w:r>
          </w:p>
        </w:tc>
      </w:tr>
    </w:tbl>
    <w:p w14:paraId="184FB7CB" w14:textId="77777777" w:rsidR="00765C0E" w:rsidRPr="00765C0E" w:rsidRDefault="00765C0E" w:rsidP="00765C0E">
      <w:pPr>
        <w:spacing w:before="100" w:beforeAutospacing="1" w:after="100" w:afterAutospacing="1" w:line="240" w:lineRule="auto"/>
        <w:outlineLvl w:val="2"/>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Risk evaluation</w:t>
      </w:r>
    </w:p>
    <w:p w14:paraId="454AACF4"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For example, </w:t>
      </w:r>
      <w:r w:rsidRPr="00765C0E">
        <w:rPr>
          <w:rFonts w:ascii="Arial" w:eastAsia="Times New Roman" w:hAnsi="Arial" w:cs="Arial"/>
          <w:b/>
          <w:bCs/>
          <w:sz w:val="24"/>
          <w:szCs w:val="24"/>
          <w:lang w:eastAsia="en-GB"/>
        </w:rPr>
        <w:t>cost inflation</w:t>
      </w:r>
      <w:r w:rsidRPr="00765C0E">
        <w:rPr>
          <w:rFonts w:ascii="Arial" w:eastAsia="Times New Roman" w:hAnsi="Arial" w:cs="Arial"/>
          <w:sz w:val="24"/>
          <w:szCs w:val="24"/>
          <w:lang w:eastAsia="en-GB"/>
        </w:rPr>
        <w:t xml:space="preserve"> has both a reasonable likelihood and potentially significant impact. If construction costs increase, the approved budget may become insufficient. This could result in scope reductions, delayed procurement or a requirement for additional funding. Therefore, the project should use regular cost forecasting, contingency and formal change control.</w:t>
      </w:r>
    </w:p>
    <w:p w14:paraId="5CD9EE0C"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Similarly, </w:t>
      </w:r>
      <w:r w:rsidRPr="00765C0E">
        <w:rPr>
          <w:rFonts w:ascii="Arial" w:eastAsia="Times New Roman" w:hAnsi="Arial" w:cs="Arial"/>
          <w:b/>
          <w:bCs/>
          <w:sz w:val="24"/>
          <w:szCs w:val="24"/>
          <w:lang w:eastAsia="en-GB"/>
        </w:rPr>
        <w:t>unknown structural conditions</w:t>
      </w:r>
      <w:r w:rsidRPr="00765C0E">
        <w:rPr>
          <w:rFonts w:ascii="Arial" w:eastAsia="Times New Roman" w:hAnsi="Arial" w:cs="Arial"/>
          <w:sz w:val="24"/>
          <w:szCs w:val="24"/>
          <w:lang w:eastAsia="en-GB"/>
        </w:rPr>
        <w:t xml:space="preserve"> represent a particularly important risk because the building is more than 40 years old. Further defects discovered during construction could increase both cost and duration. Early intrusive surveys and staged investigations should therefore be undertaken before major construction commitments.</w:t>
      </w:r>
    </w:p>
    <w:p w14:paraId="2F8E214B"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This demonstrates that risk management is not simply identifying what </w:t>
      </w:r>
      <w:r w:rsidRPr="00765C0E">
        <w:rPr>
          <w:rFonts w:ascii="Arial" w:eastAsia="Times New Roman" w:hAnsi="Arial" w:cs="Arial"/>
          <w:i/>
          <w:iCs/>
          <w:sz w:val="24"/>
          <w:szCs w:val="24"/>
          <w:lang w:eastAsia="en-GB"/>
        </w:rPr>
        <w:t>might</w:t>
      </w:r>
      <w:r w:rsidRPr="00765C0E">
        <w:rPr>
          <w:rFonts w:ascii="Arial" w:eastAsia="Times New Roman" w:hAnsi="Arial" w:cs="Arial"/>
          <w:sz w:val="24"/>
          <w:szCs w:val="24"/>
          <w:lang w:eastAsia="en-GB"/>
        </w:rPr>
        <w:t xml:space="preserve"> go wrong; it involves assessing </w:t>
      </w:r>
      <w:r w:rsidRPr="00765C0E">
        <w:rPr>
          <w:rFonts w:ascii="Arial" w:eastAsia="Times New Roman" w:hAnsi="Arial" w:cs="Arial"/>
          <w:b/>
          <w:bCs/>
          <w:sz w:val="24"/>
          <w:szCs w:val="24"/>
          <w:lang w:eastAsia="en-GB"/>
        </w:rPr>
        <w:t>whether the risk is likely, how seriously it could affect the project, what can be done to reduce its probability or impact, and what happens if it occurs</w:t>
      </w:r>
      <w:r w:rsidRPr="00765C0E">
        <w:rPr>
          <w:rFonts w:ascii="Arial" w:eastAsia="Times New Roman" w:hAnsi="Arial" w:cs="Arial"/>
          <w:sz w:val="24"/>
          <w:szCs w:val="24"/>
          <w:lang w:eastAsia="en-GB"/>
        </w:rPr>
        <w:t>.</w:t>
      </w:r>
    </w:p>
    <w:p w14:paraId="7AA01967" w14:textId="77777777" w:rsidR="00765C0E" w:rsidRPr="00765C0E" w:rsidRDefault="00765C0E" w:rsidP="00765C0E">
      <w:pPr>
        <w:spacing w:after="0" w:line="240" w:lineRule="auto"/>
        <w:rPr>
          <w:rFonts w:ascii="Arial" w:eastAsia="Times New Roman" w:hAnsi="Arial" w:cs="Arial"/>
          <w:sz w:val="24"/>
          <w:szCs w:val="24"/>
          <w:lang w:eastAsia="en-GB"/>
        </w:rPr>
      </w:pPr>
    </w:p>
    <w:p w14:paraId="6AFB787B" w14:textId="77777777" w:rsidR="00765C0E" w:rsidRPr="00765C0E" w:rsidRDefault="00765C0E" w:rsidP="00765C0E">
      <w:pPr>
        <w:spacing w:before="100" w:beforeAutospacing="1" w:after="100" w:afterAutospacing="1" w:line="240" w:lineRule="auto"/>
        <w:outlineLvl w:val="0"/>
        <w:rPr>
          <w:rFonts w:ascii="Arial" w:eastAsia="Times New Roman" w:hAnsi="Arial" w:cs="Arial"/>
          <w:b/>
          <w:bCs/>
          <w:kern w:val="36"/>
          <w:sz w:val="24"/>
          <w:szCs w:val="24"/>
          <w:lang w:eastAsia="en-GB"/>
        </w:rPr>
      </w:pPr>
      <w:r w:rsidRPr="00765C0E">
        <w:rPr>
          <w:rFonts w:ascii="Arial" w:eastAsia="Times New Roman" w:hAnsi="Arial" w:cs="Arial"/>
          <w:b/>
          <w:bCs/>
          <w:kern w:val="36"/>
          <w:sz w:val="24"/>
          <w:szCs w:val="24"/>
          <w:lang w:eastAsia="en-GB"/>
        </w:rPr>
        <w:t>10. Conclusion</w:t>
      </w:r>
    </w:p>
    <w:p w14:paraId="4C49EE75"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redevelopment of the central multimodal transport hub provides a long-term response to the closure of critical transport infrastructure. The project will restore safe passenger and freight capacity while addressing accessibility, sustainability and digital integration.</w:t>
      </w:r>
    </w:p>
    <w:p w14:paraId="4B4DEE5F"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The proposed management approach establishes clear scope boundaries, measurable objectives, a structured WBS, realistic programme, stakeholder engagement strategy, resource allocation and risk controls.</w:t>
      </w:r>
    </w:p>
    <w:p w14:paraId="07BE939F" w14:textId="77777777" w:rsidR="00765C0E" w:rsidRPr="00765C0E" w:rsidRDefault="00765C0E" w:rsidP="00765C0E">
      <w:p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The project should therefore be judged not only by whether the hub is physically rebuilt, but by whether it </w:t>
      </w:r>
      <w:r w:rsidRPr="00765C0E">
        <w:rPr>
          <w:rFonts w:ascii="Arial" w:eastAsia="Times New Roman" w:hAnsi="Arial" w:cs="Arial"/>
          <w:b/>
          <w:bCs/>
          <w:sz w:val="24"/>
          <w:szCs w:val="24"/>
          <w:lang w:eastAsia="en-GB"/>
        </w:rPr>
        <w:t>reopens safely, operates effectively, meets accessibility and environmental requirements, delivers value for money and restores confidence in the city's transport network</w:t>
      </w:r>
      <w:r w:rsidRPr="00765C0E">
        <w:rPr>
          <w:rFonts w:ascii="Arial" w:eastAsia="Times New Roman" w:hAnsi="Arial" w:cs="Arial"/>
          <w:sz w:val="24"/>
          <w:szCs w:val="24"/>
          <w:lang w:eastAsia="en-GB"/>
        </w:rPr>
        <w:t>.</w:t>
      </w:r>
    </w:p>
    <w:p w14:paraId="3531FDD3" w14:textId="77777777" w:rsidR="00765C0E" w:rsidRPr="00765C0E" w:rsidRDefault="00765C0E" w:rsidP="00765C0E">
      <w:pPr>
        <w:spacing w:after="0" w:line="240" w:lineRule="auto"/>
        <w:rPr>
          <w:rFonts w:ascii="Arial" w:eastAsia="Times New Roman" w:hAnsi="Arial" w:cs="Arial"/>
          <w:sz w:val="24"/>
          <w:szCs w:val="24"/>
          <w:lang w:eastAsia="en-GB"/>
        </w:rPr>
      </w:pPr>
    </w:p>
    <w:p w14:paraId="59E350EE" w14:textId="77777777" w:rsidR="00765C0E" w:rsidRPr="00765C0E" w:rsidRDefault="00765C0E" w:rsidP="00765C0E">
      <w:pPr>
        <w:spacing w:after="0" w:line="240" w:lineRule="auto"/>
        <w:rPr>
          <w:rFonts w:ascii="Arial" w:eastAsia="Times New Roman" w:hAnsi="Arial" w:cs="Arial"/>
          <w:sz w:val="24"/>
          <w:szCs w:val="24"/>
          <w:lang w:eastAsia="en-GB"/>
        </w:rPr>
      </w:pPr>
    </w:p>
    <w:p w14:paraId="00A4AD08" w14:textId="77777777" w:rsidR="00765C0E" w:rsidRPr="00765C0E" w:rsidRDefault="00765C0E" w:rsidP="00765C0E">
      <w:pPr>
        <w:spacing w:before="100" w:beforeAutospacing="1" w:after="100" w:afterAutospacing="1" w:line="240" w:lineRule="auto"/>
        <w:outlineLvl w:val="1"/>
        <w:rPr>
          <w:rFonts w:ascii="Arial" w:eastAsia="Times New Roman" w:hAnsi="Arial" w:cs="Arial"/>
          <w:b/>
          <w:bCs/>
          <w:sz w:val="24"/>
          <w:szCs w:val="24"/>
          <w:lang w:eastAsia="en-GB"/>
        </w:rPr>
      </w:pPr>
      <w:r w:rsidRPr="00765C0E">
        <w:rPr>
          <w:rFonts w:ascii="Arial" w:eastAsia="Times New Roman" w:hAnsi="Arial" w:cs="Arial"/>
          <w:b/>
          <w:bCs/>
          <w:sz w:val="24"/>
          <w:szCs w:val="24"/>
          <w:lang w:eastAsia="en-GB"/>
        </w:rPr>
        <w:t>11. References</w:t>
      </w:r>
    </w:p>
    <w:p w14:paraId="488EB4F7"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Association for Project Management (2019) </w:t>
      </w:r>
      <w:r w:rsidRPr="00765C0E">
        <w:rPr>
          <w:rFonts w:ascii="Arial" w:eastAsia="Times New Roman" w:hAnsi="Arial" w:cs="Arial"/>
          <w:i/>
          <w:iCs/>
          <w:sz w:val="24"/>
          <w:szCs w:val="24"/>
          <w:lang w:eastAsia="en-GB"/>
        </w:rPr>
        <w:t>APM Body of Knowledge</w:t>
      </w:r>
      <w:r w:rsidRPr="00765C0E">
        <w:rPr>
          <w:rFonts w:ascii="Arial" w:eastAsia="Times New Roman" w:hAnsi="Arial" w:cs="Arial"/>
          <w:sz w:val="24"/>
          <w:szCs w:val="24"/>
          <w:lang w:eastAsia="en-GB"/>
        </w:rPr>
        <w:t>. 7th edn. Princes Risborough: Association for Project Management.</w:t>
      </w:r>
    </w:p>
    <w:p w14:paraId="25C15641"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Burke, R. (2013) </w:t>
      </w:r>
      <w:r w:rsidRPr="00765C0E">
        <w:rPr>
          <w:rFonts w:ascii="Arial" w:eastAsia="Times New Roman" w:hAnsi="Arial" w:cs="Arial"/>
          <w:i/>
          <w:iCs/>
          <w:sz w:val="24"/>
          <w:szCs w:val="24"/>
          <w:lang w:eastAsia="en-GB"/>
        </w:rPr>
        <w:t>Project Management: Planning and Control Techniques</w:t>
      </w:r>
      <w:r w:rsidRPr="00765C0E">
        <w:rPr>
          <w:rFonts w:ascii="Arial" w:eastAsia="Times New Roman" w:hAnsi="Arial" w:cs="Arial"/>
          <w:sz w:val="24"/>
          <w:szCs w:val="24"/>
          <w:lang w:eastAsia="en-GB"/>
        </w:rPr>
        <w:t>. 5th edn. Chichester: Wiley.</w:t>
      </w:r>
    </w:p>
    <w:p w14:paraId="0516B77C"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Elkington, J. (1998) </w:t>
      </w:r>
      <w:r w:rsidRPr="00765C0E">
        <w:rPr>
          <w:rFonts w:ascii="Arial" w:eastAsia="Times New Roman" w:hAnsi="Arial" w:cs="Arial"/>
          <w:i/>
          <w:iCs/>
          <w:sz w:val="24"/>
          <w:szCs w:val="24"/>
          <w:lang w:eastAsia="en-GB"/>
        </w:rPr>
        <w:t>Cannibals with Forks: The Triple Bottom Line of 21st Century Business</w:t>
      </w:r>
      <w:r w:rsidRPr="00765C0E">
        <w:rPr>
          <w:rFonts w:ascii="Arial" w:eastAsia="Times New Roman" w:hAnsi="Arial" w:cs="Arial"/>
          <w:sz w:val="24"/>
          <w:szCs w:val="24"/>
          <w:lang w:eastAsia="en-GB"/>
        </w:rPr>
        <w:t>. Oxford: Capstone.</w:t>
      </w:r>
    </w:p>
    <w:p w14:paraId="5389C88B"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Kerzner, H. (2022) </w:t>
      </w:r>
      <w:r w:rsidRPr="00765C0E">
        <w:rPr>
          <w:rFonts w:ascii="Arial" w:eastAsia="Times New Roman" w:hAnsi="Arial" w:cs="Arial"/>
          <w:i/>
          <w:iCs/>
          <w:sz w:val="24"/>
          <w:szCs w:val="24"/>
          <w:lang w:eastAsia="en-GB"/>
        </w:rPr>
        <w:t>Project Management: A Systems Approach to Planning, Scheduling, and Controlling</w:t>
      </w:r>
      <w:r w:rsidRPr="00765C0E">
        <w:rPr>
          <w:rFonts w:ascii="Arial" w:eastAsia="Times New Roman" w:hAnsi="Arial" w:cs="Arial"/>
          <w:sz w:val="24"/>
          <w:szCs w:val="24"/>
          <w:lang w:eastAsia="en-GB"/>
        </w:rPr>
        <w:t>. 13th edn. Hoboken, NJ: John Wiley &amp; Sons.</w:t>
      </w:r>
    </w:p>
    <w:p w14:paraId="67DF54AF"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Larson, E.W. and Gray, C.F. (2021) </w:t>
      </w:r>
      <w:r w:rsidRPr="00765C0E">
        <w:rPr>
          <w:rFonts w:ascii="Arial" w:eastAsia="Times New Roman" w:hAnsi="Arial" w:cs="Arial"/>
          <w:i/>
          <w:iCs/>
          <w:sz w:val="24"/>
          <w:szCs w:val="24"/>
          <w:lang w:eastAsia="en-GB"/>
        </w:rPr>
        <w:t>Project Management: The Managerial Process</w:t>
      </w:r>
      <w:r w:rsidRPr="00765C0E">
        <w:rPr>
          <w:rFonts w:ascii="Arial" w:eastAsia="Times New Roman" w:hAnsi="Arial" w:cs="Arial"/>
          <w:sz w:val="24"/>
          <w:szCs w:val="24"/>
          <w:lang w:eastAsia="en-GB"/>
        </w:rPr>
        <w:t>. 8th edn. New York: McGraw-Hill Education.</w:t>
      </w:r>
    </w:p>
    <w:p w14:paraId="7DC0B5C1"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Lock, D. (2020) </w:t>
      </w:r>
      <w:r w:rsidRPr="00765C0E">
        <w:rPr>
          <w:rFonts w:ascii="Arial" w:eastAsia="Times New Roman" w:hAnsi="Arial" w:cs="Arial"/>
          <w:i/>
          <w:iCs/>
          <w:sz w:val="24"/>
          <w:szCs w:val="24"/>
          <w:lang w:eastAsia="en-GB"/>
        </w:rPr>
        <w:t>Project Management</w:t>
      </w:r>
      <w:r w:rsidRPr="00765C0E">
        <w:rPr>
          <w:rFonts w:ascii="Arial" w:eastAsia="Times New Roman" w:hAnsi="Arial" w:cs="Arial"/>
          <w:sz w:val="24"/>
          <w:szCs w:val="24"/>
          <w:lang w:eastAsia="en-GB"/>
        </w:rPr>
        <w:t>. 11th edn. Abingdon: Routledge.</w:t>
      </w:r>
    </w:p>
    <w:p w14:paraId="6509BACD"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Meredith, J.R., Shafer, S.M. and Mantel, S.J. (2017) </w:t>
      </w:r>
      <w:r w:rsidRPr="00765C0E">
        <w:rPr>
          <w:rFonts w:ascii="Arial" w:eastAsia="Times New Roman" w:hAnsi="Arial" w:cs="Arial"/>
          <w:i/>
          <w:iCs/>
          <w:sz w:val="24"/>
          <w:szCs w:val="24"/>
          <w:lang w:eastAsia="en-GB"/>
        </w:rPr>
        <w:t>Project Management: A Managerial Approach</w:t>
      </w:r>
      <w:r w:rsidRPr="00765C0E">
        <w:rPr>
          <w:rFonts w:ascii="Arial" w:eastAsia="Times New Roman" w:hAnsi="Arial" w:cs="Arial"/>
          <w:sz w:val="24"/>
          <w:szCs w:val="24"/>
          <w:lang w:eastAsia="en-GB"/>
        </w:rPr>
        <w:t>. 9th edn. Hoboken, NJ: Wiley.</w:t>
      </w:r>
    </w:p>
    <w:p w14:paraId="415036E5"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Morris, P.W.G. (2013) </w:t>
      </w:r>
      <w:r w:rsidRPr="00765C0E">
        <w:rPr>
          <w:rFonts w:ascii="Arial" w:eastAsia="Times New Roman" w:hAnsi="Arial" w:cs="Arial"/>
          <w:i/>
          <w:iCs/>
          <w:sz w:val="24"/>
          <w:szCs w:val="24"/>
          <w:lang w:eastAsia="en-GB"/>
        </w:rPr>
        <w:t>Reconstructing Project Management</w:t>
      </w:r>
      <w:r w:rsidRPr="00765C0E">
        <w:rPr>
          <w:rFonts w:ascii="Arial" w:eastAsia="Times New Roman" w:hAnsi="Arial" w:cs="Arial"/>
          <w:sz w:val="24"/>
          <w:szCs w:val="24"/>
          <w:lang w:eastAsia="en-GB"/>
        </w:rPr>
        <w:t>. Chichester: Wiley-Blackwell.</w:t>
      </w:r>
    </w:p>
    <w:p w14:paraId="3D56C2A9"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Olander, S. (2007) ‘Stakeholder impact analysis in construction project management’, </w:t>
      </w:r>
      <w:r w:rsidRPr="00765C0E">
        <w:rPr>
          <w:rFonts w:ascii="Arial" w:eastAsia="Times New Roman" w:hAnsi="Arial" w:cs="Arial"/>
          <w:i/>
          <w:iCs/>
          <w:sz w:val="24"/>
          <w:szCs w:val="24"/>
          <w:lang w:eastAsia="en-GB"/>
        </w:rPr>
        <w:t>Construction Management and Economics</w:t>
      </w:r>
      <w:r w:rsidRPr="00765C0E">
        <w:rPr>
          <w:rFonts w:ascii="Arial" w:eastAsia="Times New Roman" w:hAnsi="Arial" w:cs="Arial"/>
          <w:sz w:val="24"/>
          <w:szCs w:val="24"/>
          <w:lang w:eastAsia="en-GB"/>
        </w:rPr>
        <w:t>, 25(3), pp. 277–287.</w:t>
      </w:r>
    </w:p>
    <w:p w14:paraId="4476B492"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Pinto, J.K. (2019) </w:t>
      </w:r>
      <w:r w:rsidRPr="00765C0E">
        <w:rPr>
          <w:rFonts w:ascii="Arial" w:eastAsia="Times New Roman" w:hAnsi="Arial" w:cs="Arial"/>
          <w:i/>
          <w:iCs/>
          <w:sz w:val="24"/>
          <w:szCs w:val="24"/>
          <w:lang w:eastAsia="en-GB"/>
        </w:rPr>
        <w:t>Project Management: Achieving Competitive Advantage</w:t>
      </w:r>
      <w:r w:rsidRPr="00765C0E">
        <w:rPr>
          <w:rFonts w:ascii="Arial" w:eastAsia="Times New Roman" w:hAnsi="Arial" w:cs="Arial"/>
          <w:sz w:val="24"/>
          <w:szCs w:val="24"/>
          <w:lang w:eastAsia="en-GB"/>
        </w:rPr>
        <w:t>. 5th edn. Harlow: Pearson.</w:t>
      </w:r>
    </w:p>
    <w:p w14:paraId="18FA2374"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Project Management Institute (2021) </w:t>
      </w:r>
      <w:r w:rsidRPr="00765C0E">
        <w:rPr>
          <w:rFonts w:ascii="Arial" w:eastAsia="Times New Roman" w:hAnsi="Arial" w:cs="Arial"/>
          <w:i/>
          <w:iCs/>
          <w:sz w:val="24"/>
          <w:szCs w:val="24"/>
          <w:lang w:eastAsia="en-GB"/>
        </w:rPr>
        <w:t>A Guide to the Project Management Body of Knowledge (PMBOK® Guide) and The Standard for Project Management</w:t>
      </w:r>
      <w:r w:rsidRPr="00765C0E">
        <w:rPr>
          <w:rFonts w:ascii="Arial" w:eastAsia="Times New Roman" w:hAnsi="Arial" w:cs="Arial"/>
          <w:sz w:val="24"/>
          <w:szCs w:val="24"/>
          <w:lang w:eastAsia="en-GB"/>
        </w:rPr>
        <w:t>. 7th edn. Newtown Square, PA: Project Management Institute.</w:t>
      </w:r>
    </w:p>
    <w:p w14:paraId="4F2EC785"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Turner, J.R. (2014) </w:t>
      </w:r>
      <w:r w:rsidRPr="00765C0E">
        <w:rPr>
          <w:rFonts w:ascii="Arial" w:eastAsia="Times New Roman" w:hAnsi="Arial" w:cs="Arial"/>
          <w:i/>
          <w:iCs/>
          <w:sz w:val="24"/>
          <w:szCs w:val="24"/>
          <w:lang w:eastAsia="en-GB"/>
        </w:rPr>
        <w:t>The Handbook of Project-Based Management: Leading Strategic Change in Organizations</w:t>
      </w:r>
      <w:r w:rsidRPr="00765C0E">
        <w:rPr>
          <w:rFonts w:ascii="Arial" w:eastAsia="Times New Roman" w:hAnsi="Arial" w:cs="Arial"/>
          <w:sz w:val="24"/>
          <w:szCs w:val="24"/>
          <w:lang w:eastAsia="en-GB"/>
        </w:rPr>
        <w:t>. 4th edn. New York: McGraw-Hill Education.</w:t>
      </w:r>
    </w:p>
    <w:p w14:paraId="50A923DD"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Ward, S. and Chapman, C. (2003) ‘Transforming project risk management into project uncertainty management’, </w:t>
      </w:r>
      <w:r w:rsidRPr="00765C0E">
        <w:rPr>
          <w:rFonts w:ascii="Arial" w:eastAsia="Times New Roman" w:hAnsi="Arial" w:cs="Arial"/>
          <w:i/>
          <w:iCs/>
          <w:sz w:val="24"/>
          <w:szCs w:val="24"/>
          <w:lang w:eastAsia="en-GB"/>
        </w:rPr>
        <w:t>International Journal of Project Management</w:t>
      </w:r>
      <w:r w:rsidRPr="00765C0E">
        <w:rPr>
          <w:rFonts w:ascii="Arial" w:eastAsia="Times New Roman" w:hAnsi="Arial" w:cs="Arial"/>
          <w:sz w:val="24"/>
          <w:szCs w:val="24"/>
          <w:lang w:eastAsia="en-GB"/>
        </w:rPr>
        <w:t>, 21(2), pp. 97–105.</w:t>
      </w:r>
    </w:p>
    <w:p w14:paraId="03D1BA5E" w14:textId="77777777" w:rsidR="00765C0E" w:rsidRPr="00765C0E" w:rsidRDefault="00765C0E" w:rsidP="00765C0E">
      <w:pPr>
        <w:numPr>
          <w:ilvl w:val="0"/>
          <w:numId w:val="4"/>
        </w:numPr>
        <w:spacing w:before="100" w:beforeAutospacing="1" w:after="100" w:afterAutospacing="1" w:line="240" w:lineRule="auto"/>
        <w:rPr>
          <w:rFonts w:ascii="Arial" w:eastAsia="Times New Roman" w:hAnsi="Arial" w:cs="Arial"/>
          <w:sz w:val="24"/>
          <w:szCs w:val="24"/>
          <w:lang w:eastAsia="en-GB"/>
        </w:rPr>
      </w:pPr>
      <w:r w:rsidRPr="00765C0E">
        <w:rPr>
          <w:rFonts w:ascii="Arial" w:eastAsia="Times New Roman" w:hAnsi="Arial" w:cs="Arial"/>
          <w:sz w:val="24"/>
          <w:szCs w:val="24"/>
          <w:lang w:eastAsia="en-GB"/>
        </w:rPr>
        <w:t xml:space="preserve">Zwikael, O. and Ahn, M. (2011) ‘The effectiveness of risk management: an analysis of project risk planning across industries and countries’, </w:t>
      </w:r>
      <w:r w:rsidRPr="00765C0E">
        <w:rPr>
          <w:rFonts w:ascii="Arial" w:eastAsia="Times New Roman" w:hAnsi="Arial" w:cs="Arial"/>
          <w:i/>
          <w:iCs/>
          <w:sz w:val="24"/>
          <w:szCs w:val="24"/>
          <w:lang w:eastAsia="en-GB"/>
        </w:rPr>
        <w:t>Risk Analysis</w:t>
      </w:r>
      <w:r w:rsidRPr="00765C0E">
        <w:rPr>
          <w:rFonts w:ascii="Arial" w:eastAsia="Times New Roman" w:hAnsi="Arial" w:cs="Arial"/>
          <w:sz w:val="24"/>
          <w:szCs w:val="24"/>
          <w:lang w:eastAsia="en-GB"/>
        </w:rPr>
        <w:t>, 31(1), pp. 25–37.</w:t>
      </w:r>
    </w:p>
    <w:p w14:paraId="1FE75CE6" w14:textId="77777777" w:rsidR="00765C0E" w:rsidRPr="00765C0E" w:rsidRDefault="00765C0E" w:rsidP="00765C0E">
      <w:pPr>
        <w:spacing w:line="278" w:lineRule="auto"/>
        <w:rPr>
          <w:rFonts w:ascii="Arial" w:hAnsi="Arial" w:cs="Arial"/>
          <w:kern w:val="2"/>
          <w:sz w:val="24"/>
          <w:szCs w:val="24"/>
          <w14:ligatures w14:val="standardContextual"/>
        </w:rPr>
      </w:pPr>
    </w:p>
    <w:p w14:paraId="49D2E5F8" w14:textId="77777777" w:rsidR="00765C0E" w:rsidRDefault="00765C0E"/>
    <w:sectPr w:rsidR="00765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B54EF"/>
    <w:multiLevelType w:val="multilevel"/>
    <w:tmpl w:val="4B0A1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245B61"/>
    <w:multiLevelType w:val="multilevel"/>
    <w:tmpl w:val="A560E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5A11E5"/>
    <w:multiLevelType w:val="hybridMultilevel"/>
    <w:tmpl w:val="8ABEF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D16DF3"/>
    <w:multiLevelType w:val="multilevel"/>
    <w:tmpl w:val="9ACA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630A6C"/>
    <w:multiLevelType w:val="multilevel"/>
    <w:tmpl w:val="F85EF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4529629">
    <w:abstractNumId w:val="3"/>
  </w:num>
  <w:num w:numId="2" w16cid:durableId="798492954">
    <w:abstractNumId w:val="0"/>
  </w:num>
  <w:num w:numId="3" w16cid:durableId="1947036977">
    <w:abstractNumId w:val="4"/>
  </w:num>
  <w:num w:numId="4" w16cid:durableId="1770001764">
    <w:abstractNumId w:val="1"/>
  </w:num>
  <w:num w:numId="5" w16cid:durableId="7233306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C0E"/>
    <w:rsid w:val="0006468A"/>
    <w:rsid w:val="000671F0"/>
    <w:rsid w:val="00133A0F"/>
    <w:rsid w:val="001B37AF"/>
    <w:rsid w:val="003A34BF"/>
    <w:rsid w:val="005A71FB"/>
    <w:rsid w:val="00715C17"/>
    <w:rsid w:val="00765C0E"/>
    <w:rsid w:val="00E90BE5"/>
    <w:rsid w:val="00F73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3405B"/>
  <w15:chartTrackingRefBased/>
  <w15:docId w15:val="{A487708B-02EA-4FD3-A8EB-BE234853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C0E"/>
    <w:pPr>
      <w:spacing w:line="259" w:lineRule="auto"/>
    </w:pPr>
    <w:rPr>
      <w:kern w:val="0"/>
      <w:sz w:val="22"/>
      <w:szCs w:val="22"/>
      <w14:ligatures w14:val="none"/>
    </w:rPr>
  </w:style>
  <w:style w:type="paragraph" w:styleId="Heading1">
    <w:name w:val="heading 1"/>
    <w:basedOn w:val="Normal"/>
    <w:next w:val="Normal"/>
    <w:link w:val="Heading1Char"/>
    <w:uiPriority w:val="9"/>
    <w:qFormat/>
    <w:rsid w:val="00765C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5C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5C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5C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5C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5C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5C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5C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5C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C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5C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5C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5C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5C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5C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5C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5C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5C0E"/>
    <w:rPr>
      <w:rFonts w:eastAsiaTheme="majorEastAsia" w:cstheme="majorBidi"/>
      <w:color w:val="272727" w:themeColor="text1" w:themeTint="D8"/>
    </w:rPr>
  </w:style>
  <w:style w:type="paragraph" w:styleId="Title">
    <w:name w:val="Title"/>
    <w:basedOn w:val="Normal"/>
    <w:next w:val="Normal"/>
    <w:link w:val="TitleChar"/>
    <w:uiPriority w:val="10"/>
    <w:qFormat/>
    <w:rsid w:val="00765C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5C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5C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5C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5C0E"/>
    <w:pPr>
      <w:spacing w:before="160"/>
      <w:jc w:val="center"/>
    </w:pPr>
    <w:rPr>
      <w:i/>
      <w:iCs/>
      <w:color w:val="404040" w:themeColor="text1" w:themeTint="BF"/>
    </w:rPr>
  </w:style>
  <w:style w:type="character" w:customStyle="1" w:styleId="QuoteChar">
    <w:name w:val="Quote Char"/>
    <w:basedOn w:val="DefaultParagraphFont"/>
    <w:link w:val="Quote"/>
    <w:uiPriority w:val="29"/>
    <w:rsid w:val="00765C0E"/>
    <w:rPr>
      <w:i/>
      <w:iCs/>
      <w:color w:val="404040" w:themeColor="text1" w:themeTint="BF"/>
    </w:rPr>
  </w:style>
  <w:style w:type="paragraph" w:styleId="ListParagraph">
    <w:name w:val="List Paragraph"/>
    <w:basedOn w:val="Normal"/>
    <w:uiPriority w:val="34"/>
    <w:qFormat/>
    <w:rsid w:val="00765C0E"/>
    <w:pPr>
      <w:ind w:left="720"/>
      <w:contextualSpacing/>
    </w:pPr>
  </w:style>
  <w:style w:type="character" w:styleId="IntenseEmphasis">
    <w:name w:val="Intense Emphasis"/>
    <w:basedOn w:val="DefaultParagraphFont"/>
    <w:uiPriority w:val="21"/>
    <w:qFormat/>
    <w:rsid w:val="00765C0E"/>
    <w:rPr>
      <w:i/>
      <w:iCs/>
      <w:color w:val="0F4761" w:themeColor="accent1" w:themeShade="BF"/>
    </w:rPr>
  </w:style>
  <w:style w:type="paragraph" w:styleId="IntenseQuote">
    <w:name w:val="Intense Quote"/>
    <w:basedOn w:val="Normal"/>
    <w:next w:val="Normal"/>
    <w:link w:val="IntenseQuoteChar"/>
    <w:uiPriority w:val="30"/>
    <w:qFormat/>
    <w:rsid w:val="00765C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5C0E"/>
    <w:rPr>
      <w:i/>
      <w:iCs/>
      <w:color w:val="0F4761" w:themeColor="accent1" w:themeShade="BF"/>
    </w:rPr>
  </w:style>
  <w:style w:type="character" w:styleId="IntenseReference">
    <w:name w:val="Intense Reference"/>
    <w:basedOn w:val="DefaultParagraphFont"/>
    <w:uiPriority w:val="32"/>
    <w:qFormat/>
    <w:rsid w:val="00765C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15</Pages>
  <Words>3715</Words>
  <Characters>21182</Characters>
  <Application>Microsoft Office Word</Application>
  <DocSecurity>0</DocSecurity>
  <Lines>176</Lines>
  <Paragraphs>49</Paragraphs>
  <ScaleCrop>false</ScaleCrop>
  <Company/>
  <LinksUpToDate>false</LinksUpToDate>
  <CharactersWithSpaces>24848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Dordo Koprivica (2427812)</dc:creator>
  <cp:keywords/>
  <dc:description/>
  <cp:lastModifiedBy>Dordo Koprivica (2427812)</cp:lastModifiedBy>
  <cp:revision>5</cp:revision>
  <dcterms:created xsi:type="dcterms:W3CDTF">2026-08-16T18:44:00Z</dcterms:created>
  <dcterms:modified xsi:type="dcterms:W3CDTF">2026-08-17T19:59:00Z</dcterms:modified>
</cp:coreProperties>
</file>