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sz w:val="24"/>
          <w:szCs w:val="24"/>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114300</wp:posOffset>
            </wp:positionH>
            <wp:positionV relativeFrom="paragraph">
              <wp:posOffset>114300</wp:posOffset>
            </wp:positionV>
            <wp:extent cx="2881313" cy="1204913"/>
            <wp:effectExtent b="0" l="0" r="0" t="0"/>
            <wp:wrapSquare wrapText="bothSides" distB="114300" distT="114300" distL="114300" distR="11430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2881313" cy="1204913"/>
                    </a:xfrm>
                    <a:prstGeom prst="rect"/>
                    <a:ln/>
                  </pic:spPr>
                </pic:pic>
              </a:graphicData>
            </a:graphic>
          </wp:anchor>
        </w:drawing>
      </w:r>
    </w:p>
    <w:p w:rsidR="00000000" w:rsidDel="00000000" w:rsidP="00000000" w:rsidRDefault="00000000" w:rsidRPr="00000000" w14:paraId="00000002">
      <w:pPr>
        <w:rPr>
          <w:sz w:val="24"/>
          <w:szCs w:val="24"/>
        </w:rPr>
      </w:pPr>
      <w:r w:rsidDel="00000000" w:rsidR="00000000" w:rsidRPr="00000000">
        <w:rPr>
          <w:rtl w:val="0"/>
        </w:rPr>
      </w:r>
    </w:p>
    <w:p w:rsidR="00000000" w:rsidDel="00000000" w:rsidP="00000000" w:rsidRDefault="00000000" w:rsidRPr="00000000" w14:paraId="00000003">
      <w:pPr>
        <w:rPr>
          <w:sz w:val="24"/>
          <w:szCs w:val="24"/>
        </w:rPr>
      </w:pPr>
      <w:r w:rsidDel="00000000" w:rsidR="00000000" w:rsidRPr="00000000">
        <w:rPr>
          <w:rtl w:val="0"/>
        </w:rPr>
      </w:r>
    </w:p>
    <w:p w:rsidR="00000000" w:rsidDel="00000000" w:rsidP="00000000" w:rsidRDefault="00000000" w:rsidRPr="00000000" w14:paraId="00000004">
      <w:pPr>
        <w:rPr>
          <w:sz w:val="24"/>
          <w:szCs w:val="24"/>
        </w:rPr>
      </w:pPr>
      <w:r w:rsidDel="00000000" w:rsidR="00000000" w:rsidRPr="00000000">
        <w:rPr>
          <w:rtl w:val="0"/>
        </w:rPr>
      </w:r>
    </w:p>
    <w:p w:rsidR="00000000" w:rsidDel="00000000" w:rsidP="00000000" w:rsidRDefault="00000000" w:rsidRPr="00000000" w14:paraId="00000005">
      <w:pPr>
        <w:rPr>
          <w:sz w:val="24"/>
          <w:szCs w:val="24"/>
        </w:rPr>
      </w:pPr>
      <w:r w:rsidDel="00000000" w:rsidR="00000000" w:rsidRPr="00000000">
        <w:rPr>
          <w:rtl w:val="0"/>
        </w:rPr>
      </w:r>
    </w:p>
    <w:p w:rsidR="00000000" w:rsidDel="00000000" w:rsidP="00000000" w:rsidRDefault="00000000" w:rsidRPr="00000000" w14:paraId="00000006">
      <w:pPr>
        <w:rPr>
          <w:sz w:val="24"/>
          <w:szCs w:val="24"/>
        </w:rPr>
      </w:pPr>
      <w:r w:rsidDel="00000000" w:rsidR="00000000" w:rsidRPr="00000000">
        <w:rPr>
          <w:rtl w:val="0"/>
        </w:rPr>
      </w:r>
    </w:p>
    <w:p w:rsidR="00000000" w:rsidDel="00000000" w:rsidP="00000000" w:rsidRDefault="00000000" w:rsidRPr="00000000" w14:paraId="00000007">
      <w:pPr>
        <w:rPr>
          <w:sz w:val="24"/>
          <w:szCs w:val="24"/>
        </w:rPr>
      </w:pPr>
      <w:r w:rsidDel="00000000" w:rsidR="00000000" w:rsidRPr="00000000">
        <w:rPr>
          <w:rtl w:val="0"/>
        </w:rPr>
      </w:r>
    </w:p>
    <w:p w:rsidR="00000000" w:rsidDel="00000000" w:rsidP="00000000" w:rsidRDefault="00000000" w:rsidRPr="00000000" w14:paraId="00000008">
      <w:pPr>
        <w:rPr>
          <w:sz w:val="24"/>
          <w:szCs w:val="24"/>
        </w:rPr>
      </w:pPr>
      <w:r w:rsidDel="00000000" w:rsidR="00000000" w:rsidRPr="00000000">
        <w:rPr>
          <w:rtl w:val="0"/>
        </w:rPr>
      </w:r>
    </w:p>
    <w:p w:rsidR="00000000" w:rsidDel="00000000" w:rsidP="00000000" w:rsidRDefault="00000000" w:rsidRPr="00000000" w14:paraId="00000009">
      <w:pPr>
        <w:rPr>
          <w:sz w:val="24"/>
          <w:szCs w:val="24"/>
        </w:rPr>
      </w:pPr>
      <w:r w:rsidDel="00000000" w:rsidR="00000000" w:rsidRPr="00000000">
        <w:rPr>
          <w:rtl w:val="0"/>
        </w:rPr>
      </w:r>
    </w:p>
    <w:p w:rsidR="00000000" w:rsidDel="00000000" w:rsidP="00000000" w:rsidRDefault="00000000" w:rsidRPr="00000000" w14:paraId="0000000A">
      <w:pPr>
        <w:rPr>
          <w:sz w:val="24"/>
          <w:szCs w:val="24"/>
        </w:rPr>
      </w:pPr>
      <w:r w:rsidDel="00000000" w:rsidR="00000000" w:rsidRPr="00000000">
        <w:rPr>
          <w:rtl w:val="0"/>
        </w:rPr>
      </w:r>
    </w:p>
    <w:p w:rsidR="00000000" w:rsidDel="00000000" w:rsidP="00000000" w:rsidRDefault="00000000" w:rsidRPr="00000000" w14:paraId="0000000B">
      <w:pPr>
        <w:rPr>
          <w:sz w:val="24"/>
          <w:szCs w:val="24"/>
        </w:rPr>
      </w:pPr>
      <w:r w:rsidDel="00000000" w:rsidR="00000000" w:rsidRPr="00000000">
        <w:rPr>
          <w:rtl w:val="0"/>
        </w:rPr>
      </w:r>
    </w:p>
    <w:p w:rsidR="00000000" w:rsidDel="00000000" w:rsidP="00000000" w:rsidRDefault="00000000" w:rsidRPr="00000000" w14:paraId="0000000C">
      <w:pPr>
        <w:rPr>
          <w:sz w:val="24"/>
          <w:szCs w:val="24"/>
        </w:rPr>
      </w:pPr>
      <w:r w:rsidDel="00000000" w:rsidR="00000000" w:rsidRPr="00000000">
        <w:rPr>
          <w:rtl w:val="0"/>
        </w:rPr>
      </w:r>
    </w:p>
    <w:p w:rsidR="00000000" w:rsidDel="00000000" w:rsidP="00000000" w:rsidRDefault="00000000" w:rsidRPr="00000000" w14:paraId="0000000D">
      <w:pPr>
        <w:rPr>
          <w:sz w:val="24"/>
          <w:szCs w:val="24"/>
        </w:rPr>
      </w:pPr>
      <w:r w:rsidDel="00000000" w:rsidR="00000000" w:rsidRPr="00000000">
        <w:rPr>
          <w:rtl w:val="0"/>
        </w:rPr>
      </w:r>
    </w:p>
    <w:p w:rsidR="00000000" w:rsidDel="00000000" w:rsidP="00000000" w:rsidRDefault="00000000" w:rsidRPr="00000000" w14:paraId="0000000E">
      <w:pPr>
        <w:rPr>
          <w:sz w:val="32"/>
          <w:szCs w:val="32"/>
        </w:rPr>
      </w:pPr>
      <w:r w:rsidDel="00000000" w:rsidR="00000000" w:rsidRPr="00000000">
        <w:rPr>
          <w:rtl w:val="0"/>
        </w:rPr>
      </w:r>
    </w:p>
    <w:p w:rsidR="00000000" w:rsidDel="00000000" w:rsidP="00000000" w:rsidRDefault="00000000" w:rsidRPr="00000000" w14:paraId="0000000F">
      <w:pPr>
        <w:rPr>
          <w:b w:val="1"/>
          <w:bCs w:val="1"/>
          <w:sz w:val="32"/>
          <w:szCs w:val="32"/>
        </w:rPr>
      </w:pPr>
      <w:r w:rsidDel="00000000" w:rsidR="00000000" w:rsidRPr="00000000">
        <w:rPr>
          <w:b w:val="1"/>
          <w:bCs w:val="1"/>
          <w:sz w:val="32"/>
          <w:szCs w:val="32"/>
          <w:rtl w:val="0"/>
        </w:rPr>
        <w:t xml:space="preserve">Student ID:2522000</w:t>
      </w:r>
    </w:p>
    <w:p w:rsidR="00000000" w:rsidDel="00000000" w:rsidP="00000000" w:rsidRDefault="00000000" w:rsidRPr="00000000" w14:paraId="00000010">
      <w:pPr>
        <w:rPr>
          <w:b w:val="1"/>
          <w:bCs w:val="1"/>
          <w:sz w:val="32"/>
          <w:szCs w:val="32"/>
        </w:rPr>
      </w:pPr>
      <w:r w:rsidDel="00000000" w:rsidR="00000000" w:rsidRPr="00000000">
        <w:rPr>
          <w:b w:val="1"/>
          <w:bCs w:val="1"/>
          <w:sz w:val="32"/>
          <w:szCs w:val="32"/>
          <w:rtl w:val="0"/>
        </w:rPr>
        <w:t xml:space="preserve">Student Name: Antonia Campbell</w:t>
      </w:r>
    </w:p>
    <w:p w:rsidR="00000000" w:rsidDel="00000000" w:rsidP="00000000" w:rsidRDefault="00000000" w:rsidRPr="00000000" w14:paraId="00000011">
      <w:pPr>
        <w:rPr>
          <w:b w:val="1"/>
          <w:bCs w:val="1"/>
          <w:sz w:val="32"/>
          <w:szCs w:val="32"/>
        </w:rPr>
      </w:pPr>
      <w:r w:rsidDel="00000000" w:rsidR="00000000" w:rsidRPr="00000000">
        <w:rPr>
          <w:b w:val="1"/>
          <w:bCs w:val="1"/>
          <w:sz w:val="32"/>
          <w:szCs w:val="32"/>
          <w:rtl w:val="0"/>
        </w:rPr>
        <w:t xml:space="preserve">Module name: Introduction To Health and Social Care</w:t>
      </w:r>
    </w:p>
    <w:p w:rsidR="00000000" w:rsidDel="00000000" w:rsidP="00000000" w:rsidRDefault="00000000" w:rsidRPr="00000000" w14:paraId="00000012">
      <w:pPr>
        <w:rPr>
          <w:b w:val="1"/>
          <w:bCs w:val="1"/>
          <w:sz w:val="32"/>
          <w:szCs w:val="32"/>
        </w:rPr>
      </w:pPr>
      <w:r w:rsidDel="00000000" w:rsidR="00000000" w:rsidRPr="00000000">
        <w:rPr>
          <w:b w:val="1"/>
          <w:bCs w:val="1"/>
          <w:sz w:val="32"/>
          <w:szCs w:val="32"/>
          <w:rtl w:val="0"/>
        </w:rPr>
        <w:t xml:space="preserve">Module code: </w:t>
      </w:r>
      <w:hyperlink r:id="rId7">
        <w:r w:rsidDel="00000000" w:rsidR="00000000" w:rsidRPr="00000000">
          <w:rPr>
            <w:rFonts w:ascii="Roboto" w:cs="Roboto" w:eastAsia="Roboto" w:hAnsi="Roboto"/>
            <w:b w:val="1"/>
            <w:bCs w:val="1"/>
            <w:sz w:val="32"/>
            <w:szCs w:val="32"/>
            <w:rtl w:val="0"/>
          </w:rPr>
          <w:t xml:space="preserve">LCHS4003</w:t>
        </w:r>
      </w:hyperlink>
      <w:r w:rsidDel="00000000" w:rsidR="00000000" w:rsidRPr="00000000">
        <w:rPr>
          <w:rtl w:val="0"/>
        </w:rPr>
      </w:r>
    </w:p>
    <w:p w:rsidR="00000000" w:rsidDel="00000000" w:rsidP="00000000" w:rsidRDefault="00000000" w:rsidRPr="00000000" w14:paraId="00000013">
      <w:pPr>
        <w:rPr>
          <w:sz w:val="32"/>
          <w:szCs w:val="32"/>
        </w:rPr>
      </w:pPr>
      <w:r w:rsidDel="00000000" w:rsidR="00000000" w:rsidRPr="00000000">
        <w:rPr>
          <w:b w:val="1"/>
          <w:bCs w:val="1"/>
          <w:sz w:val="32"/>
          <w:szCs w:val="32"/>
          <w:rtl w:val="0"/>
        </w:rPr>
        <w:t xml:space="preserve">Lecturer: Christiana Melua</w:t>
      </w:r>
      <w:r w:rsidDel="00000000" w:rsidR="00000000" w:rsidRPr="00000000">
        <w:rPr>
          <w:rtl w:val="0"/>
        </w:rPr>
      </w:r>
    </w:p>
    <w:p w:rsidR="00000000" w:rsidDel="00000000" w:rsidP="00000000" w:rsidRDefault="00000000" w:rsidRPr="00000000" w14:paraId="00000014">
      <w:pPr>
        <w:rPr>
          <w:sz w:val="32"/>
          <w:szCs w:val="32"/>
        </w:rPr>
      </w:pPr>
      <w:r w:rsidDel="00000000" w:rsidR="00000000" w:rsidRPr="00000000">
        <w:rPr>
          <w:rtl w:val="0"/>
        </w:rPr>
      </w:r>
    </w:p>
    <w:p w:rsidR="00000000" w:rsidDel="00000000" w:rsidP="00000000" w:rsidRDefault="00000000" w:rsidRPr="00000000" w14:paraId="00000015">
      <w:pPr>
        <w:rPr>
          <w:sz w:val="24"/>
          <w:szCs w:val="24"/>
        </w:rPr>
      </w:pPr>
      <w:r w:rsidDel="00000000" w:rsidR="00000000" w:rsidRPr="00000000">
        <w:rPr>
          <w:rtl w:val="0"/>
        </w:rPr>
      </w:r>
    </w:p>
    <w:p w:rsidR="00000000" w:rsidDel="00000000" w:rsidP="00000000" w:rsidRDefault="00000000" w:rsidRPr="00000000" w14:paraId="00000016">
      <w:pPr>
        <w:rPr>
          <w:sz w:val="24"/>
          <w:szCs w:val="24"/>
        </w:rPr>
      </w:pPr>
      <w:r w:rsidDel="00000000" w:rsidR="00000000" w:rsidRPr="00000000">
        <w:rPr>
          <w:rtl w:val="0"/>
        </w:rPr>
      </w:r>
    </w:p>
    <w:p w:rsidR="00000000" w:rsidDel="00000000" w:rsidP="00000000" w:rsidRDefault="00000000" w:rsidRPr="00000000" w14:paraId="00000017">
      <w:pPr>
        <w:rPr>
          <w:sz w:val="24"/>
          <w:szCs w:val="24"/>
        </w:rPr>
      </w:pPr>
      <w:r w:rsidDel="00000000" w:rsidR="00000000" w:rsidRPr="00000000">
        <w:rPr>
          <w:rtl w:val="0"/>
        </w:rPr>
      </w:r>
    </w:p>
    <w:p w:rsidR="00000000" w:rsidDel="00000000" w:rsidP="00000000" w:rsidRDefault="00000000" w:rsidRPr="00000000" w14:paraId="00000018">
      <w:pPr>
        <w:rPr>
          <w:sz w:val="24"/>
          <w:szCs w:val="24"/>
        </w:rPr>
      </w:pPr>
      <w:r w:rsidDel="00000000" w:rsidR="00000000" w:rsidRPr="00000000">
        <w:rPr>
          <w:rtl w:val="0"/>
        </w:rPr>
      </w:r>
    </w:p>
    <w:p w:rsidR="00000000" w:rsidDel="00000000" w:rsidP="00000000" w:rsidRDefault="00000000" w:rsidRPr="00000000" w14:paraId="00000019">
      <w:pPr>
        <w:rPr>
          <w:sz w:val="24"/>
          <w:szCs w:val="24"/>
        </w:rPr>
      </w:pPr>
      <w:r w:rsidDel="00000000" w:rsidR="00000000" w:rsidRPr="00000000">
        <w:rPr>
          <w:rtl w:val="0"/>
        </w:rPr>
      </w:r>
    </w:p>
    <w:p w:rsidR="00000000" w:rsidDel="00000000" w:rsidP="00000000" w:rsidRDefault="00000000" w:rsidRPr="00000000" w14:paraId="0000001A">
      <w:pPr>
        <w:rPr>
          <w:sz w:val="24"/>
          <w:szCs w:val="24"/>
        </w:rPr>
      </w:pPr>
      <w:r w:rsidDel="00000000" w:rsidR="00000000" w:rsidRPr="00000000">
        <w:rPr>
          <w:rtl w:val="0"/>
        </w:rPr>
      </w:r>
    </w:p>
    <w:p w:rsidR="00000000" w:rsidDel="00000000" w:rsidP="00000000" w:rsidRDefault="00000000" w:rsidRPr="00000000" w14:paraId="0000001B">
      <w:pPr>
        <w:rPr>
          <w:sz w:val="24"/>
          <w:szCs w:val="24"/>
        </w:rPr>
      </w:pPr>
      <w:r w:rsidDel="00000000" w:rsidR="00000000" w:rsidRPr="00000000">
        <w:rPr>
          <w:rtl w:val="0"/>
        </w:rPr>
      </w:r>
    </w:p>
    <w:p w:rsidR="00000000" w:rsidDel="00000000" w:rsidP="00000000" w:rsidRDefault="00000000" w:rsidRPr="00000000" w14:paraId="0000001C">
      <w:pPr>
        <w:rPr>
          <w:sz w:val="24"/>
          <w:szCs w:val="24"/>
        </w:rPr>
      </w:pPr>
      <w:r w:rsidDel="00000000" w:rsidR="00000000" w:rsidRPr="00000000">
        <w:rPr>
          <w:rtl w:val="0"/>
        </w:rPr>
      </w:r>
    </w:p>
    <w:p w:rsidR="00000000" w:rsidDel="00000000" w:rsidP="00000000" w:rsidRDefault="00000000" w:rsidRPr="00000000" w14:paraId="0000001D">
      <w:pPr>
        <w:rPr>
          <w:sz w:val="24"/>
          <w:szCs w:val="24"/>
        </w:rPr>
      </w:pPr>
      <w:r w:rsidDel="00000000" w:rsidR="00000000" w:rsidRPr="00000000">
        <w:rPr>
          <w:rtl w:val="0"/>
        </w:rPr>
      </w:r>
    </w:p>
    <w:p w:rsidR="00000000" w:rsidDel="00000000" w:rsidP="00000000" w:rsidRDefault="00000000" w:rsidRPr="00000000" w14:paraId="0000001E">
      <w:pPr>
        <w:rPr>
          <w:sz w:val="24"/>
          <w:szCs w:val="24"/>
        </w:rPr>
      </w:pPr>
      <w:r w:rsidDel="00000000" w:rsidR="00000000" w:rsidRPr="00000000">
        <w:rPr>
          <w:rtl w:val="0"/>
        </w:rPr>
      </w:r>
    </w:p>
    <w:p w:rsidR="00000000" w:rsidDel="00000000" w:rsidP="00000000" w:rsidRDefault="00000000" w:rsidRPr="00000000" w14:paraId="0000001F">
      <w:pPr>
        <w:rPr>
          <w:sz w:val="24"/>
          <w:szCs w:val="24"/>
        </w:rPr>
      </w:pPr>
      <w:r w:rsidDel="00000000" w:rsidR="00000000" w:rsidRPr="00000000">
        <w:rPr>
          <w:rtl w:val="0"/>
        </w:rPr>
      </w:r>
    </w:p>
    <w:p w:rsidR="00000000" w:rsidDel="00000000" w:rsidP="00000000" w:rsidRDefault="00000000" w:rsidRPr="00000000" w14:paraId="00000020">
      <w:pPr>
        <w:rPr>
          <w:sz w:val="24"/>
          <w:szCs w:val="24"/>
        </w:rPr>
      </w:pPr>
      <w:r w:rsidDel="00000000" w:rsidR="00000000" w:rsidRPr="00000000">
        <w:rPr>
          <w:rtl w:val="0"/>
        </w:rPr>
      </w:r>
    </w:p>
    <w:p w:rsidR="00000000" w:rsidDel="00000000" w:rsidP="00000000" w:rsidRDefault="00000000" w:rsidRPr="00000000" w14:paraId="00000021">
      <w:pPr>
        <w:rPr>
          <w:sz w:val="24"/>
          <w:szCs w:val="24"/>
        </w:rPr>
      </w:pPr>
      <w:r w:rsidDel="00000000" w:rsidR="00000000" w:rsidRPr="00000000">
        <w:rPr>
          <w:rtl w:val="0"/>
        </w:rPr>
      </w:r>
    </w:p>
    <w:p w:rsidR="00000000" w:rsidDel="00000000" w:rsidP="00000000" w:rsidRDefault="00000000" w:rsidRPr="00000000" w14:paraId="00000022">
      <w:pPr>
        <w:rPr>
          <w:sz w:val="24"/>
          <w:szCs w:val="24"/>
        </w:rPr>
      </w:pPr>
      <w:r w:rsidDel="00000000" w:rsidR="00000000" w:rsidRPr="00000000">
        <w:rPr>
          <w:rtl w:val="0"/>
        </w:rPr>
      </w:r>
    </w:p>
    <w:p w:rsidR="00000000" w:rsidDel="00000000" w:rsidP="00000000" w:rsidRDefault="00000000" w:rsidRPr="00000000" w14:paraId="00000023">
      <w:pPr>
        <w:rPr>
          <w:sz w:val="24"/>
          <w:szCs w:val="24"/>
        </w:rPr>
      </w:pPr>
      <w:r w:rsidDel="00000000" w:rsidR="00000000" w:rsidRPr="00000000">
        <w:rPr>
          <w:rtl w:val="0"/>
        </w:rPr>
      </w:r>
    </w:p>
    <w:p w:rsidR="00000000" w:rsidDel="00000000" w:rsidP="00000000" w:rsidRDefault="00000000" w:rsidRPr="00000000" w14:paraId="00000024">
      <w:pPr>
        <w:rPr>
          <w:sz w:val="24"/>
          <w:szCs w:val="24"/>
        </w:rPr>
      </w:pPr>
      <w:r w:rsidDel="00000000" w:rsidR="00000000" w:rsidRPr="00000000">
        <w:rPr>
          <w:rtl w:val="0"/>
        </w:rPr>
      </w:r>
    </w:p>
    <w:p w:rsidR="00000000" w:rsidDel="00000000" w:rsidP="00000000" w:rsidRDefault="00000000" w:rsidRPr="00000000" w14:paraId="00000025">
      <w:pPr>
        <w:rPr>
          <w:sz w:val="24"/>
          <w:szCs w:val="24"/>
        </w:rPr>
      </w:pPr>
      <w:r w:rsidDel="00000000" w:rsidR="00000000" w:rsidRPr="00000000">
        <w:rPr>
          <w:rtl w:val="0"/>
        </w:rPr>
      </w:r>
    </w:p>
    <w:p w:rsidR="00000000" w:rsidDel="00000000" w:rsidP="00000000" w:rsidRDefault="00000000" w:rsidRPr="00000000" w14:paraId="00000026">
      <w:pPr>
        <w:rPr>
          <w:sz w:val="24"/>
          <w:szCs w:val="24"/>
        </w:rPr>
      </w:pPr>
      <w:r w:rsidDel="00000000" w:rsidR="00000000" w:rsidRPr="00000000">
        <w:rPr>
          <w:rtl w:val="0"/>
        </w:rPr>
      </w:r>
    </w:p>
    <w:p w:rsidR="00000000" w:rsidDel="00000000" w:rsidP="00000000" w:rsidRDefault="00000000" w:rsidRPr="00000000" w14:paraId="00000027">
      <w:pPr>
        <w:rPr>
          <w:sz w:val="24"/>
          <w:szCs w:val="24"/>
        </w:rPr>
      </w:pPr>
      <w:r w:rsidDel="00000000" w:rsidR="00000000" w:rsidRPr="00000000">
        <w:rPr>
          <w:rtl w:val="0"/>
        </w:rPr>
      </w:r>
    </w:p>
    <w:p w:rsidR="00000000" w:rsidDel="00000000" w:rsidP="00000000" w:rsidRDefault="00000000" w:rsidRPr="00000000" w14:paraId="00000028">
      <w:pPr>
        <w:rPr>
          <w:sz w:val="24"/>
          <w:szCs w:val="24"/>
        </w:rPr>
      </w:pPr>
      <w:r w:rsidDel="00000000" w:rsidR="00000000" w:rsidRPr="00000000">
        <w:rPr>
          <w:rtl w:val="0"/>
        </w:rPr>
      </w:r>
    </w:p>
    <w:p w:rsidR="00000000" w:rsidDel="00000000" w:rsidP="00000000" w:rsidRDefault="00000000" w:rsidRPr="00000000" w14:paraId="00000029">
      <w:pPr>
        <w:jc w:val="left"/>
        <w:rPr>
          <w:sz w:val="24"/>
          <w:szCs w:val="24"/>
        </w:rPr>
      </w:pPr>
      <w:r w:rsidDel="00000000" w:rsidR="00000000" w:rsidRPr="00000000">
        <w:rPr>
          <w:rtl w:val="0"/>
        </w:rPr>
      </w:r>
    </w:p>
    <w:p w:rsidR="00000000" w:rsidDel="00000000" w:rsidP="00000000" w:rsidRDefault="00000000" w:rsidRPr="00000000" w14:paraId="0000002A">
      <w:pPr>
        <w:jc w:val="center"/>
        <w:rPr>
          <w:u w:val="single"/>
        </w:rPr>
      </w:pPr>
      <w:r w:rsidDel="00000000" w:rsidR="00000000" w:rsidRPr="00000000">
        <w:rPr>
          <w:u w:val="single"/>
          <w:rtl w:val="0"/>
        </w:rPr>
        <w:t xml:space="preserve">Introduction</w:t>
      </w:r>
    </w:p>
    <w:p w:rsidR="00000000" w:rsidDel="00000000" w:rsidP="00000000" w:rsidRDefault="00000000" w:rsidRPr="00000000" w14:paraId="0000002B">
      <w:pPr>
        <w:rPr>
          <w:sz w:val="24"/>
          <w:szCs w:val="24"/>
        </w:rPr>
      </w:pPr>
      <w:r w:rsidDel="00000000" w:rsidR="00000000" w:rsidRPr="00000000">
        <w:rPr>
          <w:rtl w:val="0"/>
        </w:rPr>
      </w:r>
    </w:p>
    <w:p w:rsidR="00000000" w:rsidDel="00000000" w:rsidP="00000000" w:rsidRDefault="00000000" w:rsidRPr="00000000" w14:paraId="0000002C">
      <w:pPr>
        <w:spacing w:after="240" w:before="240" w:lineRule="auto"/>
        <w:rPr/>
      </w:pPr>
      <w:r w:rsidDel="00000000" w:rsidR="00000000" w:rsidRPr="00000000">
        <w:rPr>
          <w:rtl w:val="0"/>
        </w:rPr>
        <w:t xml:space="preserve">Good health and social care relies on professionals communicating clearly, recording information correctly and working together to meet an individual’s needs. These responsibilities are particularly important when supporting an older person whose memory, health and ability to live independently may be changing. Mrs Thompson is 84 years old and lives with mild dementia. After receiving hospital care for pneumonia, she returned to her home, where several concerns about her wellbeing have since developed. She did not take her prescribed medicines for two days, appeared more confused than usual and was later discovered outside during cold weather without appropriate clothing. These changes may indicate that she is finding some everyday tasks increasingly difficult to manage independently. Therefore, her current care arrangements may need to be reviewed to identify whether additional support is required to maintain her health, safety and independence.</w:t>
      </w:r>
    </w:p>
    <w:p w:rsidR="00000000" w:rsidDel="00000000" w:rsidP="00000000" w:rsidRDefault="00000000" w:rsidRPr="00000000" w14:paraId="0000002D">
      <w:pPr>
        <w:spacing w:after="240" w:before="240" w:lineRule="auto"/>
        <w:rPr/>
      </w:pPr>
      <w:r w:rsidDel="00000000" w:rsidR="00000000" w:rsidRPr="00000000">
        <w:rPr>
          <w:rtl w:val="0"/>
        </w:rPr>
        <w:t xml:space="preserve">The report will consider how appropriate communication can help Mrs Thompson and her family, while the discussion will consider the Equality Act 2010 alongside an appropriate communication theory. It will also explore the importance of keeping clear and reliable care records, maintaining confidentiality and following the requirements of the Data Protection Act 2018. The final section will look at how professionals from different health and social care services can cooperate effectively to provide coordinated support to support her wellbeing, dignity and independence.</w:t>
      </w:r>
    </w:p>
    <w:p w:rsidR="00000000" w:rsidDel="00000000" w:rsidP="00000000" w:rsidRDefault="00000000" w:rsidRPr="00000000" w14:paraId="0000002E">
      <w:pPr>
        <w:rPr>
          <w:sz w:val="24"/>
          <w:szCs w:val="24"/>
        </w:rPr>
      </w:pPr>
      <w:r w:rsidDel="00000000" w:rsidR="00000000" w:rsidRPr="00000000">
        <w:rPr>
          <w:rtl w:val="0"/>
        </w:rPr>
      </w:r>
    </w:p>
    <w:p w:rsidR="00000000" w:rsidDel="00000000" w:rsidP="00000000" w:rsidRDefault="00000000" w:rsidRPr="00000000" w14:paraId="0000002F">
      <w:pPr>
        <w:jc w:val="center"/>
        <w:rPr>
          <w:sz w:val="22"/>
          <w:szCs w:val="22"/>
          <w:u w:val="single"/>
        </w:rPr>
      </w:pPr>
      <w:r w:rsidDel="00000000" w:rsidR="00000000" w:rsidRPr="00000000">
        <w:rPr>
          <w:sz w:val="22"/>
          <w:szCs w:val="22"/>
          <w:u w:val="single"/>
          <w:rtl w:val="0"/>
        </w:rPr>
        <w:t xml:space="preserve">1. Importance of Effective Communication in Mrs Thompson’s Care</w:t>
      </w:r>
    </w:p>
    <w:p w:rsidR="00000000" w:rsidDel="00000000" w:rsidP="00000000" w:rsidRDefault="00000000" w:rsidRPr="00000000" w14:paraId="00000030">
      <w:pPr>
        <w:pStyle w:val="Heading2"/>
        <w:keepNext w:val="0"/>
        <w:keepLines w:val="0"/>
        <w:spacing w:after="240" w:before="240" w:lineRule="auto"/>
        <w:jc w:val="both"/>
        <w:rPr>
          <w:sz w:val="22"/>
          <w:szCs w:val="22"/>
        </w:rPr>
      </w:pPr>
      <w:bookmarkStart w:colFirst="0" w:colLast="0" w:name="_ggz584fnm3k" w:id="0"/>
      <w:bookmarkEnd w:id="0"/>
      <w:r w:rsidDel="00000000" w:rsidR="00000000" w:rsidRPr="00000000">
        <w:rPr>
          <w:sz w:val="22"/>
          <w:szCs w:val="22"/>
          <w:rtl w:val="0"/>
        </w:rPr>
        <w:t xml:space="preserve">Effective communication is central to providing safe and respectful care for Mrs Thompson. As she is 84 years old, lives with mild dementia and has recently missed medication, professionals need to communicate in a way that is clear, patient and suited to her level of understanding. Good communication can reduce anxiety, prevent mistakes and help staff recognise early changes in her memory, behaviour or physical health. It also allows Mrs Thompson to remain involved in decisions about her own care rather than having decisions made for her.</w:t>
      </w:r>
    </w:p>
    <w:p w:rsidR="00000000" w:rsidDel="00000000" w:rsidP="00000000" w:rsidRDefault="00000000" w:rsidRPr="00000000" w14:paraId="00000031">
      <w:pPr>
        <w:pStyle w:val="Heading2"/>
        <w:keepNext w:val="0"/>
        <w:keepLines w:val="0"/>
        <w:spacing w:after="240" w:before="240" w:lineRule="auto"/>
        <w:jc w:val="both"/>
        <w:rPr>
          <w:sz w:val="22"/>
          <w:szCs w:val="22"/>
        </w:rPr>
      </w:pPr>
      <w:bookmarkStart w:colFirst="0" w:colLast="0" w:name="_ggz584fnm3k" w:id="0"/>
      <w:bookmarkEnd w:id="0"/>
      <w:r w:rsidDel="00000000" w:rsidR="00000000" w:rsidRPr="00000000">
        <w:rPr>
          <w:sz w:val="22"/>
          <w:szCs w:val="22"/>
          <w:rtl w:val="0"/>
        </w:rPr>
        <w:t xml:space="preserve">Care workers should use straightforward language, short explanations and a calm tone when speaking with her. Information should be given gradually, allowing enough time for Mrs Thompson to process what has been said and respond. Staff should avoid rushing or giving several instructions at the same time, as this may increase confusion. Checking understanding is also important. For example, after discussing medication, a worker could ask Mrs Thompson to repeat the key points in her own words. Written notes, medication charts, clocks, labels or visual prompts may provide additional support. Non-verbal communication is also important, including friendly eye contact, open body language and a reassuring manner.</w:t>
      </w:r>
    </w:p>
    <w:p w:rsidR="00000000" w:rsidDel="00000000" w:rsidP="00000000" w:rsidRDefault="00000000" w:rsidRPr="00000000" w14:paraId="00000032">
      <w:pPr>
        <w:pStyle w:val="Heading2"/>
        <w:keepNext w:val="0"/>
        <w:keepLines w:val="0"/>
        <w:spacing w:after="240" w:before="240" w:lineRule="auto"/>
        <w:jc w:val="both"/>
        <w:rPr>
          <w:sz w:val="22"/>
          <w:szCs w:val="22"/>
        </w:rPr>
      </w:pPr>
      <w:bookmarkStart w:colFirst="0" w:colLast="0" w:name="_ggz584fnm3k" w:id="0"/>
      <w:bookmarkEnd w:id="0"/>
      <w:r w:rsidDel="00000000" w:rsidR="00000000" w:rsidRPr="00000000">
        <w:rPr>
          <w:sz w:val="22"/>
          <w:szCs w:val="22"/>
          <w:rtl w:val="0"/>
        </w:rPr>
        <w:t xml:space="preserve">Berlo’s SMCR model can be applied to Mrs Thompson’s situation. Berlo (1960) explains communication through four elements: source, message, channel and receiver. In this case, the source may be a care worker or nurse, while the message could involve medication, appointments or safety advice. The channel may be spoken communication, written instructions or visual reminders, and the receiver is Mrs Thompson. Because dementia may affect how information is processed and remembered, professionals should choose a channel that makes the message easier for her to understand. Using more than one method, such as verbal explanation supported by a written reminder, may improve communication.</w:t>
      </w:r>
    </w:p>
    <w:p w:rsidR="00000000" w:rsidDel="00000000" w:rsidP="00000000" w:rsidRDefault="00000000" w:rsidRPr="00000000" w14:paraId="00000033">
      <w:pPr>
        <w:pStyle w:val="Heading2"/>
        <w:keepNext w:val="0"/>
        <w:keepLines w:val="0"/>
        <w:spacing w:after="240" w:before="240" w:lineRule="auto"/>
        <w:jc w:val="both"/>
        <w:rPr>
          <w:sz w:val="22"/>
          <w:szCs w:val="22"/>
        </w:rPr>
      </w:pPr>
      <w:bookmarkStart w:colFirst="0" w:colLast="0" w:name="_ggz584fnm3k" w:id="0"/>
      <w:bookmarkEnd w:id="0"/>
      <w:r w:rsidDel="00000000" w:rsidR="00000000" w:rsidRPr="00000000">
        <w:rPr>
          <w:sz w:val="22"/>
          <w:szCs w:val="22"/>
          <w:rtl w:val="0"/>
        </w:rPr>
        <w:t xml:space="preserve">Family members can also contribute useful information about Mrs Thompson’s usual routines and behaviour. However, information should only be shared appropriately and, where possible, with her consent. Professionals should continue to speak directly to Mrs Thompson and involve her in choices about her care.</w:t>
      </w:r>
    </w:p>
    <w:p w:rsidR="00000000" w:rsidDel="00000000" w:rsidP="00000000" w:rsidRDefault="00000000" w:rsidRPr="00000000" w14:paraId="00000034">
      <w:pPr>
        <w:pStyle w:val="Heading2"/>
        <w:keepNext w:val="0"/>
        <w:keepLines w:val="0"/>
        <w:spacing w:after="240" w:before="240" w:lineRule="auto"/>
        <w:jc w:val="both"/>
        <w:rPr>
          <w:sz w:val="22"/>
          <w:szCs w:val="22"/>
        </w:rPr>
      </w:pPr>
      <w:bookmarkStart w:colFirst="0" w:colLast="0" w:name="_ggz584fnm3k" w:id="0"/>
      <w:bookmarkEnd w:id="0"/>
      <w:r w:rsidDel="00000000" w:rsidR="00000000" w:rsidRPr="00000000">
        <w:rPr>
          <w:sz w:val="22"/>
          <w:szCs w:val="22"/>
          <w:rtl w:val="0"/>
        </w:rPr>
        <w:t xml:space="preserve">Communication between professionals is equally necessary. Concerns about missed medicines, increased confusion or changes in behaviour should be passed accurately to relevant members of the care team. This reduces the risk of important information being overlooked and allows support to be adjusted when her needs change.</w:t>
      </w:r>
    </w:p>
    <w:p w:rsidR="00000000" w:rsidDel="00000000" w:rsidP="00000000" w:rsidRDefault="00000000" w:rsidRPr="00000000" w14:paraId="00000035">
      <w:pPr>
        <w:pStyle w:val="Heading2"/>
        <w:keepNext w:val="0"/>
        <w:keepLines w:val="0"/>
        <w:spacing w:after="240" w:before="240" w:lineRule="auto"/>
        <w:jc w:val="both"/>
        <w:rPr>
          <w:sz w:val="22"/>
          <w:szCs w:val="22"/>
        </w:rPr>
      </w:pPr>
      <w:bookmarkStart w:colFirst="0" w:colLast="0" w:name="_4hhpnc41rcvt" w:id="1"/>
      <w:bookmarkEnd w:id="1"/>
      <w:r w:rsidDel="00000000" w:rsidR="00000000" w:rsidRPr="00000000">
        <w:rPr>
          <w:sz w:val="22"/>
          <w:szCs w:val="22"/>
          <w:rtl w:val="0"/>
        </w:rPr>
        <w:t xml:space="preserve">The Equality Act 2010 is relevant because age and disability are protected characteristics. Staff should not assume that Mrs Thompson cannot make decisions because of her age or dementia. Reasonable adjustments may include giving her extra time, repeating information and using simpler formats. Overall, effective communication can promote her safety, dignity, confidence and independence while supporting person-centred care.</w:t>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pStyle w:val="Heading2"/>
        <w:keepNext w:val="0"/>
        <w:keepLines w:val="0"/>
        <w:spacing w:after="80" w:lineRule="auto"/>
        <w:jc w:val="center"/>
        <w:rPr>
          <w:sz w:val="22"/>
          <w:szCs w:val="22"/>
          <w:u w:val="single"/>
        </w:rPr>
      </w:pPr>
      <w:bookmarkStart w:colFirst="0" w:colLast="0" w:name="_32f9o2g3bhi7" w:id="2"/>
      <w:bookmarkEnd w:id="2"/>
      <w:r w:rsidDel="00000000" w:rsidR="00000000" w:rsidRPr="00000000">
        <w:rPr>
          <w:sz w:val="22"/>
          <w:szCs w:val="22"/>
          <w:u w:val="single"/>
          <w:rtl w:val="0"/>
        </w:rPr>
        <w:t xml:space="preserve">2. Importance of Good Administrative Skills in Mrs Thompson’s Care</w:t>
      </w:r>
    </w:p>
    <w:p w:rsidR="00000000" w:rsidDel="00000000" w:rsidP="00000000" w:rsidRDefault="00000000" w:rsidRPr="00000000" w14:paraId="00000038">
      <w:pPr>
        <w:pStyle w:val="Heading2"/>
        <w:keepNext w:val="0"/>
        <w:keepLines w:val="0"/>
        <w:spacing w:after="240" w:before="240" w:lineRule="auto"/>
        <w:jc w:val="both"/>
        <w:rPr>
          <w:sz w:val="22"/>
          <w:szCs w:val="22"/>
        </w:rPr>
      </w:pPr>
      <w:bookmarkStart w:colFirst="0" w:colLast="0" w:name="_k3yzvoa2zqgl" w:id="3"/>
      <w:bookmarkEnd w:id="3"/>
      <w:r w:rsidDel="00000000" w:rsidR="00000000" w:rsidRPr="00000000">
        <w:rPr>
          <w:sz w:val="22"/>
          <w:szCs w:val="22"/>
          <w:rtl w:val="0"/>
        </w:rPr>
        <w:t xml:space="preserve">Good administrative practice is essential in Mrs Thompson’s care because accurate and well-organised information helps professionals provide safe, consistent and appropriate support. Mrs Thompson has mild dementia, recently missed two days of medication and was found outdoors without suitable clothing. These incidents suggest that her needs may be changing and should be monitored carefully. Clear records allow staff to understand what has happened, identify possible risks and decide whether further action or additional support is needed.</w:t>
      </w:r>
    </w:p>
    <w:p w:rsidR="00000000" w:rsidDel="00000000" w:rsidP="00000000" w:rsidRDefault="00000000" w:rsidRPr="00000000" w14:paraId="00000039">
      <w:pPr>
        <w:pStyle w:val="Heading2"/>
        <w:keepNext w:val="0"/>
        <w:keepLines w:val="0"/>
        <w:spacing w:after="240" w:before="240" w:lineRule="auto"/>
        <w:jc w:val="both"/>
        <w:rPr>
          <w:sz w:val="22"/>
          <w:szCs w:val="22"/>
        </w:rPr>
      </w:pPr>
      <w:bookmarkStart w:colFirst="0" w:colLast="0" w:name="_k3yzvoa2zqgl" w:id="3"/>
      <w:bookmarkEnd w:id="3"/>
      <w:r w:rsidDel="00000000" w:rsidR="00000000" w:rsidRPr="00000000">
        <w:rPr>
          <w:sz w:val="22"/>
          <w:szCs w:val="22"/>
          <w:rtl w:val="0"/>
        </w:rPr>
        <w:t xml:space="preserve">Care records should be completed promptly and should contain information that is factual, clear and relevant. Staff should document changes in Mrs Thompson’s condition, missed medication, unusual behaviour and any action taken afterwards. For example, a medication record should show which doses were missed, when this was discovered, who was informed and what response was made. The incident involving Mrs Thompson being outside should also be recorded, including the time, circumstances and actions taken to ensure her safety. You can rephrase it like this while keeping the legal meaning: Regulation 17 requires care organisations to keep service-user records that are clear, accurate, complete and regularly updated so that care can be managed safely and effectively (CQC, 2025). Reliable documentation therefore creates a clear account of her care and supports continuity between different professionals.</w:t>
      </w:r>
    </w:p>
    <w:p w:rsidR="00000000" w:rsidDel="00000000" w:rsidP="00000000" w:rsidRDefault="00000000" w:rsidRPr="00000000" w14:paraId="0000003A">
      <w:pPr>
        <w:pStyle w:val="Heading2"/>
        <w:keepNext w:val="0"/>
        <w:keepLines w:val="0"/>
        <w:spacing w:after="240" w:before="240" w:lineRule="auto"/>
        <w:jc w:val="both"/>
        <w:rPr>
          <w:sz w:val="22"/>
          <w:szCs w:val="22"/>
        </w:rPr>
      </w:pPr>
      <w:bookmarkStart w:colFirst="0" w:colLast="0" w:name="_k3yzvoa2zqgl" w:id="3"/>
      <w:bookmarkEnd w:id="3"/>
      <w:r w:rsidDel="00000000" w:rsidR="00000000" w:rsidRPr="00000000">
        <w:rPr>
          <w:sz w:val="22"/>
          <w:szCs w:val="22"/>
          <w:rtl w:val="0"/>
        </w:rPr>
        <w:t xml:space="preserve">Protecting Mrs Thompson’s personal information is another important administrative responsibility. Her care records contain sensitive details about her health, dementia, medication and daily support needs. The Data Protection Act 2018, together with the UK GDPR, sets requirements for how personal information should be handled. Health information is treated as special category data and requires a higher level of protection (ICO, 2024). Staff should only view or use information that is necessary for their professional responsibilities.</w:t>
      </w:r>
    </w:p>
    <w:p w:rsidR="00000000" w:rsidDel="00000000" w:rsidP="00000000" w:rsidRDefault="00000000" w:rsidRPr="00000000" w14:paraId="0000003B">
      <w:pPr>
        <w:pStyle w:val="Heading2"/>
        <w:keepNext w:val="0"/>
        <w:keepLines w:val="0"/>
        <w:spacing w:after="240" w:before="240" w:lineRule="auto"/>
        <w:jc w:val="both"/>
        <w:rPr>
          <w:sz w:val="22"/>
          <w:szCs w:val="22"/>
        </w:rPr>
      </w:pPr>
      <w:bookmarkStart w:colFirst="0" w:colLast="0" w:name="_k3yzvoa2zqgl" w:id="3"/>
      <w:bookmarkEnd w:id="3"/>
      <w:r w:rsidDel="00000000" w:rsidR="00000000" w:rsidRPr="00000000">
        <w:rPr>
          <w:sz w:val="22"/>
          <w:szCs w:val="22"/>
          <w:rtl w:val="0"/>
        </w:rPr>
        <w:t xml:space="preserve">Records should also be kept securely. Electronic systems should have password protection and appropriate access controls, while paper documents should be stored in locked or secure locations. Information should not be left visible to unauthorised people, and staff should avoid discussing confidential matters in public areas. The UK GDPR also requires personal information to be accurate, relevant and limited to what is necessary (ICO, 2026). Any incorrect information should therefore be updated promptly.</w:t>
      </w:r>
    </w:p>
    <w:p w:rsidR="00000000" w:rsidDel="00000000" w:rsidP="00000000" w:rsidRDefault="00000000" w:rsidRPr="00000000" w14:paraId="0000003C">
      <w:pPr>
        <w:pStyle w:val="Heading2"/>
        <w:keepNext w:val="0"/>
        <w:keepLines w:val="0"/>
        <w:spacing w:after="240" w:before="240" w:lineRule="auto"/>
        <w:jc w:val="both"/>
        <w:rPr>
          <w:sz w:val="22"/>
          <w:szCs w:val="22"/>
        </w:rPr>
      </w:pPr>
      <w:bookmarkStart w:colFirst="0" w:colLast="0" w:name="_k3yzvoa2zqgl" w:id="3"/>
      <w:bookmarkEnd w:id="3"/>
      <w:r w:rsidDel="00000000" w:rsidR="00000000" w:rsidRPr="00000000">
        <w:rPr>
          <w:sz w:val="22"/>
          <w:szCs w:val="22"/>
          <w:rtl w:val="0"/>
        </w:rPr>
        <w:t xml:space="preserve">At the same time, confidentiality should not prevent appropriate information sharing. Relevant details may need to be shared with the GP, community nurse, domiciliary care team or local authority when this is necessary to protect Mrs Thompson’s wellbeing. Information sharing should remain proportionate and follow organisational procedures.</w:t>
      </w:r>
    </w:p>
    <w:p w:rsidR="00000000" w:rsidDel="00000000" w:rsidP="00000000" w:rsidRDefault="00000000" w:rsidRPr="00000000" w14:paraId="0000003D">
      <w:pPr>
        <w:pStyle w:val="Heading2"/>
        <w:keepNext w:val="0"/>
        <w:keepLines w:val="0"/>
        <w:spacing w:after="240" w:before="240" w:lineRule="auto"/>
        <w:jc w:val="both"/>
        <w:rPr>
          <w:sz w:val="22"/>
          <w:szCs w:val="22"/>
          <w:u w:val="single"/>
        </w:rPr>
      </w:pPr>
      <w:bookmarkStart w:colFirst="0" w:colLast="0" w:name="_m6y3dodkzwhy" w:id="4"/>
      <w:bookmarkEnd w:id="4"/>
      <w:r w:rsidDel="00000000" w:rsidR="00000000" w:rsidRPr="00000000">
        <w:rPr>
          <w:sz w:val="22"/>
          <w:szCs w:val="22"/>
          <w:rtl w:val="0"/>
        </w:rPr>
        <w:t xml:space="preserve">The Care Act 2014 is also relevant because local authorities have duties relating to assessment, wellbeing and safeguarding. Overall, effective administrative practice supports accountability, protects confidentiality, improves communication between services and helps professionals respond quickly when Mrs Thompson’s needs or risks change.</w:t>
      </w:r>
      <w:r w:rsidDel="00000000" w:rsidR="00000000" w:rsidRPr="00000000">
        <w:rPr>
          <w:rtl w:val="0"/>
        </w:rPr>
      </w:r>
    </w:p>
    <w:p w:rsidR="00000000" w:rsidDel="00000000" w:rsidP="00000000" w:rsidRDefault="00000000" w:rsidRPr="00000000" w14:paraId="0000003E">
      <w:pPr>
        <w:pStyle w:val="Heading2"/>
        <w:keepNext w:val="0"/>
        <w:keepLines w:val="0"/>
        <w:spacing w:after="80" w:lineRule="auto"/>
        <w:jc w:val="center"/>
        <w:rPr>
          <w:sz w:val="22"/>
          <w:szCs w:val="22"/>
          <w:u w:val="single"/>
        </w:rPr>
      </w:pPr>
      <w:bookmarkStart w:colFirst="0" w:colLast="0" w:name="_nsznxrlhwn3f" w:id="5"/>
      <w:bookmarkEnd w:id="5"/>
      <w:r w:rsidDel="00000000" w:rsidR="00000000" w:rsidRPr="00000000">
        <w:rPr>
          <w:sz w:val="22"/>
          <w:szCs w:val="22"/>
          <w:u w:val="single"/>
          <w:rtl w:val="0"/>
        </w:rPr>
        <w:t xml:space="preserve">3. Importance of Collaborative Working in Mrs Thompson’s Care</w:t>
      </w:r>
    </w:p>
    <w:p w:rsidR="00000000" w:rsidDel="00000000" w:rsidP="00000000" w:rsidRDefault="00000000" w:rsidRPr="00000000" w14:paraId="0000003F">
      <w:pPr>
        <w:spacing w:after="240" w:before="240" w:lineRule="auto"/>
        <w:jc w:val="both"/>
        <w:rPr/>
      </w:pPr>
      <w:r w:rsidDel="00000000" w:rsidR="00000000" w:rsidRPr="00000000">
        <w:rPr>
          <w:rtl w:val="0"/>
        </w:rPr>
        <w:t xml:space="preserve">Collaborative working is important in Mrs Thompson’s care because several professionals are involved in protecting her health, safety and independence. Her GP, community nurse, domiciliary carers and local council may each have different information about her needs. By communicating effectively and sharing relevant concerns, they can develop a more complete understanding of her situation and respond quickly when her condition changes.</w:t>
      </w:r>
    </w:p>
    <w:p w:rsidR="00000000" w:rsidDel="00000000" w:rsidP="00000000" w:rsidRDefault="00000000" w:rsidRPr="00000000" w14:paraId="00000040">
      <w:pPr>
        <w:spacing w:after="240" w:before="240" w:lineRule="auto"/>
        <w:jc w:val="both"/>
        <w:rPr/>
      </w:pPr>
      <w:r w:rsidDel="00000000" w:rsidR="00000000" w:rsidRPr="00000000">
        <w:rPr>
          <w:rtl w:val="0"/>
        </w:rPr>
        <w:t xml:space="preserve">Each professional has a different role. The GP can review Mrs Thompson’s medication and investigate whether her increased confusion is related to missed doses, infection or another health problem. The community nurse can monitor her recovery following pneumonia and identify changes in her physical or mental wellbeing. Domiciliary carers are also important because they visit her regularly and may notice changes in her behaviour, memory, mobility, eating habits or ability to manage medication. The local council can reassess her care package and decide whether twice-daily support is still suitable.</w:t>
      </w:r>
    </w:p>
    <w:p w:rsidR="00000000" w:rsidDel="00000000" w:rsidP="00000000" w:rsidRDefault="00000000" w:rsidRPr="00000000" w14:paraId="00000041">
      <w:pPr>
        <w:spacing w:after="240" w:before="240" w:lineRule="auto"/>
        <w:jc w:val="both"/>
        <w:rPr/>
      </w:pPr>
      <w:r w:rsidDel="00000000" w:rsidR="00000000" w:rsidRPr="00000000">
        <w:rPr>
          <w:rtl w:val="0"/>
        </w:rPr>
        <w:t xml:space="preserve">Good teamwork can be supported through regular communication, shared care plans, accurate documentation and clearly defined responsibilities. Multi-disciplinary meetings may also help professionals discuss concerns and agree on appropriate actions. NICE (2018) recommends coordinated and person-centred support for people living with dementia, particularly where several services are involved. Mrs Thompson should also be included in discussions and decisions whenever possible.</w:t>
      </w:r>
    </w:p>
    <w:p w:rsidR="00000000" w:rsidDel="00000000" w:rsidP="00000000" w:rsidRDefault="00000000" w:rsidRPr="00000000" w14:paraId="00000042">
      <w:pPr>
        <w:spacing w:after="240" w:before="240" w:lineRule="auto"/>
        <w:jc w:val="both"/>
        <w:rPr/>
      </w:pPr>
      <w:r w:rsidDel="00000000" w:rsidR="00000000" w:rsidRPr="00000000">
        <w:rPr>
          <w:rtl w:val="0"/>
        </w:rPr>
        <w:t xml:space="preserve">However, collaborative working can face challenges, including delayed communication, unclear roles, different record systems and disagreements between professionals. These difficulties can be reduced by using secure information-sharing systems, maintaining up-to-date records and agreeing who will coordinate her care.</w:t>
      </w:r>
    </w:p>
    <w:p w:rsidR="00000000" w:rsidDel="00000000" w:rsidP="00000000" w:rsidRDefault="00000000" w:rsidRPr="00000000" w14:paraId="00000043">
      <w:pPr>
        <w:spacing w:after="240" w:before="240" w:lineRule="auto"/>
        <w:jc w:val="both"/>
        <w:rPr/>
      </w:pPr>
      <w:r w:rsidDel="00000000" w:rsidR="00000000" w:rsidRPr="00000000">
        <w:rPr>
          <w:rtl w:val="0"/>
        </w:rPr>
        <w:t xml:space="preserve">The Care Act 2014 also encourages cooperation between health and social care services. Overall, effective collaboration can reduce gaps in care, improve continuity, identify risks earlier and help Mrs Thompson maintain her safety, dignity, independence and quality of life.</w:t>
      </w:r>
    </w:p>
    <w:p w:rsidR="00000000" w:rsidDel="00000000" w:rsidP="00000000" w:rsidRDefault="00000000" w:rsidRPr="00000000" w14:paraId="00000044">
      <w:pPr>
        <w:spacing w:after="240" w:before="240" w:lineRule="auto"/>
        <w:jc w:val="both"/>
        <w:rPr/>
      </w:pPr>
      <w:r w:rsidDel="00000000" w:rsidR="00000000" w:rsidRPr="00000000">
        <w:rPr>
          <w:rtl w:val="0"/>
        </w:rPr>
      </w:r>
    </w:p>
    <w:p w:rsidR="00000000" w:rsidDel="00000000" w:rsidP="00000000" w:rsidRDefault="00000000" w:rsidRPr="00000000" w14:paraId="00000045">
      <w:pPr>
        <w:spacing w:after="240" w:before="240" w:lineRule="auto"/>
        <w:jc w:val="both"/>
        <w:rPr/>
      </w:pPr>
      <w:r w:rsidDel="00000000" w:rsidR="00000000" w:rsidRPr="00000000">
        <w:rPr>
          <w:rtl w:val="0"/>
        </w:rPr>
      </w:r>
    </w:p>
    <w:p w:rsidR="00000000" w:rsidDel="00000000" w:rsidP="00000000" w:rsidRDefault="00000000" w:rsidRPr="00000000" w14:paraId="00000046">
      <w:pPr>
        <w:pStyle w:val="Heading2"/>
        <w:keepNext w:val="0"/>
        <w:keepLines w:val="0"/>
        <w:spacing w:after="80" w:lineRule="auto"/>
        <w:jc w:val="center"/>
        <w:rPr>
          <w:sz w:val="22"/>
          <w:szCs w:val="22"/>
          <w:u w:val="single"/>
        </w:rPr>
      </w:pPr>
      <w:bookmarkStart w:colFirst="0" w:colLast="0" w:name="_crjhe4dbjk22" w:id="6"/>
      <w:bookmarkEnd w:id="6"/>
      <w:r w:rsidDel="00000000" w:rsidR="00000000" w:rsidRPr="00000000">
        <w:rPr>
          <w:sz w:val="22"/>
          <w:szCs w:val="22"/>
          <w:u w:val="single"/>
          <w:rtl w:val="0"/>
        </w:rPr>
        <w:t xml:space="preserve">Conclusion</w:t>
      </w:r>
    </w:p>
    <w:p w:rsidR="00000000" w:rsidDel="00000000" w:rsidP="00000000" w:rsidRDefault="00000000" w:rsidRPr="00000000" w14:paraId="00000047">
      <w:pPr>
        <w:spacing w:after="240" w:before="240" w:lineRule="auto"/>
        <w:jc w:val="both"/>
        <w:rPr/>
      </w:pPr>
      <w:r w:rsidDel="00000000" w:rsidR="00000000" w:rsidRPr="00000000">
        <w:rPr>
          <w:rtl w:val="0"/>
        </w:rPr>
      </w:r>
    </w:p>
    <w:p w:rsidR="00000000" w:rsidDel="00000000" w:rsidP="00000000" w:rsidRDefault="00000000" w:rsidRPr="00000000" w14:paraId="00000048">
      <w:pPr>
        <w:spacing w:after="240" w:before="240" w:lineRule="auto"/>
        <w:jc w:val="both"/>
        <w:rPr/>
      </w:pPr>
      <w:r w:rsidDel="00000000" w:rsidR="00000000" w:rsidRPr="00000000">
        <w:rPr>
          <w:rtl w:val="0"/>
        </w:rPr>
        <w:t xml:space="preserve">Mrs Thompson’s situation demonstrates the importance of clear communication, organised administrative practice and effective teamwork between health and social care professionals .Because she has mild dementia, professionals should communicate clearly, use simple language and check her understanding. Berlo’s SMCR model helps explain how messages should be adapted so information is easier for her to receive. The Equality Act 2010 also supports fair treatment and reasonable adjustments. Accurate record keeping is equally important because it creates a clear history of missed medication, confusion and safety concerns. The Data Protection Act 2018 requires this information to be stored and shared securely. Finally, cooperation between the GP, community nurse, domiciliary care workers and local council helps ensure that risks are identified and managed quickly. By sharing information, respecting professional roles and involving Mrs Thompson in decisions, the care team can protect her safety, dignity, independence and overall wellbeing while providing consistent, person-centred support.</w:t>
      </w:r>
    </w:p>
    <w:p w:rsidR="00000000" w:rsidDel="00000000" w:rsidP="00000000" w:rsidRDefault="00000000" w:rsidRPr="00000000" w14:paraId="00000049">
      <w:pPr>
        <w:pStyle w:val="Heading2"/>
        <w:keepNext w:val="0"/>
        <w:keepLines w:val="0"/>
        <w:spacing w:after="80" w:lineRule="auto"/>
        <w:jc w:val="center"/>
        <w:rPr>
          <w:b w:val="1"/>
          <w:bCs w:val="1"/>
          <w:sz w:val="24"/>
          <w:szCs w:val="24"/>
          <w:u w:val="single"/>
        </w:rPr>
      </w:pPr>
      <w:bookmarkStart w:colFirst="0" w:colLast="0" w:name="_7jr07rwtcuzm" w:id="7"/>
      <w:bookmarkEnd w:id="7"/>
      <w:r w:rsidDel="00000000" w:rsidR="00000000" w:rsidRPr="00000000">
        <w:rPr>
          <w:b w:val="1"/>
          <w:bCs w:val="1"/>
          <w:sz w:val="24"/>
          <w:szCs w:val="24"/>
          <w:u w:val="single"/>
          <w:rtl w:val="0"/>
        </w:rPr>
        <w:t xml:space="preserve">References</w:t>
      </w:r>
    </w:p>
    <w:p w:rsidR="00000000" w:rsidDel="00000000" w:rsidP="00000000" w:rsidRDefault="00000000" w:rsidRPr="00000000" w14:paraId="0000004A">
      <w:pPr>
        <w:spacing w:after="240" w:before="240" w:lineRule="auto"/>
        <w:rPr>
          <w:sz w:val="24"/>
          <w:szCs w:val="24"/>
        </w:rPr>
      </w:pPr>
      <w:r w:rsidDel="00000000" w:rsidR="00000000" w:rsidRPr="00000000">
        <w:rPr>
          <w:sz w:val="24"/>
          <w:szCs w:val="24"/>
          <w:rtl w:val="0"/>
        </w:rPr>
        <w:t xml:space="preserve">Berlo, D.K. (1960) </w:t>
      </w:r>
      <w:r w:rsidDel="00000000" w:rsidR="00000000" w:rsidRPr="00000000">
        <w:rPr>
          <w:i w:val="1"/>
          <w:iCs w:val="1"/>
          <w:sz w:val="24"/>
          <w:szCs w:val="24"/>
          <w:rtl w:val="0"/>
        </w:rPr>
        <w:t xml:space="preserve">The Process of Communication: An Introduction to Theory and Practice</w:t>
      </w:r>
      <w:r w:rsidDel="00000000" w:rsidR="00000000" w:rsidRPr="00000000">
        <w:rPr>
          <w:sz w:val="24"/>
          <w:szCs w:val="24"/>
          <w:rtl w:val="0"/>
        </w:rPr>
        <w:t xml:space="preserve">. New York: Holt, Rinehart and Winston.</w:t>
      </w:r>
    </w:p>
    <w:p w:rsidR="00000000" w:rsidDel="00000000" w:rsidP="00000000" w:rsidRDefault="00000000" w:rsidRPr="00000000" w14:paraId="0000004B">
      <w:pPr>
        <w:spacing w:after="240" w:before="240" w:lineRule="auto"/>
        <w:rPr>
          <w:sz w:val="24"/>
          <w:szCs w:val="24"/>
        </w:rPr>
      </w:pPr>
      <w:r w:rsidDel="00000000" w:rsidR="00000000" w:rsidRPr="00000000">
        <w:rPr>
          <w:sz w:val="24"/>
          <w:szCs w:val="24"/>
          <w:rtl w:val="0"/>
        </w:rPr>
        <w:t xml:space="preserve">Care Quality Commission (CQC) (2025) </w:t>
      </w:r>
      <w:r w:rsidDel="00000000" w:rsidR="00000000" w:rsidRPr="00000000">
        <w:rPr>
          <w:i w:val="1"/>
          <w:iCs w:val="1"/>
          <w:sz w:val="24"/>
          <w:szCs w:val="24"/>
          <w:rtl w:val="0"/>
        </w:rPr>
        <w:t xml:space="preserve">Regulation 17: Good governance</w:t>
      </w:r>
      <w:r w:rsidDel="00000000" w:rsidR="00000000" w:rsidRPr="00000000">
        <w:rPr>
          <w:sz w:val="24"/>
          <w:szCs w:val="24"/>
          <w:rtl w:val="0"/>
        </w:rPr>
        <w:t xml:space="preserve">. Available at: https://www.cqc.org.uk/guidance-regulation/providers/regulations-service-providers-and-managers/health-social-care-act/regulation-17 (Accessed: 13 August 2026).</w:t>
      </w:r>
    </w:p>
    <w:p w:rsidR="00000000" w:rsidDel="00000000" w:rsidP="00000000" w:rsidRDefault="00000000" w:rsidRPr="00000000" w14:paraId="0000004C">
      <w:pPr>
        <w:spacing w:after="240" w:before="240" w:lineRule="auto"/>
        <w:rPr>
          <w:sz w:val="24"/>
          <w:szCs w:val="24"/>
        </w:rPr>
      </w:pPr>
      <w:r w:rsidDel="00000000" w:rsidR="00000000" w:rsidRPr="00000000">
        <w:rPr>
          <w:sz w:val="24"/>
          <w:szCs w:val="24"/>
          <w:rtl w:val="0"/>
        </w:rPr>
        <w:t xml:space="preserve">Great Britain (2010) </w:t>
      </w:r>
      <w:r w:rsidDel="00000000" w:rsidR="00000000" w:rsidRPr="00000000">
        <w:rPr>
          <w:i w:val="1"/>
          <w:iCs w:val="1"/>
          <w:sz w:val="24"/>
          <w:szCs w:val="24"/>
          <w:rtl w:val="0"/>
        </w:rPr>
        <w:t xml:space="preserve">Equality Act 2010</w:t>
      </w:r>
      <w:r w:rsidDel="00000000" w:rsidR="00000000" w:rsidRPr="00000000">
        <w:rPr>
          <w:sz w:val="24"/>
          <w:szCs w:val="24"/>
          <w:rtl w:val="0"/>
        </w:rPr>
        <w:t xml:space="preserve">. London: The Stationery Office. Available at: https://www.legislation.gov.uk/ukpga/2010/15/contents (Accessed: 20 August 2026).</w:t>
      </w:r>
    </w:p>
    <w:p w:rsidR="00000000" w:rsidDel="00000000" w:rsidP="00000000" w:rsidRDefault="00000000" w:rsidRPr="00000000" w14:paraId="0000004D">
      <w:pPr>
        <w:spacing w:after="240" w:before="240" w:lineRule="auto"/>
        <w:rPr>
          <w:sz w:val="24"/>
          <w:szCs w:val="24"/>
        </w:rPr>
      </w:pPr>
      <w:r w:rsidDel="00000000" w:rsidR="00000000" w:rsidRPr="00000000">
        <w:rPr>
          <w:sz w:val="24"/>
          <w:szCs w:val="24"/>
          <w:rtl w:val="0"/>
        </w:rPr>
        <w:t xml:space="preserve">Great Britain (2014) </w:t>
      </w:r>
      <w:r w:rsidDel="00000000" w:rsidR="00000000" w:rsidRPr="00000000">
        <w:rPr>
          <w:i w:val="1"/>
          <w:iCs w:val="1"/>
          <w:sz w:val="24"/>
          <w:szCs w:val="24"/>
          <w:rtl w:val="0"/>
        </w:rPr>
        <w:t xml:space="preserve">Care Act 2014</w:t>
      </w:r>
      <w:r w:rsidDel="00000000" w:rsidR="00000000" w:rsidRPr="00000000">
        <w:rPr>
          <w:sz w:val="24"/>
          <w:szCs w:val="24"/>
          <w:rtl w:val="0"/>
        </w:rPr>
        <w:t xml:space="preserve">. London: The Stationery Office. Available at: https://www.legislation.gov.uk/ukpga/2014/23/contents (Accessed: 20 August 2026).</w:t>
      </w:r>
    </w:p>
    <w:p w:rsidR="00000000" w:rsidDel="00000000" w:rsidP="00000000" w:rsidRDefault="00000000" w:rsidRPr="00000000" w14:paraId="0000004E">
      <w:pPr>
        <w:spacing w:after="240" w:before="240" w:lineRule="auto"/>
        <w:rPr>
          <w:sz w:val="24"/>
          <w:szCs w:val="24"/>
        </w:rPr>
      </w:pPr>
      <w:r w:rsidDel="00000000" w:rsidR="00000000" w:rsidRPr="00000000">
        <w:rPr>
          <w:sz w:val="24"/>
          <w:szCs w:val="24"/>
          <w:rtl w:val="0"/>
        </w:rPr>
        <w:t xml:space="preserve">Great Britain (2014) </w:t>
      </w:r>
      <w:r w:rsidDel="00000000" w:rsidR="00000000" w:rsidRPr="00000000">
        <w:rPr>
          <w:i w:val="1"/>
          <w:iCs w:val="1"/>
          <w:sz w:val="24"/>
          <w:szCs w:val="24"/>
          <w:rtl w:val="0"/>
        </w:rPr>
        <w:t xml:space="preserve">The Health and Social Care Act 2008 (Regulated Activities) Regulations 2014</w:t>
      </w:r>
      <w:r w:rsidDel="00000000" w:rsidR="00000000" w:rsidRPr="00000000">
        <w:rPr>
          <w:sz w:val="24"/>
          <w:szCs w:val="24"/>
          <w:rtl w:val="0"/>
        </w:rPr>
        <w:t xml:space="preserve">. SI 2014/2936. London: The Stationery Office. Available at: https://www.legislation.gov.uk/uksi/2014/2936/contents (Accessed: 20 August 2026).</w:t>
      </w:r>
    </w:p>
    <w:p w:rsidR="00000000" w:rsidDel="00000000" w:rsidP="00000000" w:rsidRDefault="00000000" w:rsidRPr="00000000" w14:paraId="0000004F">
      <w:pPr>
        <w:spacing w:after="240" w:before="240" w:lineRule="auto"/>
        <w:rPr>
          <w:sz w:val="24"/>
          <w:szCs w:val="24"/>
        </w:rPr>
      </w:pPr>
      <w:r w:rsidDel="00000000" w:rsidR="00000000" w:rsidRPr="00000000">
        <w:rPr>
          <w:sz w:val="24"/>
          <w:szCs w:val="24"/>
          <w:rtl w:val="0"/>
        </w:rPr>
        <w:t xml:space="preserve">Great Britain (2018) </w:t>
      </w:r>
      <w:r w:rsidDel="00000000" w:rsidR="00000000" w:rsidRPr="00000000">
        <w:rPr>
          <w:i w:val="1"/>
          <w:iCs w:val="1"/>
          <w:sz w:val="24"/>
          <w:szCs w:val="24"/>
          <w:rtl w:val="0"/>
        </w:rPr>
        <w:t xml:space="preserve">Data Protection Act 2018</w:t>
      </w:r>
      <w:r w:rsidDel="00000000" w:rsidR="00000000" w:rsidRPr="00000000">
        <w:rPr>
          <w:sz w:val="24"/>
          <w:szCs w:val="24"/>
          <w:rtl w:val="0"/>
        </w:rPr>
        <w:t xml:space="preserve">. London: The Stationery Office. Available at: https://www.legislation.gov.uk/ukpga/2018/12/contents (Accessed: 20 August 2026).</w:t>
      </w:r>
    </w:p>
    <w:p w:rsidR="00000000" w:rsidDel="00000000" w:rsidP="00000000" w:rsidRDefault="00000000" w:rsidRPr="00000000" w14:paraId="00000050">
      <w:pPr>
        <w:spacing w:after="240" w:before="240" w:lineRule="auto"/>
        <w:rPr>
          <w:sz w:val="24"/>
          <w:szCs w:val="24"/>
        </w:rPr>
      </w:pPr>
      <w:r w:rsidDel="00000000" w:rsidR="00000000" w:rsidRPr="00000000">
        <w:rPr>
          <w:sz w:val="24"/>
          <w:szCs w:val="24"/>
          <w:rtl w:val="0"/>
        </w:rPr>
        <w:t xml:space="preserve">Information Commissioner’s Office (ICO) (2026) </w:t>
      </w:r>
      <w:r w:rsidDel="00000000" w:rsidR="00000000" w:rsidRPr="00000000">
        <w:rPr>
          <w:i w:val="1"/>
          <w:iCs w:val="1"/>
          <w:sz w:val="24"/>
          <w:szCs w:val="24"/>
          <w:rtl w:val="0"/>
        </w:rPr>
        <w:t xml:space="preserve">A guide to the data protection principles</w:t>
      </w:r>
      <w:r w:rsidDel="00000000" w:rsidR="00000000" w:rsidRPr="00000000">
        <w:rPr>
          <w:sz w:val="24"/>
          <w:szCs w:val="24"/>
          <w:rtl w:val="0"/>
        </w:rPr>
        <w:t xml:space="preserve">. Available at: https://ico.org.uk/for-organisations/uk-gdpr-guidance-and-resources/data-protection-principles/a-guide-to-the-data-protection-principles/ (Accessed: 20 August 2026).</w:t>
      </w:r>
    </w:p>
    <w:p w:rsidR="00000000" w:rsidDel="00000000" w:rsidP="00000000" w:rsidRDefault="00000000" w:rsidRPr="00000000" w14:paraId="00000051">
      <w:pPr>
        <w:spacing w:after="240" w:before="240" w:lineRule="auto"/>
        <w:rPr>
          <w:sz w:val="24"/>
          <w:szCs w:val="24"/>
        </w:rPr>
      </w:pPr>
      <w:r w:rsidDel="00000000" w:rsidR="00000000" w:rsidRPr="00000000">
        <w:rPr>
          <w:sz w:val="24"/>
          <w:szCs w:val="24"/>
          <w:rtl w:val="0"/>
        </w:rPr>
        <w:t xml:space="preserve">Information Commissioner’s Office (ICO) (2026) </w:t>
      </w:r>
      <w:r w:rsidDel="00000000" w:rsidR="00000000" w:rsidRPr="00000000">
        <w:rPr>
          <w:i w:val="1"/>
          <w:iCs w:val="1"/>
          <w:sz w:val="24"/>
          <w:szCs w:val="24"/>
          <w:rtl w:val="0"/>
        </w:rPr>
        <w:t xml:space="preserve">Special category data</w:t>
      </w:r>
      <w:r w:rsidDel="00000000" w:rsidR="00000000" w:rsidRPr="00000000">
        <w:rPr>
          <w:sz w:val="24"/>
          <w:szCs w:val="24"/>
          <w:rtl w:val="0"/>
        </w:rPr>
        <w:t xml:space="preserve">. Available at: https://ico.org.uk/for-organisations/uk-gdpr-guidance-and-resources/lawful-basis/special-category-data/ (Accessed: 20 August 2026).</w:t>
      </w:r>
    </w:p>
    <w:p w:rsidR="00000000" w:rsidDel="00000000" w:rsidP="00000000" w:rsidRDefault="00000000" w:rsidRPr="00000000" w14:paraId="00000052">
      <w:pPr>
        <w:spacing w:after="240" w:before="240" w:lineRule="auto"/>
        <w:rPr>
          <w:sz w:val="24"/>
          <w:szCs w:val="24"/>
        </w:rPr>
      </w:pPr>
      <w:r w:rsidDel="00000000" w:rsidR="00000000" w:rsidRPr="00000000">
        <w:rPr>
          <w:sz w:val="24"/>
          <w:szCs w:val="24"/>
          <w:rtl w:val="0"/>
        </w:rPr>
        <w:t xml:space="preserve">National Institute for Health and Care Excellence (NICE) (2018) </w:t>
      </w:r>
      <w:r w:rsidDel="00000000" w:rsidR="00000000" w:rsidRPr="00000000">
        <w:rPr>
          <w:i w:val="1"/>
          <w:iCs w:val="1"/>
          <w:sz w:val="24"/>
          <w:szCs w:val="24"/>
          <w:rtl w:val="0"/>
        </w:rPr>
        <w:t xml:space="preserve">Dementia: assessment, management and support for people living with dementia and their carers</w:t>
      </w:r>
      <w:r w:rsidDel="00000000" w:rsidR="00000000" w:rsidRPr="00000000">
        <w:rPr>
          <w:sz w:val="24"/>
          <w:szCs w:val="24"/>
          <w:rtl w:val="0"/>
        </w:rPr>
        <w:t xml:space="preserve">. NICE guideline NG97. Available at: https://www.nice.org.uk/guidance/ng97 (Accessed: 20 August 2026).</w:t>
      </w:r>
    </w:p>
    <w:p w:rsidR="00000000" w:rsidDel="00000000" w:rsidP="00000000" w:rsidRDefault="00000000" w:rsidRPr="00000000" w14:paraId="00000053">
      <w:pPr>
        <w:rPr>
          <w:sz w:val="24"/>
          <w:szCs w:val="24"/>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https://moodle.uwtsd.ac.uk/course/view.php?id=10754"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