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0204" w14:textId="2176E231" w:rsidR="00EB6672" w:rsidRDefault="00EB6672">
      <w:pPr>
        <w:rPr>
          <w:rFonts w:ascii="Inter-Regular" w:eastAsiaTheme="minorHAnsi" w:hAnsi="Inter-Regular" w:cs="Inter-Regular"/>
          <w:color w:val="151515"/>
          <w:position w:val="6"/>
          <w:sz w:val="28"/>
          <w:szCs w:val="28"/>
          <w:lang w:eastAsia="en-US"/>
          <w14:ligatures w14:val="standardContextual"/>
        </w:rPr>
      </w:pPr>
    </w:p>
    <w:p w14:paraId="7452856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71CBA76"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BD9DFC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CC38CBB"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07E5E1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0B94B19"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758F5F62" w14:textId="77777777" w:rsidR="00B7475B" w:rsidRDefault="00B7475B" w:rsidP="00B7475B">
      <w:pPr>
        <w:spacing w:before="120" w:after="120"/>
        <w:jc w:val="center"/>
        <w:rPr>
          <w:rFonts w:ascii="Arial" w:hAnsi="Arial" w:cs="Arial"/>
          <w:b/>
        </w:rPr>
      </w:pPr>
    </w:p>
    <w:p w14:paraId="2E0FA6D7" w14:textId="77777777" w:rsidR="00236DA3" w:rsidRDefault="00236DA3" w:rsidP="00B7475B">
      <w:pPr>
        <w:spacing w:before="120" w:after="120"/>
        <w:jc w:val="center"/>
        <w:rPr>
          <w:rFonts w:ascii="Arial" w:hAnsi="Arial" w:cs="Arial"/>
          <w:b/>
        </w:rPr>
      </w:pPr>
    </w:p>
    <w:p w14:paraId="398C5F84" w14:textId="77777777" w:rsidR="00236DA3" w:rsidRDefault="00236DA3" w:rsidP="00B7475B">
      <w:pPr>
        <w:spacing w:before="120" w:after="120"/>
        <w:jc w:val="center"/>
        <w:rPr>
          <w:rFonts w:ascii="Arial" w:hAnsi="Arial" w:cs="Arial"/>
          <w:b/>
        </w:rPr>
      </w:pPr>
    </w:p>
    <w:p w14:paraId="7C5FDE4A" w14:textId="77777777" w:rsidR="00236DA3" w:rsidRDefault="00236DA3" w:rsidP="00B7475B">
      <w:pPr>
        <w:spacing w:before="120" w:after="120"/>
        <w:jc w:val="center"/>
        <w:rPr>
          <w:rFonts w:ascii="Arial" w:hAnsi="Arial" w:cs="Arial"/>
          <w:b/>
        </w:rPr>
      </w:pPr>
    </w:p>
    <w:p w14:paraId="17E9D535" w14:textId="77777777" w:rsidR="00236DA3" w:rsidRDefault="00236DA3" w:rsidP="00B7475B">
      <w:pPr>
        <w:spacing w:before="120" w:after="120"/>
        <w:jc w:val="center"/>
        <w:rPr>
          <w:rFonts w:ascii="Arial" w:hAnsi="Arial" w:cs="Arial"/>
          <w:b/>
        </w:rPr>
      </w:pPr>
    </w:p>
    <w:p w14:paraId="58A56867" w14:textId="77777777" w:rsidR="00236DA3" w:rsidRDefault="00236DA3" w:rsidP="00B7475B">
      <w:pPr>
        <w:spacing w:before="120" w:after="120"/>
        <w:jc w:val="center"/>
        <w:rPr>
          <w:rFonts w:ascii="Arial" w:hAnsi="Arial" w:cs="Arial"/>
          <w:b/>
        </w:rPr>
      </w:pPr>
    </w:p>
    <w:p w14:paraId="783B7E34" w14:textId="77777777" w:rsidR="00236DA3" w:rsidRDefault="00236DA3" w:rsidP="00B7475B">
      <w:pPr>
        <w:spacing w:before="120" w:after="120"/>
        <w:jc w:val="center"/>
        <w:rPr>
          <w:rFonts w:ascii="Arial" w:hAnsi="Arial" w:cs="Arial"/>
          <w:b/>
        </w:rPr>
      </w:pPr>
    </w:p>
    <w:p w14:paraId="59FDF42D" w14:textId="77777777" w:rsidR="00236DA3" w:rsidRDefault="00236DA3" w:rsidP="00B7475B">
      <w:pPr>
        <w:spacing w:before="120" w:after="120"/>
        <w:jc w:val="center"/>
        <w:rPr>
          <w:rFonts w:ascii="Arial" w:hAnsi="Arial" w:cs="Arial"/>
          <w:b/>
        </w:rPr>
      </w:pPr>
    </w:p>
    <w:p w14:paraId="0B64ADF3" w14:textId="77777777" w:rsidR="00236DA3" w:rsidRDefault="00236DA3" w:rsidP="00B7475B">
      <w:pPr>
        <w:spacing w:before="120" w:after="120"/>
        <w:jc w:val="center"/>
        <w:rPr>
          <w:rFonts w:ascii="Arial" w:hAnsi="Arial" w:cs="Arial"/>
          <w:b/>
        </w:rPr>
      </w:pPr>
    </w:p>
    <w:p w14:paraId="184B241F" w14:textId="7E8D3CDC" w:rsidR="00B7475B" w:rsidRDefault="00B7475B" w:rsidP="00B7475B">
      <w:pPr>
        <w:spacing w:before="120" w:after="120"/>
        <w:jc w:val="center"/>
        <w:rPr>
          <w:rFonts w:ascii="Arial" w:hAnsi="Arial" w:cs="Arial"/>
          <w:b/>
        </w:rPr>
      </w:pPr>
      <w:r w:rsidRPr="00537E20">
        <w:rPr>
          <w:rFonts w:ascii="Arial" w:hAnsi="Arial" w:cs="Arial"/>
          <w:b/>
        </w:rPr>
        <w:t>Certificate of Higher Education Skills for the Workplace (Health &amp; Social Care)</w:t>
      </w:r>
    </w:p>
    <w:p w14:paraId="15B573EF" w14:textId="0ED14C10" w:rsidR="00B7475B" w:rsidRDefault="00B7475B" w:rsidP="00B7475B">
      <w:pPr>
        <w:spacing w:before="120" w:after="120"/>
        <w:jc w:val="center"/>
        <w:rPr>
          <w:rFonts w:ascii="Arial" w:hAnsi="Arial" w:cs="Arial"/>
          <w:b/>
        </w:rPr>
      </w:pPr>
      <w:r>
        <w:rPr>
          <w:rFonts w:ascii="Arial" w:hAnsi="Arial" w:cs="Arial"/>
          <w:b/>
        </w:rPr>
        <w:t>Written Assignment</w:t>
      </w:r>
    </w:p>
    <w:p w14:paraId="6D2D53EA" w14:textId="77777777" w:rsidR="00B7475B" w:rsidRDefault="00B7475B" w:rsidP="00B7475B">
      <w:pPr>
        <w:spacing w:before="120" w:after="120"/>
        <w:jc w:val="center"/>
        <w:rPr>
          <w:rFonts w:ascii="Arial" w:hAnsi="Arial" w:cs="Arial"/>
          <w:b/>
        </w:rPr>
      </w:pPr>
      <w:r>
        <w:rPr>
          <w:rFonts w:ascii="Arial" w:hAnsi="Arial" w:cs="Arial"/>
          <w:b/>
        </w:rPr>
        <w:t>Module: Introduction to Health and Social Care</w:t>
      </w:r>
    </w:p>
    <w:p w14:paraId="7EF92BC5" w14:textId="77777777" w:rsidR="00B7475B" w:rsidRDefault="00B7475B" w:rsidP="00B7475B">
      <w:pPr>
        <w:spacing w:before="120" w:after="120"/>
        <w:jc w:val="center"/>
        <w:rPr>
          <w:rFonts w:ascii="Arial" w:hAnsi="Arial" w:cs="Arial"/>
          <w:b/>
        </w:rPr>
      </w:pPr>
      <w:r>
        <w:rPr>
          <w:rFonts w:ascii="Arial" w:hAnsi="Arial" w:cs="Arial"/>
          <w:b/>
        </w:rPr>
        <w:t>Module code: LCHS4003</w:t>
      </w:r>
    </w:p>
    <w:p w14:paraId="381116D5" w14:textId="77777777" w:rsidR="00B7475B" w:rsidRDefault="00B7475B" w:rsidP="00B7475B">
      <w:pPr>
        <w:spacing w:before="120" w:after="120"/>
        <w:jc w:val="center"/>
        <w:rPr>
          <w:rFonts w:ascii="Arial" w:hAnsi="Arial" w:cs="Arial"/>
          <w:b/>
        </w:rPr>
      </w:pPr>
      <w:r>
        <w:rPr>
          <w:rFonts w:ascii="Arial" w:hAnsi="Arial" w:cs="Arial"/>
          <w:b/>
        </w:rPr>
        <w:t>Fahtima Iyaiz</w:t>
      </w:r>
    </w:p>
    <w:p w14:paraId="5407EAF0" w14:textId="56B592D5" w:rsidR="00370FD6" w:rsidRDefault="00B7475B" w:rsidP="00B7475B">
      <w:pPr>
        <w:rPr>
          <w:rFonts w:ascii="Inter-Regular" w:eastAsiaTheme="minorHAnsi" w:hAnsi="Inter-Regular" w:cs="Inter-Regular"/>
          <w:color w:val="151515"/>
          <w:position w:val="6"/>
          <w:sz w:val="28"/>
          <w:szCs w:val="28"/>
          <w:lang w:eastAsia="en-US"/>
          <w14:ligatures w14:val="standardContextual"/>
        </w:rPr>
      </w:pPr>
      <w:r>
        <w:rPr>
          <w:rFonts w:ascii="Arial" w:hAnsi="Arial" w:cs="Arial"/>
          <w:b/>
        </w:rPr>
        <w:tab/>
        <w:t xml:space="preserve">                                              Student number: 2319515</w:t>
      </w:r>
    </w:p>
    <w:p w14:paraId="26325DE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26F1062"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6B25EA0A"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AF9FEA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E43C183"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C2CB00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018633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3B3F218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1F1011A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4DD1675"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6542F52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2E87A55"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4FEFF0E9"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DD3E04E"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780AA487"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599C1530"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2F3F783F" w14:textId="77777777" w:rsidR="00370FD6" w:rsidRDefault="00370FD6">
      <w:pPr>
        <w:rPr>
          <w:rFonts w:ascii="Inter-Regular" w:eastAsiaTheme="minorHAnsi" w:hAnsi="Inter-Regular" w:cs="Inter-Regular"/>
          <w:color w:val="151515"/>
          <w:position w:val="6"/>
          <w:sz w:val="28"/>
          <w:szCs w:val="28"/>
          <w:lang w:eastAsia="en-US"/>
          <w14:ligatures w14:val="standardContextual"/>
        </w:rPr>
      </w:pPr>
    </w:p>
    <w:p w14:paraId="0702DD58" w14:textId="77777777" w:rsidR="00B7475B" w:rsidRDefault="00B7475B">
      <w:pPr>
        <w:rPr>
          <w:rFonts w:ascii="Inter-Regular" w:eastAsiaTheme="minorHAnsi" w:hAnsi="Inter-Regular" w:cs="Inter-Regular"/>
          <w:color w:val="151515"/>
          <w:position w:val="6"/>
          <w:sz w:val="28"/>
          <w:szCs w:val="28"/>
          <w:lang w:eastAsia="en-US"/>
          <w14:ligatures w14:val="standardContextual"/>
        </w:rPr>
      </w:pPr>
    </w:p>
    <w:p w14:paraId="6503CF89" w14:textId="0E5FA9D4" w:rsidR="00AA1319" w:rsidRPr="00865A74" w:rsidRDefault="00865A74">
      <w:pPr>
        <w:rPr>
          <w:rFonts w:ascii="Arial" w:eastAsiaTheme="minorHAnsi" w:hAnsi="Arial" w:cs="Arial"/>
          <w:color w:val="C00000"/>
          <w:position w:val="6"/>
          <w:sz w:val="22"/>
          <w:szCs w:val="22"/>
          <w:lang w:eastAsia="en-US"/>
          <w14:ligatures w14:val="standardContextual"/>
        </w:rPr>
      </w:pPr>
      <w:r w:rsidRPr="00865A74">
        <w:rPr>
          <w:rFonts w:ascii="Arial" w:eastAsiaTheme="minorHAnsi" w:hAnsi="Arial" w:cs="Arial"/>
          <w:color w:val="000000" w:themeColor="text1"/>
          <w:position w:val="6"/>
          <w:sz w:val="22"/>
          <w:szCs w:val="22"/>
          <w:lang w:eastAsia="en-US"/>
        </w:rPr>
        <w:lastRenderedPageBreak/>
        <w:t>Effective communication is vital for the safe and effective delivery of health and social care, especially for elderly individuals with complex needs. This assignment examines Mrs. Mann, a 72-year-old woman recovering at home after a hip replacement, highlighting the importance of clear, comprehensive communication among professionals, service users, and families. Mrs. Mann’s limited English skills, along with her daughter, GP surgery, and physiotherapists involved, show how language barriers, shared values, and teamwork impact care quality and safety. Concerns about inconsistent documentation and delayed medication adjustments further reveal risks caused by poor communication. The principles of the Equality Act 2010 will be discussed as a framework to help professionals adapt their communication strategies, promote equality, and enhance collaboration, ultimately improving outcomes for Mrs. Mann and similar service users.</w:t>
      </w:r>
      <w:r w:rsidR="00370FD6">
        <w:rPr>
          <w:rFonts w:ascii="Arial" w:eastAsiaTheme="minorHAnsi" w:hAnsi="Arial" w:cs="Arial"/>
          <w:color w:val="000000" w:themeColor="text1"/>
          <w:position w:val="6"/>
          <w:sz w:val="22"/>
          <w:szCs w:val="22"/>
          <w:lang w:eastAsia="en-US"/>
        </w:rPr>
        <w:t xml:space="preserve"> (Equality Act 2010)</w:t>
      </w:r>
      <w:r w:rsidRPr="00865A74">
        <w:rPr>
          <w:rFonts w:ascii="Arial" w:eastAsiaTheme="minorHAnsi" w:hAnsi="Arial" w:cs="Arial"/>
          <w:color w:val="000000" w:themeColor="text1"/>
          <w:position w:val="6"/>
          <w:sz w:val="22"/>
          <w:szCs w:val="22"/>
          <w:lang w:eastAsia="en-US"/>
        </w:rPr>
        <w:t xml:space="preserve">       </w:t>
      </w:r>
    </w:p>
    <w:p w14:paraId="5BF068C9" w14:textId="12A09835"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Effective communication plays a vital role in ensuring high-quality, comprehensive care for Mrs. Mann. As a 72-year-old woman recovering from hip replacement surgery, she relies heavily on clear, detailed information and well-coordinated input from her domiciliary carers, her general practitioner, and her community physiotherapist. Failures in communication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such as inconsistent documentation or ignored messages about her medication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can directly impact her recovery process, pain management, and overall well-being. Clear, effective communication ensures all involved parties recogni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her individual needs, personal preferences, and the current treatment plan, thereby reducing errors and fostering seamless continuity of care.</w:t>
      </w:r>
      <w:r w:rsidR="00370FD6">
        <w:rPr>
          <w:rFonts w:ascii="Arial" w:eastAsiaTheme="minorHAnsi" w:hAnsi="Arial" w:cs="Arial"/>
          <w:color w:val="000000" w:themeColor="text1"/>
          <w:position w:val="6"/>
          <w:sz w:val="22"/>
          <w:szCs w:val="22"/>
          <w:lang w:eastAsia="en-US"/>
        </w:rPr>
        <w:t xml:space="preserve"> </w:t>
      </w:r>
      <w:r w:rsidR="00370FD6" w:rsidRPr="00370FD6">
        <w:rPr>
          <w:rFonts w:ascii="Arial" w:eastAsiaTheme="minorHAnsi" w:hAnsi="Arial" w:cs="Arial"/>
          <w:color w:val="151515"/>
          <w:position w:val="6"/>
          <w:sz w:val="22"/>
          <w:szCs w:val="22"/>
          <w:lang w:eastAsia="en-US"/>
          <w14:ligatures w14:val="standardContextual"/>
        </w:rPr>
        <w:t>(NMC, 2018)</w:t>
      </w:r>
    </w:p>
    <w:p w14:paraId="30F0C0DC" w14:textId="108B715B"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When engaging with Mrs. Mann, it is important to recognize that English is not her first language, and her proficiency may be limited. Under the obligations set forth by the Equality Act 2010, healthcare services are required to avoid discrimination and to make reasonable adjustments to ensure equitable access for individuals with protected characteristics, including race and age. </w:t>
      </w:r>
      <w:r w:rsidR="00370FD6">
        <w:rPr>
          <w:rFonts w:ascii="Arial" w:eastAsiaTheme="minorHAnsi" w:hAnsi="Arial" w:cs="Arial"/>
          <w:color w:val="000000" w:themeColor="text1"/>
          <w:position w:val="6"/>
          <w:sz w:val="22"/>
          <w:szCs w:val="22"/>
          <w:lang w:eastAsia="en-US"/>
        </w:rPr>
        <w:t xml:space="preserve">(Equality Act 2010) </w:t>
      </w:r>
      <w:r w:rsidRPr="00865A74">
        <w:rPr>
          <w:rFonts w:ascii="Arial" w:eastAsiaTheme="minorHAnsi" w:hAnsi="Arial" w:cs="Arial"/>
          <w:color w:val="000000" w:themeColor="text1"/>
          <w:position w:val="6"/>
          <w:sz w:val="22"/>
          <w:szCs w:val="22"/>
          <w:lang w:eastAsia="en-US"/>
        </w:rPr>
        <w:t>For Mrs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Mann, this might involve providing information in Urdu whenever possible, using qualified interpreters instead of solely relying on her daughter, and verifying her understanding in a respectful and empathetic manner. These measures help preserve her dignity and autonomy, supporting her right to actively participate in decisions about her care.</w:t>
      </w:r>
    </w:p>
    <w:p w14:paraId="1F238999" w14:textId="43DAFA1F" w:rsidR="00865A74" w:rsidRPr="00370FD6"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18"/>
          <w:szCs w:val="18"/>
          <w:lang w:eastAsia="en-US"/>
        </w:rPr>
      </w:pPr>
      <w:r w:rsidRPr="00865A74">
        <w:rPr>
          <w:rFonts w:ascii="Arial" w:eastAsiaTheme="minorHAnsi" w:hAnsi="Arial" w:cs="Arial"/>
          <w:color w:val="000000" w:themeColor="text1"/>
          <w:position w:val="6"/>
          <w:sz w:val="22"/>
          <w:szCs w:val="22"/>
          <w:lang w:eastAsia="en-US"/>
        </w:rPr>
        <w:t>Her family, especially her daughter, plays an essential role in her ongoing care. The healthcare team must communicate closely with her daughter, with Mrs. Mann’s approval, to ensure accurate and respectful exchange of information. This involves explaining treatment options, rehabilitation goals, and any medication adjustments in clear, simple language free of jargon. Providing written materials, translated resources, and visual aids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 xml:space="preserve">such as </w:t>
      </w:r>
      <w:r w:rsidRPr="00865A74">
        <w:rPr>
          <w:rFonts w:ascii="Arial" w:eastAsiaTheme="minorHAnsi" w:hAnsi="Arial" w:cs="Arial"/>
          <w:color w:val="000000" w:themeColor="text1"/>
          <w:position w:val="6"/>
          <w:sz w:val="22"/>
          <w:szCs w:val="22"/>
          <w:lang w:eastAsia="en-US"/>
        </w:rPr>
        <w:lastRenderedPageBreak/>
        <w:t>diagrams illustrating exercises or medication schedules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can greatly assist both Mrs Mann and her daughter in understanding and remembering important instructions.</w:t>
      </w:r>
      <w:r w:rsidR="00370FD6" w:rsidRPr="00370FD6">
        <w:rPr>
          <w:rFonts w:ascii="Inter-Regular" w:eastAsiaTheme="minorHAnsi" w:hAnsi="Inter-Regular" w:cs="Inter-Regular"/>
          <w:b/>
          <w:bCs/>
          <w:color w:val="151515"/>
          <w:position w:val="6"/>
          <w:sz w:val="28"/>
          <w:szCs w:val="28"/>
          <w:lang w:eastAsia="en-US"/>
          <w14:ligatures w14:val="standardContextual"/>
        </w:rPr>
        <w:t xml:space="preserve"> </w:t>
      </w:r>
      <w:r w:rsidR="00370FD6" w:rsidRPr="00370FD6">
        <w:rPr>
          <w:rFonts w:ascii="Arial" w:eastAsiaTheme="minorHAnsi" w:hAnsi="Arial" w:cs="Arial"/>
          <w:color w:val="151515"/>
          <w:position w:val="6"/>
          <w:sz w:val="22"/>
          <w:szCs w:val="22"/>
          <w:lang w:eastAsia="en-US"/>
          <w14:ligatures w14:val="standardContextual"/>
        </w:rPr>
        <w:t>(Egan, 2014)</w:t>
      </w:r>
    </w:p>
    <w:p w14:paraId="3162659C" w14:textId="1CD3F9C2"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Utili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 xml:space="preserve">ing the SOLER model of communication can further enhance interactions. According to this framework </w:t>
      </w:r>
      <w:r w:rsidR="00370FD6" w:rsidRPr="00370FD6">
        <w:rPr>
          <w:rFonts w:ascii="Arial" w:eastAsiaTheme="minorHAnsi" w:hAnsi="Arial" w:cs="Arial"/>
          <w:color w:val="151515"/>
          <w:position w:val="6"/>
          <w:sz w:val="22"/>
          <w:szCs w:val="22"/>
          <w:lang w:eastAsia="en-US"/>
          <w14:ligatures w14:val="standardContextual"/>
        </w:rPr>
        <w:t>(Egan, 2014)</w:t>
      </w:r>
      <w:r w:rsidR="00370FD6">
        <w:rPr>
          <w:rFonts w:ascii="Arial" w:eastAsiaTheme="minorHAnsi" w:hAnsi="Arial" w:cs="Arial"/>
          <w:color w:val="151515"/>
          <w:position w:val="6"/>
          <w:sz w:val="22"/>
          <w:szCs w:val="22"/>
          <w:lang w:eastAsia="en-US"/>
          <w14:ligatures w14:val="standardContextual"/>
        </w:rPr>
        <w:t>,</w:t>
      </w:r>
      <w:r w:rsidR="00370FD6" w:rsidRPr="00370FD6">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healthcare providers should face Mrs Mann directly to demonstrate engagement; adopt an open posture to express warmth and approachability; lean slightly forward to show active interest; maintain appropriate eye contact while being culturally sensitive; and keep a calm, composed demeano</w:t>
      </w:r>
      <w:r w:rsidR="00723148">
        <w:rPr>
          <w:rFonts w:ascii="Arial" w:eastAsiaTheme="minorHAnsi" w:hAnsi="Arial" w:cs="Arial"/>
          <w:color w:val="000000" w:themeColor="text1"/>
          <w:position w:val="6"/>
          <w:sz w:val="22"/>
          <w:szCs w:val="22"/>
          <w:lang w:eastAsia="en-US"/>
        </w:rPr>
        <w:t>u</w:t>
      </w:r>
      <w:r w:rsidRPr="00865A74">
        <w:rPr>
          <w:rFonts w:ascii="Arial" w:eastAsiaTheme="minorHAnsi" w:hAnsi="Arial" w:cs="Arial"/>
          <w:color w:val="000000" w:themeColor="text1"/>
          <w:position w:val="6"/>
          <w:sz w:val="22"/>
          <w:szCs w:val="22"/>
          <w:lang w:eastAsia="en-US"/>
        </w:rPr>
        <w:t xml:space="preserve">r, allowing her sufficient time to speak without feeling rushed. These nonverbal cues help build trust and encourage Mrs Mann to express concerns </w:t>
      </w:r>
      <w:r w:rsidR="00370FD6">
        <w:rPr>
          <w:rFonts w:ascii="Arial" w:eastAsiaTheme="minorHAnsi" w:hAnsi="Arial" w:cs="Arial"/>
          <w:color w:val="000000" w:themeColor="text1"/>
          <w:position w:val="6"/>
          <w:sz w:val="22"/>
          <w:szCs w:val="22"/>
          <w:lang w:eastAsia="en-US"/>
        </w:rPr>
        <w:t>about</w:t>
      </w:r>
      <w:r w:rsidRPr="00865A74">
        <w:rPr>
          <w:rFonts w:ascii="Arial" w:eastAsiaTheme="minorHAnsi" w:hAnsi="Arial" w:cs="Arial"/>
          <w:color w:val="000000" w:themeColor="text1"/>
          <w:position w:val="6"/>
          <w:sz w:val="22"/>
          <w:szCs w:val="22"/>
          <w:lang w:eastAsia="en-US"/>
        </w:rPr>
        <w:t xml:space="preserve"> pain, fear of falling, or confusion about medication routines.</w:t>
      </w:r>
    </w:p>
    <w:p w14:paraId="26E0DFE6" w14:textId="5EB3926B" w:rsidR="00865A74" w:rsidRPr="00865A74" w:rsidRDefault="00865A74" w:rsidP="00865A7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40" w:lineRule="exact"/>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Integrating the core principles of the Equality Act 2010 into an effective communication strategy strengthens the safety, inclusivity, and patient-centeredness of healthcare delivery. </w:t>
      </w:r>
      <w:r w:rsidR="00370FD6" w:rsidRPr="00370FD6">
        <w:rPr>
          <w:rFonts w:ascii="Arial" w:eastAsiaTheme="minorHAnsi" w:hAnsi="Arial" w:cs="Arial"/>
          <w:color w:val="151515"/>
          <w:position w:val="6"/>
          <w:sz w:val="22"/>
          <w:szCs w:val="22"/>
          <w:lang w:eastAsia="en-US"/>
          <w14:ligatures w14:val="standardContextual"/>
        </w:rPr>
        <w:t>(Equality Act 2010; CQC, 2017)</w:t>
      </w:r>
      <w:r w:rsidR="00370FD6">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 xml:space="preserve">By carefully tailoring language, involving family appropriately, and employing both verbal and </w:t>
      </w:r>
      <w:proofErr w:type="spellStart"/>
      <w:proofErr w:type="gramStart"/>
      <w:r w:rsidRPr="00865A74">
        <w:rPr>
          <w:rFonts w:ascii="Arial" w:eastAsiaTheme="minorHAnsi" w:hAnsi="Arial" w:cs="Arial"/>
          <w:color w:val="000000" w:themeColor="text1"/>
          <w:position w:val="6"/>
          <w:sz w:val="22"/>
          <w:szCs w:val="22"/>
          <w:lang w:eastAsia="en-US"/>
        </w:rPr>
        <w:t>non</w:t>
      </w:r>
      <w:r w:rsidR="00D94627">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verbal</w:t>
      </w:r>
      <w:proofErr w:type="spellEnd"/>
      <w:proofErr w:type="gramEnd"/>
      <w:r w:rsidRPr="00865A74">
        <w:rPr>
          <w:rFonts w:ascii="Arial" w:eastAsiaTheme="minorHAnsi" w:hAnsi="Arial" w:cs="Arial"/>
          <w:color w:val="000000" w:themeColor="text1"/>
          <w:position w:val="6"/>
          <w:sz w:val="22"/>
          <w:szCs w:val="22"/>
          <w:lang w:eastAsia="en-US"/>
        </w:rPr>
        <w:t xml:space="preserve"> communication techniques, the multidisciplinary team can reduce risks, prevent misunderstandings, and improve overall care quality for Mrs. Mann. Such </w:t>
      </w:r>
      <w:r w:rsidR="00D94627">
        <w:rPr>
          <w:rFonts w:ascii="Arial" w:eastAsiaTheme="minorHAnsi" w:hAnsi="Arial" w:cs="Arial"/>
          <w:color w:val="000000" w:themeColor="text1"/>
          <w:position w:val="6"/>
          <w:sz w:val="22"/>
          <w:szCs w:val="22"/>
          <w:lang w:eastAsia="en-US"/>
        </w:rPr>
        <w:t xml:space="preserve">a </w:t>
      </w:r>
      <w:r w:rsidRPr="00865A74">
        <w:rPr>
          <w:rFonts w:ascii="Arial" w:eastAsiaTheme="minorHAnsi" w:hAnsi="Arial" w:cs="Arial"/>
          <w:color w:val="000000" w:themeColor="text1"/>
          <w:position w:val="6"/>
          <w:sz w:val="22"/>
          <w:szCs w:val="22"/>
          <w:lang w:eastAsia="en-US"/>
        </w:rPr>
        <w:t>comprehensive approach ultimately supports her recovery and enhances her experience within the healthcare system. </w:t>
      </w:r>
    </w:p>
    <w:p w14:paraId="12E5193B" w14:textId="104BFA89"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Exceptional administrative skills are vital in professional healthcare environments, as they directly support secure, lawful, and patient</w:t>
      </w:r>
      <w:r w:rsidR="00723148">
        <w:rPr>
          <w:rFonts w:ascii="Arial" w:eastAsiaTheme="minorHAnsi" w:hAnsi="Arial" w:cs="Arial"/>
          <w:color w:val="000000" w:themeColor="text1"/>
          <w:position w:val="6"/>
          <w:sz w:val="22"/>
          <w:szCs w:val="22"/>
          <w:lang w:eastAsia="en-US"/>
        </w:rPr>
        <w:t xml:space="preserve"> </w:t>
      </w:r>
      <w:r w:rsidR="00723148" w:rsidRPr="00865A74">
        <w:rPr>
          <w:rFonts w:ascii="Arial" w:eastAsiaTheme="minorHAnsi" w:hAnsi="Arial" w:cs="Arial"/>
          <w:color w:val="000000" w:themeColor="text1"/>
          <w:position w:val="6"/>
          <w:sz w:val="22"/>
          <w:szCs w:val="22"/>
          <w:lang w:eastAsia="en-US"/>
        </w:rPr>
        <w:t>c</w:t>
      </w:r>
      <w:r w:rsidR="00723148">
        <w:rPr>
          <w:rFonts w:ascii="Arial" w:eastAsiaTheme="minorHAnsi" w:hAnsi="Arial" w:cs="Arial"/>
          <w:color w:val="000000" w:themeColor="text1"/>
          <w:position w:val="6"/>
          <w:sz w:val="22"/>
          <w:szCs w:val="22"/>
          <w:lang w:eastAsia="en-US"/>
        </w:rPr>
        <w:t>ent</w:t>
      </w:r>
      <w:r w:rsidR="00723148" w:rsidRPr="00865A74">
        <w:rPr>
          <w:rFonts w:ascii="Arial" w:eastAsiaTheme="minorHAnsi" w:hAnsi="Arial" w:cs="Arial"/>
          <w:color w:val="000000" w:themeColor="text1"/>
          <w:position w:val="6"/>
          <w:sz w:val="22"/>
          <w:szCs w:val="22"/>
          <w:lang w:eastAsia="en-US"/>
        </w:rPr>
        <w:t>red</w:t>
      </w:r>
      <w:r w:rsidRPr="00865A74">
        <w:rPr>
          <w:rFonts w:ascii="Arial" w:eastAsiaTheme="minorHAnsi" w:hAnsi="Arial" w:cs="Arial"/>
          <w:color w:val="000000" w:themeColor="text1"/>
          <w:position w:val="6"/>
          <w:sz w:val="22"/>
          <w:szCs w:val="22"/>
          <w:lang w:eastAsia="en-US"/>
        </w:rPr>
        <w:t xml:space="preserve"> care</w:t>
      </w:r>
      <w:r w:rsidRPr="00D94627">
        <w:rPr>
          <w:rFonts w:ascii="Arial" w:eastAsiaTheme="minorHAnsi" w:hAnsi="Arial" w:cs="Arial"/>
          <w:color w:val="000000" w:themeColor="text1"/>
          <w:position w:val="6"/>
          <w:sz w:val="24"/>
          <w:szCs w:val="24"/>
          <w:lang w:eastAsia="en-US"/>
        </w:rPr>
        <w:t xml:space="preserve">. </w:t>
      </w:r>
      <w:r w:rsidR="00D94627" w:rsidRPr="00D94627">
        <w:rPr>
          <w:rFonts w:ascii="Inter-Regular" w:eastAsiaTheme="minorHAnsi" w:hAnsi="Inter-Regular" w:cs="Inter-Regular"/>
          <w:color w:val="151515"/>
          <w:position w:val="6"/>
          <w:sz w:val="24"/>
          <w:szCs w:val="24"/>
          <w:lang w:eastAsia="en-US"/>
          <w14:ligatures w14:val="standardContextual"/>
        </w:rPr>
        <w:t>(NMC, 2019)</w:t>
      </w:r>
      <w:r w:rsidR="00D94627">
        <w:rPr>
          <w:rFonts w:ascii="Inter-Regular" w:eastAsiaTheme="minorHAnsi" w:hAnsi="Inter-Regular" w:cs="Inter-Regular"/>
          <w:b/>
          <w:bCs/>
          <w:color w:val="151515"/>
          <w:position w:val="6"/>
          <w:sz w:val="28"/>
          <w:szCs w:val="28"/>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In Mrs Mann's case, inconsistent documentation and communication oversights led to delays in medication adjustments. This event highlights how poor record-keeping and weak administrative processes can increase the risk of harm, undermine interdisciplinary collaboration, and erode trust in healthcare institutions. Accurate, prompt, and well</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organi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records enable healthcare providers, general practitioners, and community physiotherapists to collaboratively understand Mrs. Mann’s clinical status, treatment plans, and recovery pathway following her hip replacement surgery.</w:t>
      </w:r>
    </w:p>
    <w:p w14:paraId="7A05B45D"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47E53C03" w14:textId="5B77D1D5"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Maintaining high-quality records is a fundamental aspect of working in health and social care. It is considered a professional obligation</w:t>
      </w:r>
      <w:r w:rsidR="00D94627" w:rsidRPr="00D94627">
        <w:rPr>
          <w:rFonts w:ascii="Arial" w:eastAsiaTheme="minorHAnsi" w:hAnsi="Arial" w:cs="Arial"/>
          <w:color w:val="151515"/>
          <w:position w:val="6"/>
          <w:sz w:val="22"/>
          <w:szCs w:val="22"/>
          <w:lang w:eastAsia="en-US"/>
          <w14:ligatures w14:val="standardContextual"/>
        </w:rPr>
        <w:t xml:space="preserve"> (NMC, 2019)</w:t>
      </w:r>
      <w:r w:rsidRPr="00D94627">
        <w:rPr>
          <w:rFonts w:ascii="Arial" w:eastAsiaTheme="minorHAnsi" w:hAnsi="Arial" w:cs="Arial"/>
          <w:color w:val="000000" w:themeColor="text1"/>
          <w:position w:val="6"/>
          <w:lang w:eastAsia="en-US"/>
        </w:rPr>
        <w:t xml:space="preserve"> </w:t>
      </w:r>
      <w:r w:rsidRPr="00865A74">
        <w:rPr>
          <w:rFonts w:ascii="Arial" w:eastAsiaTheme="minorHAnsi" w:hAnsi="Arial" w:cs="Arial"/>
          <w:color w:val="000000" w:themeColor="text1"/>
          <w:position w:val="6"/>
          <w:sz w:val="22"/>
          <w:szCs w:val="22"/>
          <w:lang w:eastAsia="en-US"/>
        </w:rPr>
        <w:t>to keep records that are clear, based on factual information, properly dated, and signed. These records should provide a precise account of the care administered, document any changes in Mrs Mann’s mobility or pain levels, and record advice given to her or her daughter. An effective administrative system also involves using standardi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documentation and tools, adhering to established policies, and ensuring timely sharing of information among team members. This approach helps prevent duplication of efforts, reduces the chance of missing crucial details, and minimizes misunderstandings that could result in medication errors or missed rehabilitation opportunities.</w:t>
      </w:r>
    </w:p>
    <w:p w14:paraId="403C0C0B"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5AA6CA60" w14:textId="5DC3B7DC"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 xml:space="preserve">The Data Protection Act 2018 and the UK General Data Protection Regulation (UK GDPR) establish core principles for managing Mrs. Mann’s personal data. Confidential information </w:t>
      </w:r>
      <w:r w:rsidRPr="00865A74">
        <w:rPr>
          <w:rFonts w:ascii="Arial" w:eastAsiaTheme="minorHAnsi" w:hAnsi="Arial" w:cs="Arial"/>
          <w:color w:val="000000" w:themeColor="text1"/>
          <w:position w:val="6"/>
          <w:sz w:val="22"/>
          <w:szCs w:val="22"/>
          <w:lang w:eastAsia="en-US"/>
        </w:rPr>
        <w:lastRenderedPageBreak/>
        <w:t>must be handled legally, impartially, and without bias. Data should be collected for clear, specific purposes, be relevant, sufficient, and limited to what is necessary. It must be maintained accurately and kept current, stored only for as long as needed, and secured adequately to prevent unauthorized access</w:t>
      </w:r>
      <w:r w:rsidRPr="00D94627">
        <w:rPr>
          <w:rFonts w:ascii="Arial" w:eastAsiaTheme="minorHAnsi" w:hAnsi="Arial" w:cs="Arial"/>
          <w:color w:val="000000" w:themeColor="text1"/>
          <w:position w:val="6"/>
          <w:sz w:val="22"/>
          <w:szCs w:val="22"/>
          <w:lang w:eastAsia="en-US"/>
        </w:rPr>
        <w:t xml:space="preserve">. </w:t>
      </w:r>
      <w:r w:rsidR="00D94627" w:rsidRPr="00D94627">
        <w:rPr>
          <w:rFonts w:ascii="Inter-Regular" w:eastAsiaTheme="minorHAnsi" w:hAnsi="Inter-Regular" w:cs="Inter-Regular"/>
          <w:b/>
          <w:bCs/>
          <w:color w:val="151515"/>
          <w:position w:val="6"/>
          <w:sz w:val="22"/>
          <w:szCs w:val="22"/>
          <w:lang w:eastAsia="en-US"/>
          <w14:ligatures w14:val="standardContextual"/>
        </w:rPr>
        <w:t>(DHSC, 2013)</w:t>
      </w:r>
      <w:r w:rsidR="00D94627">
        <w:rPr>
          <w:rFonts w:ascii="Inter-Regular" w:eastAsiaTheme="minorHAnsi" w:hAnsi="Inter-Regular" w:cs="Inter-Regular"/>
          <w:b/>
          <w:bCs/>
          <w:color w:val="151515"/>
          <w:position w:val="6"/>
          <w:sz w:val="28"/>
          <w:szCs w:val="28"/>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In practice, this means that access to Mrs. Mann’s records should be restricted to staff directly involved in her care. The data should be stored securely, whether electronically protected by passwords or physically in locked cabinets, ensuring confidentiality at all times.</w:t>
      </w:r>
    </w:p>
    <w:p w14:paraId="4BAEB08C"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07B7C560" w14:textId="3020C38E"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The Care Quality Commission (CQC), as the regulatory body for health and social care in England, sets standards that influence organi</w:t>
      </w:r>
      <w:r w:rsidR="00D94627">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ational procedures. These standards</w:t>
      </w:r>
      <w:r w:rsidR="00D94627">
        <w:rPr>
          <w:rFonts w:ascii="Arial" w:eastAsiaTheme="minorHAnsi" w:hAnsi="Arial" w:cs="Arial"/>
          <w:color w:val="000000" w:themeColor="text1"/>
          <w:position w:val="6"/>
          <w:sz w:val="22"/>
          <w:szCs w:val="22"/>
          <w:lang w:eastAsia="en-US"/>
        </w:rPr>
        <w:t xml:space="preserve">, which </w:t>
      </w:r>
      <w:r w:rsidRPr="00865A74">
        <w:rPr>
          <w:rFonts w:ascii="Arial" w:eastAsiaTheme="minorHAnsi" w:hAnsi="Arial" w:cs="Arial"/>
          <w:color w:val="000000" w:themeColor="text1"/>
          <w:position w:val="6"/>
          <w:sz w:val="22"/>
          <w:szCs w:val="22"/>
          <w:lang w:eastAsia="en-US"/>
        </w:rPr>
        <w:t>focus on Safety, Effectiveness, and Leadership</w:t>
      </w:r>
      <w:r w:rsidR="00D94627">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require providers to maintain accurate, comprehensive, and up-to-date documentation for each patient. They also emphasi</w:t>
      </w:r>
      <w:r w:rsidR="00D94627">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the importance of strong information governance mechanisms. Regulatory inspections verify that record-keeping safeguards patient safety, maintains confidentiality, and supports effective multidisciplinary teamwork.</w:t>
      </w:r>
      <w:r w:rsidR="00D94627" w:rsidRPr="00D94627">
        <w:rPr>
          <w:rFonts w:ascii="Inter-Regular" w:eastAsiaTheme="minorHAnsi" w:hAnsi="Inter-Regular" w:cs="Inter-Regular"/>
          <w:color w:val="151515"/>
          <w:position w:val="6"/>
          <w:sz w:val="22"/>
          <w:szCs w:val="22"/>
          <w:lang w:eastAsia="en-US"/>
          <w14:ligatures w14:val="standardContextual"/>
        </w:rPr>
        <w:t xml:space="preserve"> (CQC, 2017)</w:t>
      </w:r>
      <w:r w:rsidRPr="00865A74">
        <w:rPr>
          <w:rFonts w:ascii="Arial" w:eastAsiaTheme="minorHAnsi" w:hAnsi="Arial" w:cs="Arial"/>
          <w:color w:val="000000" w:themeColor="text1"/>
          <w:position w:val="6"/>
          <w:sz w:val="22"/>
          <w:szCs w:val="22"/>
          <w:lang w:eastAsia="en-US"/>
        </w:rPr>
        <w:t xml:space="preserve"> For Mrs. Mann, it is essential that her domiciliary care agency establish clear policies for recording service visits, escalating concerns, and communicating updates regarding her health or medication routine to her general practitioner and physiotherapist.</w:t>
      </w:r>
    </w:p>
    <w:p w14:paraId="301BB789" w14:textId="77777777" w:rsidR="00865A74" w:rsidRPr="00865A74" w:rsidRDefault="00865A74" w:rsidP="00865A74">
      <w:pPr>
        <w:rPr>
          <w:rFonts w:ascii="Arial" w:eastAsiaTheme="minorHAnsi" w:hAnsi="Arial" w:cs="Arial"/>
          <w:color w:val="000000" w:themeColor="text1"/>
          <w:position w:val="6"/>
          <w:sz w:val="22"/>
          <w:szCs w:val="22"/>
          <w:lang w:eastAsia="en-US"/>
        </w:rPr>
      </w:pPr>
    </w:p>
    <w:p w14:paraId="325CDD6F" w14:textId="77777777"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Adhering to legal, regulatory, and policy frameworks helps protect Mrs. Mann’s privacy while ensuring her vital information flows smoothly among her care team. Strong administrative skills, combined with thorough knowledge of the Data Protection Act 2018, UK GDPR, and CQC standards, are crucial in preventing communication failures and promoting safe, coordinated care. Ultimately, meticulous documentation and robust administrative practices contribute significantly to positive health outcomes, patient safety, and the trustworthiness of healthcare services.</w:t>
      </w:r>
    </w:p>
    <w:p w14:paraId="145259C0" w14:textId="77777777" w:rsidR="00AA1319" w:rsidRPr="00865A74" w:rsidRDefault="00AA1319" w:rsidP="00AA1319">
      <w:pPr>
        <w:rPr>
          <w:rFonts w:ascii="Arial" w:eastAsiaTheme="minorHAnsi" w:hAnsi="Arial" w:cs="Arial"/>
          <w:color w:val="C00000"/>
          <w:position w:val="6"/>
          <w:sz w:val="22"/>
          <w:szCs w:val="22"/>
          <w:lang w:eastAsia="en-US"/>
          <w14:ligatures w14:val="standardContextual"/>
        </w:rPr>
      </w:pPr>
    </w:p>
    <w:p w14:paraId="79B8A92B" w14:textId="4C4BCEFD" w:rsid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Multidisciplinary team (MDT) collaboration plays a crucial role in ensuring that Mrs. Mann receives safe, coordinated, and personali</w:t>
      </w:r>
      <w:r w:rsidR="00B7475B">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care after her hip replacement. As an elderly individual with limited English proficiency, she relies heavily on the combined efforts of her domiciliary care providers, general practitioners, and community physiotherapists. Challenges such as unreliable documentation and late medication adjustments highlight how poor MDT communication can lead to fragmented care, increased risk of harm, and decreased confidence in healthcare services</w:t>
      </w:r>
      <w:r w:rsidRPr="00B7475B">
        <w:rPr>
          <w:rFonts w:ascii="Arial" w:eastAsiaTheme="minorHAnsi" w:hAnsi="Arial" w:cs="Arial"/>
          <w:color w:val="000000" w:themeColor="text1"/>
          <w:position w:val="6"/>
          <w:sz w:val="22"/>
          <w:szCs w:val="22"/>
          <w:lang w:eastAsia="en-US"/>
        </w:rPr>
        <w:t>.</w:t>
      </w:r>
      <w:r w:rsidR="00B7475B" w:rsidRPr="00B7475B">
        <w:rPr>
          <w:rFonts w:ascii="Inter-Regular" w:eastAsiaTheme="minorHAnsi" w:hAnsi="Inter-Regular" w:cs="Inter-Regular"/>
          <w:color w:val="151515"/>
          <w:position w:val="6"/>
          <w:sz w:val="22"/>
          <w:szCs w:val="22"/>
          <w:lang w:eastAsia="en-US"/>
          <w14:ligatures w14:val="standardContextual"/>
        </w:rPr>
        <w:t xml:space="preserve"> (NMC, 2018; DHSC, 2013)</w:t>
      </w:r>
    </w:p>
    <w:p w14:paraId="553F5747" w14:textId="77777777" w:rsidR="00B7475B" w:rsidRPr="00865A74" w:rsidRDefault="00B7475B" w:rsidP="00865A74">
      <w:pPr>
        <w:rPr>
          <w:rFonts w:ascii="Arial" w:eastAsiaTheme="minorHAnsi" w:hAnsi="Arial" w:cs="Arial"/>
          <w:color w:val="000000" w:themeColor="text1"/>
          <w:position w:val="6"/>
          <w:sz w:val="22"/>
          <w:szCs w:val="22"/>
          <w:lang w:eastAsia="en-US"/>
        </w:rPr>
      </w:pPr>
    </w:p>
    <w:p w14:paraId="3C3EC597" w14:textId="6398CC72" w:rsid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An effective MDT involves professionals sharing information, respecting each other’s expertise, and working together toward common goals. For Mrs. Mann, this includes the GP, physiotherapist, and care staff agreeing on specific objectives like pain relief, improved mobility, and independence, which are documented in a unified care plan.</w:t>
      </w:r>
      <w:r w:rsidRPr="00B7475B">
        <w:rPr>
          <w:rFonts w:ascii="Arial" w:eastAsiaTheme="minorHAnsi" w:hAnsi="Arial" w:cs="Arial"/>
          <w:color w:val="000000" w:themeColor="text1"/>
          <w:position w:val="6"/>
          <w:sz w:val="22"/>
          <w:szCs w:val="22"/>
          <w:lang w:eastAsia="en-US"/>
        </w:rPr>
        <w:t xml:space="preserve"> </w:t>
      </w:r>
      <w:r w:rsidR="00B7475B" w:rsidRPr="00B7475B">
        <w:rPr>
          <w:rFonts w:ascii="Arial" w:eastAsiaTheme="minorHAnsi" w:hAnsi="Arial" w:cs="Arial"/>
          <w:color w:val="151515"/>
          <w:position w:val="6"/>
          <w:sz w:val="22"/>
          <w:szCs w:val="22"/>
          <w:lang w:eastAsia="en-US"/>
          <w14:ligatures w14:val="standardContextual"/>
        </w:rPr>
        <w:t>(NMC, 2018; DHSC, 2013)</w:t>
      </w:r>
      <w:r w:rsidR="00B7475B">
        <w:rPr>
          <w:rFonts w:ascii="Arial" w:eastAsiaTheme="minorHAnsi" w:hAnsi="Arial" w:cs="Arial"/>
          <w:color w:val="151515"/>
          <w:position w:val="6"/>
          <w:sz w:val="22"/>
          <w:szCs w:val="22"/>
          <w:lang w:eastAsia="en-US"/>
          <w14:ligatures w14:val="standardContextual"/>
        </w:rPr>
        <w:t xml:space="preserve"> </w:t>
      </w:r>
      <w:r w:rsidRPr="00865A74">
        <w:rPr>
          <w:rFonts w:ascii="Arial" w:eastAsiaTheme="minorHAnsi" w:hAnsi="Arial" w:cs="Arial"/>
          <w:color w:val="000000" w:themeColor="text1"/>
          <w:position w:val="6"/>
          <w:sz w:val="22"/>
          <w:szCs w:val="22"/>
          <w:lang w:eastAsia="en-US"/>
        </w:rPr>
        <w:t>Regular MDT meetings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whether face-to-face, via case conferences, or structured handovers</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support joint decision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making and enable swift responses to any changes in her condition. Employing standardi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ed communication tools, such as SBAR (Situation, Background, Assessment, Recommendation), ensures clear</w:t>
      </w:r>
      <w:r w:rsidR="00723148">
        <w:rPr>
          <w:rFonts w:ascii="Arial" w:eastAsiaTheme="minorHAnsi" w:hAnsi="Arial" w:cs="Arial"/>
          <w:color w:val="000000" w:themeColor="text1"/>
          <w:position w:val="6"/>
          <w:sz w:val="22"/>
          <w:szCs w:val="22"/>
          <w:lang w:eastAsia="en-US"/>
        </w:rPr>
        <w:t>,</w:t>
      </w:r>
      <w:r w:rsidRPr="00865A74">
        <w:rPr>
          <w:rFonts w:ascii="Arial" w:eastAsiaTheme="minorHAnsi" w:hAnsi="Arial" w:cs="Arial"/>
          <w:color w:val="000000" w:themeColor="text1"/>
          <w:position w:val="6"/>
          <w:sz w:val="22"/>
          <w:szCs w:val="22"/>
          <w:lang w:eastAsia="en-US"/>
        </w:rPr>
        <w:t xml:space="preserve"> consistent dialogue and promotes open discussion </w:t>
      </w:r>
      <w:r w:rsidR="00723148">
        <w:rPr>
          <w:rFonts w:ascii="Arial" w:eastAsiaTheme="minorHAnsi" w:hAnsi="Arial" w:cs="Arial"/>
          <w:color w:val="000000" w:themeColor="text1"/>
          <w:position w:val="6"/>
          <w:sz w:val="22"/>
          <w:szCs w:val="22"/>
          <w:lang w:eastAsia="en-US"/>
        </w:rPr>
        <w:t>of</w:t>
      </w:r>
      <w:r w:rsidRPr="00865A74">
        <w:rPr>
          <w:rFonts w:ascii="Arial" w:eastAsiaTheme="minorHAnsi" w:hAnsi="Arial" w:cs="Arial"/>
          <w:color w:val="000000" w:themeColor="text1"/>
          <w:position w:val="6"/>
          <w:sz w:val="22"/>
          <w:szCs w:val="22"/>
          <w:lang w:eastAsia="en-US"/>
        </w:rPr>
        <w:t xml:space="preserve"> her mobility and other concerns.</w:t>
      </w:r>
    </w:p>
    <w:p w14:paraId="0CF7D095" w14:textId="77777777" w:rsidR="00B7475B" w:rsidRPr="00865A74" w:rsidRDefault="00B7475B" w:rsidP="00865A74">
      <w:pPr>
        <w:rPr>
          <w:rFonts w:ascii="Arial" w:eastAsiaTheme="minorHAnsi" w:hAnsi="Arial" w:cs="Arial"/>
          <w:color w:val="000000" w:themeColor="text1"/>
          <w:position w:val="6"/>
          <w:sz w:val="22"/>
          <w:szCs w:val="22"/>
          <w:lang w:eastAsia="en-US"/>
        </w:rPr>
      </w:pPr>
    </w:p>
    <w:p w14:paraId="4F2F0C25" w14:textId="5D102173" w:rsidR="00865A74"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However, MDTs and multi-agency collaboration often face challenges, including differing organi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ational cultures, limited time, unclear roles, and difficulties in data sharing across systems. Addressing these issues involves establishing joint protocols, maintaining consistent documentation, and, where possible, sharing electronic health records. Assigning a dedicated care coordinator or key worker can also improve accountability and ensure follow-up actions are properly carried out.</w:t>
      </w:r>
    </w:p>
    <w:p w14:paraId="5066EBD7" w14:textId="7BA72947" w:rsidR="00AA1319" w:rsidRPr="00865A74" w:rsidRDefault="00865A74" w:rsidP="00865A74">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lastRenderedPageBreak/>
        <w:t>By emphasi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clear team roles, robust communication, and integrated procedures, practitioners can deliver more comprehensive and coordinated care</w:t>
      </w:r>
      <w:r w:rsidR="00B7475B" w:rsidRPr="00B7475B">
        <w:rPr>
          <w:rFonts w:ascii="Inter-Regular" w:eastAsiaTheme="minorHAnsi" w:hAnsi="Inter-Regular" w:cs="Inter-Regular"/>
          <w:b/>
          <w:bCs/>
          <w:color w:val="151515"/>
          <w:position w:val="6"/>
          <w:sz w:val="28"/>
          <w:szCs w:val="28"/>
          <w:lang w:eastAsia="en-US"/>
          <w14:ligatures w14:val="standardContextual"/>
        </w:rPr>
        <w:t xml:space="preserve"> </w:t>
      </w:r>
      <w:r w:rsidR="00B7475B" w:rsidRPr="00B7475B">
        <w:rPr>
          <w:rFonts w:ascii="Inter-Regular" w:eastAsiaTheme="minorHAnsi" w:hAnsi="Inter-Regular" w:cs="Inter-Regular"/>
          <w:color w:val="151515"/>
          <w:position w:val="6"/>
          <w:sz w:val="22"/>
          <w:szCs w:val="22"/>
          <w:lang w:eastAsia="en-US"/>
          <w14:ligatures w14:val="standardContextual"/>
        </w:rPr>
        <w:t>(CQC, 2017)</w:t>
      </w:r>
      <w:r w:rsidRPr="00B7475B">
        <w:rPr>
          <w:rFonts w:ascii="Arial" w:eastAsiaTheme="minorHAnsi" w:hAnsi="Arial" w:cs="Arial"/>
          <w:color w:val="000000" w:themeColor="text1"/>
          <w:position w:val="6"/>
          <w:sz w:val="22"/>
          <w:szCs w:val="22"/>
          <w:lang w:eastAsia="en-US"/>
        </w:rPr>
        <w:t>.</w:t>
      </w:r>
      <w:r w:rsidRPr="00865A74">
        <w:rPr>
          <w:rFonts w:ascii="Arial" w:eastAsiaTheme="minorHAnsi" w:hAnsi="Arial" w:cs="Arial"/>
          <w:color w:val="000000" w:themeColor="text1"/>
          <w:position w:val="6"/>
          <w:sz w:val="22"/>
          <w:szCs w:val="22"/>
          <w:lang w:eastAsia="en-US"/>
        </w:rPr>
        <w:t xml:space="preserve"> This approach enhances Mrs Mann’s recovery, safety, and dignity, while reassuring her and her daughter throughout the healing process. Enhanced collaboration ultimately fosters trust and ensures that patient</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centred care remains a priority.</w:t>
      </w:r>
    </w:p>
    <w:p w14:paraId="2D5B4CC1" w14:textId="77777777" w:rsidR="00865A74" w:rsidRPr="00865A74" w:rsidRDefault="00865A74" w:rsidP="00865A74">
      <w:pPr>
        <w:rPr>
          <w:rFonts w:ascii="Arial" w:eastAsiaTheme="minorHAnsi" w:hAnsi="Arial" w:cs="Arial"/>
          <w:color w:val="C00000"/>
          <w:position w:val="6"/>
          <w:sz w:val="22"/>
          <w:szCs w:val="22"/>
          <w:lang w:eastAsia="en-US"/>
          <w14:ligatures w14:val="standardContextual"/>
        </w:rPr>
      </w:pPr>
    </w:p>
    <w:p w14:paraId="65EEE5BF" w14:textId="79B934F4" w:rsidR="00D14768" w:rsidRDefault="00865A74" w:rsidP="00AA1319">
      <w:pPr>
        <w:rPr>
          <w:rFonts w:ascii="Arial" w:eastAsiaTheme="minorHAnsi" w:hAnsi="Arial" w:cs="Arial"/>
          <w:color w:val="000000" w:themeColor="text1"/>
          <w:position w:val="6"/>
          <w:sz w:val="22"/>
          <w:szCs w:val="22"/>
          <w:lang w:eastAsia="en-US"/>
        </w:rPr>
      </w:pPr>
      <w:r w:rsidRPr="00865A74">
        <w:rPr>
          <w:rFonts w:ascii="Arial" w:eastAsiaTheme="minorHAnsi" w:hAnsi="Arial" w:cs="Arial"/>
          <w:color w:val="000000" w:themeColor="text1"/>
          <w:position w:val="6"/>
          <w:sz w:val="22"/>
          <w:szCs w:val="22"/>
          <w:lang w:eastAsia="en-US"/>
        </w:rPr>
        <w:t>Mrs Mann’s case highlights the crucial role of effective communication in health and social care, both professionally and ethically. Failures in record-keeping and delays in administering medication can jeopardi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e patient safety, impede recovery, and damage trust between patients and caregivers. Adhering to the principles of the Equality Act 2010, practitioners are required to avoid discrimination, provide necessary adjustments, and be sensitive to cultural and language differences. Utili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communication tools like SOLER promotes active listening, empathy, and clarity during interactions with patients and their families. When these techniques are combined with precise documentation and prompt sharing of information, they support person</w:t>
      </w:r>
      <w:r w:rsidR="00723148">
        <w:rPr>
          <w:rFonts w:ascii="Arial" w:eastAsiaTheme="minorHAnsi" w:hAnsi="Arial" w:cs="Arial"/>
          <w:color w:val="000000" w:themeColor="text1"/>
          <w:position w:val="6"/>
          <w:sz w:val="22"/>
          <w:szCs w:val="22"/>
          <w:lang w:eastAsia="en-US"/>
        </w:rPr>
        <w:t xml:space="preserve"> </w:t>
      </w:r>
      <w:r w:rsidRPr="00865A74">
        <w:rPr>
          <w:rFonts w:ascii="Arial" w:eastAsiaTheme="minorHAnsi" w:hAnsi="Arial" w:cs="Arial"/>
          <w:color w:val="000000" w:themeColor="text1"/>
          <w:position w:val="6"/>
          <w:sz w:val="22"/>
          <w:szCs w:val="22"/>
          <w:lang w:eastAsia="en-US"/>
        </w:rPr>
        <w:t>centred and inclusive care. Enhancing communication skills not only reduces the risk of errors but also improves health outcomes and increases confidence among vulnerable patients, such as Mrs Mann. Overall, prioriti</w:t>
      </w:r>
      <w:r w:rsidR="00723148">
        <w:rPr>
          <w:rFonts w:ascii="Arial" w:eastAsiaTheme="minorHAnsi" w:hAnsi="Arial" w:cs="Arial"/>
          <w:color w:val="000000" w:themeColor="text1"/>
          <w:position w:val="6"/>
          <w:sz w:val="22"/>
          <w:szCs w:val="22"/>
          <w:lang w:eastAsia="en-US"/>
        </w:rPr>
        <w:t>s</w:t>
      </w:r>
      <w:r w:rsidRPr="00865A74">
        <w:rPr>
          <w:rFonts w:ascii="Arial" w:eastAsiaTheme="minorHAnsi" w:hAnsi="Arial" w:cs="Arial"/>
          <w:color w:val="000000" w:themeColor="text1"/>
          <w:position w:val="6"/>
          <w:sz w:val="22"/>
          <w:szCs w:val="22"/>
          <w:lang w:eastAsia="en-US"/>
        </w:rPr>
        <w:t>ing effective communication is essential for ensuring safe, respectful, and equitable healthcare services.</w:t>
      </w:r>
    </w:p>
    <w:p w14:paraId="79CFA36C" w14:textId="77777777" w:rsidR="00370FD6" w:rsidRDefault="00370FD6" w:rsidP="00AA1319">
      <w:pPr>
        <w:rPr>
          <w:rFonts w:ascii="Arial" w:eastAsiaTheme="minorHAnsi" w:hAnsi="Arial" w:cs="Arial"/>
          <w:color w:val="000000" w:themeColor="text1"/>
          <w:position w:val="6"/>
          <w:sz w:val="22"/>
          <w:szCs w:val="22"/>
          <w:lang w:eastAsia="en-US"/>
        </w:rPr>
      </w:pPr>
    </w:p>
    <w:p w14:paraId="538BC567" w14:textId="77777777" w:rsidR="00370FD6" w:rsidRDefault="00370FD6" w:rsidP="00AA1319">
      <w:pPr>
        <w:rPr>
          <w:rFonts w:ascii="Arial" w:eastAsiaTheme="minorHAnsi" w:hAnsi="Arial" w:cs="Arial"/>
          <w:color w:val="000000" w:themeColor="text1"/>
          <w:position w:val="6"/>
          <w:sz w:val="22"/>
          <w:szCs w:val="22"/>
          <w:lang w:eastAsia="en-US"/>
        </w:rPr>
      </w:pPr>
    </w:p>
    <w:p w14:paraId="6CB7F842" w14:textId="77777777" w:rsidR="00370FD6" w:rsidRDefault="00370FD6" w:rsidP="00AA1319">
      <w:pPr>
        <w:rPr>
          <w:rFonts w:ascii="Arial" w:eastAsiaTheme="minorHAnsi" w:hAnsi="Arial" w:cs="Arial"/>
          <w:color w:val="000000" w:themeColor="text1"/>
          <w:position w:val="6"/>
          <w:sz w:val="22"/>
          <w:szCs w:val="22"/>
          <w:lang w:eastAsia="en-US"/>
        </w:rPr>
      </w:pPr>
    </w:p>
    <w:p w14:paraId="0A345706" w14:textId="77777777" w:rsidR="00370FD6" w:rsidRDefault="00370FD6" w:rsidP="00AA1319">
      <w:pPr>
        <w:rPr>
          <w:rFonts w:ascii="Arial" w:eastAsiaTheme="minorHAnsi" w:hAnsi="Arial" w:cs="Arial"/>
          <w:color w:val="000000" w:themeColor="text1"/>
          <w:position w:val="6"/>
          <w:sz w:val="22"/>
          <w:szCs w:val="22"/>
          <w:lang w:eastAsia="en-US"/>
        </w:rPr>
      </w:pPr>
    </w:p>
    <w:p w14:paraId="027395FA" w14:textId="77777777" w:rsidR="00370FD6" w:rsidRDefault="00370FD6" w:rsidP="00AA1319">
      <w:pPr>
        <w:rPr>
          <w:rFonts w:ascii="Arial" w:eastAsiaTheme="minorHAnsi" w:hAnsi="Arial" w:cs="Arial"/>
          <w:color w:val="000000" w:themeColor="text1"/>
          <w:position w:val="6"/>
          <w:sz w:val="22"/>
          <w:szCs w:val="22"/>
          <w:lang w:eastAsia="en-US"/>
        </w:rPr>
      </w:pPr>
    </w:p>
    <w:p w14:paraId="5B45D4AC" w14:textId="77777777" w:rsidR="00370FD6" w:rsidRDefault="00370FD6" w:rsidP="00AA1319">
      <w:pPr>
        <w:rPr>
          <w:rFonts w:ascii="Arial" w:eastAsiaTheme="minorHAnsi" w:hAnsi="Arial" w:cs="Arial"/>
          <w:color w:val="000000" w:themeColor="text1"/>
          <w:position w:val="6"/>
          <w:sz w:val="22"/>
          <w:szCs w:val="22"/>
          <w:lang w:eastAsia="en-US"/>
        </w:rPr>
      </w:pPr>
    </w:p>
    <w:p w14:paraId="16B49BC7" w14:textId="77777777" w:rsidR="00370FD6" w:rsidRDefault="00370FD6" w:rsidP="00AA1319">
      <w:pPr>
        <w:rPr>
          <w:rFonts w:ascii="Arial" w:eastAsiaTheme="minorHAnsi" w:hAnsi="Arial" w:cs="Arial"/>
          <w:color w:val="000000" w:themeColor="text1"/>
          <w:position w:val="6"/>
          <w:sz w:val="22"/>
          <w:szCs w:val="22"/>
          <w:lang w:eastAsia="en-US"/>
        </w:rPr>
      </w:pPr>
    </w:p>
    <w:p w14:paraId="182FDFE6" w14:textId="77777777" w:rsidR="00370FD6" w:rsidRDefault="00370FD6" w:rsidP="00AA1319">
      <w:pPr>
        <w:rPr>
          <w:rFonts w:ascii="Arial" w:eastAsiaTheme="minorHAnsi" w:hAnsi="Arial" w:cs="Arial"/>
          <w:color w:val="000000" w:themeColor="text1"/>
          <w:position w:val="6"/>
          <w:sz w:val="22"/>
          <w:szCs w:val="22"/>
          <w:lang w:eastAsia="en-US"/>
        </w:rPr>
      </w:pPr>
    </w:p>
    <w:p w14:paraId="30F70426" w14:textId="77777777" w:rsidR="00370FD6" w:rsidRDefault="00370FD6" w:rsidP="00AA1319">
      <w:pPr>
        <w:rPr>
          <w:rFonts w:ascii="Arial" w:eastAsiaTheme="minorHAnsi" w:hAnsi="Arial" w:cs="Arial"/>
          <w:color w:val="000000" w:themeColor="text1"/>
          <w:position w:val="6"/>
          <w:sz w:val="22"/>
          <w:szCs w:val="22"/>
          <w:lang w:eastAsia="en-US"/>
        </w:rPr>
      </w:pPr>
    </w:p>
    <w:p w14:paraId="7D0E32C0" w14:textId="77777777" w:rsidR="00370FD6" w:rsidRDefault="00370FD6" w:rsidP="00AA1319">
      <w:pPr>
        <w:rPr>
          <w:rFonts w:ascii="Arial" w:eastAsiaTheme="minorHAnsi" w:hAnsi="Arial" w:cs="Arial"/>
          <w:color w:val="000000" w:themeColor="text1"/>
          <w:position w:val="6"/>
          <w:sz w:val="22"/>
          <w:szCs w:val="22"/>
          <w:lang w:eastAsia="en-US"/>
        </w:rPr>
      </w:pPr>
    </w:p>
    <w:p w14:paraId="225E1B69" w14:textId="77777777" w:rsidR="00370FD6" w:rsidRDefault="00370FD6" w:rsidP="00AA1319">
      <w:pPr>
        <w:rPr>
          <w:rFonts w:ascii="Arial" w:eastAsiaTheme="minorHAnsi" w:hAnsi="Arial" w:cs="Arial"/>
          <w:color w:val="000000" w:themeColor="text1"/>
          <w:position w:val="6"/>
          <w:sz w:val="22"/>
          <w:szCs w:val="22"/>
          <w:lang w:eastAsia="en-US"/>
        </w:rPr>
      </w:pPr>
    </w:p>
    <w:p w14:paraId="4C17D9A5" w14:textId="77777777" w:rsidR="00370FD6" w:rsidRDefault="00370FD6" w:rsidP="00AA1319">
      <w:pPr>
        <w:rPr>
          <w:rFonts w:ascii="Arial" w:eastAsiaTheme="minorHAnsi" w:hAnsi="Arial" w:cs="Arial"/>
          <w:color w:val="000000" w:themeColor="text1"/>
          <w:position w:val="6"/>
          <w:sz w:val="22"/>
          <w:szCs w:val="22"/>
          <w:lang w:eastAsia="en-US"/>
        </w:rPr>
      </w:pPr>
    </w:p>
    <w:p w14:paraId="4A724AC5" w14:textId="77777777" w:rsidR="00370FD6" w:rsidRDefault="00370FD6" w:rsidP="00AA1319">
      <w:pPr>
        <w:rPr>
          <w:rFonts w:ascii="Arial" w:eastAsiaTheme="minorHAnsi" w:hAnsi="Arial" w:cs="Arial"/>
          <w:color w:val="000000" w:themeColor="text1"/>
          <w:position w:val="6"/>
          <w:sz w:val="22"/>
          <w:szCs w:val="22"/>
          <w:lang w:eastAsia="en-US"/>
        </w:rPr>
      </w:pPr>
    </w:p>
    <w:p w14:paraId="4FA5512F" w14:textId="77777777" w:rsidR="00370FD6" w:rsidRDefault="00370FD6" w:rsidP="00AA1319">
      <w:pPr>
        <w:rPr>
          <w:rFonts w:ascii="Arial" w:eastAsiaTheme="minorHAnsi" w:hAnsi="Arial" w:cs="Arial"/>
          <w:color w:val="000000" w:themeColor="text1"/>
          <w:position w:val="6"/>
          <w:sz w:val="22"/>
          <w:szCs w:val="22"/>
          <w:lang w:eastAsia="en-US"/>
        </w:rPr>
      </w:pPr>
    </w:p>
    <w:p w14:paraId="69C170D7" w14:textId="77777777" w:rsidR="00370FD6" w:rsidRDefault="00370FD6" w:rsidP="00AA1319">
      <w:pPr>
        <w:rPr>
          <w:rFonts w:ascii="Arial" w:eastAsiaTheme="minorHAnsi" w:hAnsi="Arial" w:cs="Arial"/>
          <w:color w:val="000000" w:themeColor="text1"/>
          <w:position w:val="6"/>
          <w:sz w:val="22"/>
          <w:szCs w:val="22"/>
          <w:lang w:eastAsia="en-US"/>
        </w:rPr>
      </w:pPr>
    </w:p>
    <w:p w14:paraId="1924D359" w14:textId="77777777" w:rsidR="00370FD6" w:rsidRDefault="00370FD6" w:rsidP="00AA1319">
      <w:pPr>
        <w:rPr>
          <w:rFonts w:ascii="Arial" w:eastAsiaTheme="minorHAnsi" w:hAnsi="Arial" w:cs="Arial"/>
          <w:color w:val="000000" w:themeColor="text1"/>
          <w:position w:val="6"/>
          <w:sz w:val="22"/>
          <w:szCs w:val="22"/>
          <w:lang w:eastAsia="en-US"/>
        </w:rPr>
      </w:pPr>
    </w:p>
    <w:p w14:paraId="2E4B487B" w14:textId="77777777" w:rsidR="00370FD6" w:rsidRDefault="00370FD6" w:rsidP="00AA1319">
      <w:pPr>
        <w:rPr>
          <w:rFonts w:ascii="Arial" w:eastAsiaTheme="minorHAnsi" w:hAnsi="Arial" w:cs="Arial"/>
          <w:color w:val="000000" w:themeColor="text1"/>
          <w:position w:val="6"/>
          <w:sz w:val="22"/>
          <w:szCs w:val="22"/>
          <w:lang w:eastAsia="en-US"/>
        </w:rPr>
      </w:pPr>
    </w:p>
    <w:p w14:paraId="3DF9074B" w14:textId="77777777" w:rsidR="00370FD6" w:rsidRDefault="00370FD6" w:rsidP="00AA1319">
      <w:pPr>
        <w:rPr>
          <w:rFonts w:ascii="Arial" w:eastAsiaTheme="minorHAnsi" w:hAnsi="Arial" w:cs="Arial"/>
          <w:color w:val="000000" w:themeColor="text1"/>
          <w:position w:val="6"/>
          <w:sz w:val="22"/>
          <w:szCs w:val="22"/>
          <w:lang w:eastAsia="en-US"/>
        </w:rPr>
      </w:pPr>
    </w:p>
    <w:p w14:paraId="424513A8" w14:textId="77777777" w:rsidR="00370FD6" w:rsidRDefault="00370FD6" w:rsidP="00AA1319">
      <w:pPr>
        <w:rPr>
          <w:rFonts w:ascii="Arial" w:eastAsiaTheme="minorHAnsi" w:hAnsi="Arial" w:cs="Arial"/>
          <w:color w:val="000000" w:themeColor="text1"/>
          <w:position w:val="6"/>
          <w:sz w:val="22"/>
          <w:szCs w:val="22"/>
          <w:lang w:eastAsia="en-US"/>
        </w:rPr>
      </w:pPr>
    </w:p>
    <w:p w14:paraId="4F2E4C51" w14:textId="77777777" w:rsidR="00370FD6" w:rsidRDefault="00370FD6" w:rsidP="00AA1319">
      <w:pPr>
        <w:rPr>
          <w:rFonts w:ascii="Arial" w:eastAsiaTheme="minorHAnsi" w:hAnsi="Arial" w:cs="Arial"/>
          <w:color w:val="000000" w:themeColor="text1"/>
          <w:position w:val="6"/>
          <w:sz w:val="22"/>
          <w:szCs w:val="22"/>
          <w:lang w:eastAsia="en-US"/>
        </w:rPr>
      </w:pPr>
    </w:p>
    <w:p w14:paraId="34F82558" w14:textId="77777777" w:rsidR="00370FD6" w:rsidRDefault="00370FD6" w:rsidP="00AA1319">
      <w:pPr>
        <w:rPr>
          <w:rFonts w:ascii="Arial" w:eastAsiaTheme="minorHAnsi" w:hAnsi="Arial" w:cs="Arial"/>
          <w:color w:val="000000" w:themeColor="text1"/>
          <w:position w:val="6"/>
          <w:sz w:val="22"/>
          <w:szCs w:val="22"/>
          <w:lang w:eastAsia="en-US"/>
        </w:rPr>
      </w:pPr>
    </w:p>
    <w:p w14:paraId="33C18408" w14:textId="77777777" w:rsidR="00370FD6" w:rsidRDefault="00370FD6" w:rsidP="00AA1319">
      <w:pPr>
        <w:rPr>
          <w:rFonts w:ascii="Arial" w:eastAsiaTheme="minorHAnsi" w:hAnsi="Arial" w:cs="Arial"/>
          <w:color w:val="000000" w:themeColor="text1"/>
          <w:position w:val="6"/>
          <w:sz w:val="22"/>
          <w:szCs w:val="22"/>
          <w:lang w:eastAsia="en-US"/>
        </w:rPr>
      </w:pPr>
    </w:p>
    <w:p w14:paraId="7FD58F0F" w14:textId="77777777" w:rsidR="00370FD6" w:rsidRDefault="00370FD6" w:rsidP="00AA1319">
      <w:pPr>
        <w:rPr>
          <w:rFonts w:ascii="Arial" w:eastAsiaTheme="minorHAnsi" w:hAnsi="Arial" w:cs="Arial"/>
          <w:color w:val="000000" w:themeColor="text1"/>
          <w:position w:val="6"/>
          <w:sz w:val="22"/>
          <w:szCs w:val="22"/>
          <w:lang w:eastAsia="en-US"/>
        </w:rPr>
      </w:pPr>
    </w:p>
    <w:p w14:paraId="6CC5C85C" w14:textId="77777777" w:rsidR="00370FD6" w:rsidRDefault="00370FD6" w:rsidP="00AA1319">
      <w:pPr>
        <w:rPr>
          <w:rFonts w:ascii="Arial" w:eastAsiaTheme="minorHAnsi" w:hAnsi="Arial" w:cs="Arial"/>
          <w:color w:val="000000" w:themeColor="text1"/>
          <w:position w:val="6"/>
          <w:sz w:val="22"/>
          <w:szCs w:val="22"/>
          <w:lang w:eastAsia="en-US"/>
        </w:rPr>
      </w:pPr>
    </w:p>
    <w:p w14:paraId="124BB16E" w14:textId="77777777" w:rsidR="00370FD6" w:rsidRDefault="00370FD6" w:rsidP="00AA1319">
      <w:pPr>
        <w:rPr>
          <w:rFonts w:ascii="Arial" w:eastAsiaTheme="minorHAnsi" w:hAnsi="Arial" w:cs="Arial"/>
          <w:color w:val="000000" w:themeColor="text1"/>
          <w:position w:val="6"/>
          <w:sz w:val="22"/>
          <w:szCs w:val="22"/>
          <w:lang w:eastAsia="en-US"/>
        </w:rPr>
      </w:pPr>
    </w:p>
    <w:p w14:paraId="17092F28" w14:textId="77777777" w:rsidR="00370FD6" w:rsidRDefault="00370FD6" w:rsidP="00AA1319">
      <w:pPr>
        <w:rPr>
          <w:rFonts w:ascii="Arial" w:eastAsiaTheme="minorHAnsi" w:hAnsi="Arial" w:cs="Arial"/>
          <w:color w:val="000000" w:themeColor="text1"/>
          <w:position w:val="6"/>
          <w:sz w:val="22"/>
          <w:szCs w:val="22"/>
          <w:lang w:eastAsia="en-US"/>
        </w:rPr>
      </w:pPr>
    </w:p>
    <w:p w14:paraId="27DBDC00" w14:textId="77777777" w:rsidR="00370FD6" w:rsidRDefault="00370FD6" w:rsidP="00AA1319">
      <w:pPr>
        <w:rPr>
          <w:rFonts w:ascii="Arial" w:eastAsiaTheme="minorHAnsi" w:hAnsi="Arial" w:cs="Arial"/>
          <w:color w:val="000000" w:themeColor="text1"/>
          <w:position w:val="6"/>
          <w:sz w:val="22"/>
          <w:szCs w:val="22"/>
          <w:lang w:eastAsia="en-US"/>
        </w:rPr>
      </w:pPr>
    </w:p>
    <w:p w14:paraId="1761A30F" w14:textId="77777777" w:rsidR="00370FD6" w:rsidRDefault="00370FD6" w:rsidP="00AA1319">
      <w:pPr>
        <w:rPr>
          <w:rFonts w:ascii="Arial" w:eastAsiaTheme="minorHAnsi" w:hAnsi="Arial" w:cs="Arial"/>
          <w:color w:val="000000" w:themeColor="text1"/>
          <w:position w:val="6"/>
          <w:sz w:val="22"/>
          <w:szCs w:val="22"/>
          <w:lang w:eastAsia="en-US"/>
        </w:rPr>
      </w:pPr>
    </w:p>
    <w:p w14:paraId="34C103D3" w14:textId="77777777" w:rsidR="00370FD6" w:rsidRDefault="00370FD6" w:rsidP="00AA1319">
      <w:pPr>
        <w:rPr>
          <w:rFonts w:ascii="Arial" w:eastAsiaTheme="minorHAnsi" w:hAnsi="Arial" w:cs="Arial"/>
          <w:color w:val="000000" w:themeColor="text1"/>
          <w:position w:val="6"/>
          <w:sz w:val="22"/>
          <w:szCs w:val="22"/>
          <w:lang w:eastAsia="en-US"/>
        </w:rPr>
      </w:pPr>
    </w:p>
    <w:p w14:paraId="39054709" w14:textId="77777777" w:rsidR="00370FD6" w:rsidRDefault="00370FD6" w:rsidP="00AA1319">
      <w:pPr>
        <w:rPr>
          <w:rFonts w:ascii="Arial" w:eastAsiaTheme="minorHAnsi" w:hAnsi="Arial" w:cs="Arial"/>
          <w:color w:val="000000" w:themeColor="text1"/>
          <w:position w:val="6"/>
          <w:sz w:val="22"/>
          <w:szCs w:val="22"/>
          <w:lang w:eastAsia="en-US"/>
        </w:rPr>
      </w:pPr>
    </w:p>
    <w:p w14:paraId="2EB185F7" w14:textId="77777777" w:rsidR="00370FD6" w:rsidRDefault="00370FD6" w:rsidP="00AA1319">
      <w:pPr>
        <w:rPr>
          <w:rFonts w:ascii="Arial" w:eastAsiaTheme="minorHAnsi" w:hAnsi="Arial" w:cs="Arial"/>
          <w:color w:val="000000" w:themeColor="text1"/>
          <w:position w:val="6"/>
          <w:sz w:val="22"/>
          <w:szCs w:val="22"/>
          <w:lang w:eastAsia="en-US"/>
        </w:rPr>
      </w:pPr>
    </w:p>
    <w:p w14:paraId="5547783B" w14:textId="77777777" w:rsidR="00370FD6" w:rsidRPr="00865A74" w:rsidRDefault="00370FD6" w:rsidP="00AA1319">
      <w:pPr>
        <w:rPr>
          <w:rFonts w:ascii="Inter-Regular" w:eastAsiaTheme="minorHAnsi" w:hAnsi="Inter-Regular" w:cs="Inter-Regular"/>
          <w:color w:val="C00000"/>
          <w:position w:val="6"/>
          <w:sz w:val="26"/>
          <w:szCs w:val="26"/>
          <w:lang w:eastAsia="en-US"/>
        </w:rPr>
      </w:pPr>
    </w:p>
    <w:p w14:paraId="6845B09F" w14:textId="77777777" w:rsidR="00D14768" w:rsidRDefault="00D14768" w:rsidP="00AA1319">
      <w:pPr>
        <w:rPr>
          <w:color w:val="C00000"/>
          <w:sz w:val="18"/>
          <w:szCs w:val="18"/>
        </w:rPr>
      </w:pPr>
    </w:p>
    <w:p w14:paraId="2C7FE8E8" w14:textId="77777777" w:rsidR="00370FD6" w:rsidRDefault="00370FD6" w:rsidP="00370FD6">
      <w:pPr>
        <w:jc w:val="center"/>
        <w:rPr>
          <w:rFonts w:ascii="Arial" w:hAnsi="Arial" w:cs="Arial"/>
          <w:color w:val="000000" w:themeColor="text1"/>
          <w:sz w:val="22"/>
          <w:szCs w:val="22"/>
        </w:rPr>
      </w:pPr>
    </w:p>
    <w:p w14:paraId="7E932FF5" w14:textId="77777777" w:rsidR="00370FD6" w:rsidRDefault="00370FD6" w:rsidP="00370FD6">
      <w:pPr>
        <w:jc w:val="center"/>
        <w:rPr>
          <w:rFonts w:ascii="Arial" w:hAnsi="Arial" w:cs="Arial"/>
          <w:color w:val="000000" w:themeColor="text1"/>
          <w:sz w:val="22"/>
          <w:szCs w:val="22"/>
        </w:rPr>
      </w:pPr>
    </w:p>
    <w:p w14:paraId="2A5BC1E7" w14:textId="4216C513" w:rsidR="00370FD6" w:rsidRDefault="00370FD6" w:rsidP="00370FD6">
      <w:pPr>
        <w:jc w:val="center"/>
        <w:rPr>
          <w:rFonts w:ascii="Arial" w:hAnsi="Arial" w:cs="Arial"/>
          <w:color w:val="000000" w:themeColor="text1"/>
          <w:sz w:val="22"/>
          <w:szCs w:val="22"/>
        </w:rPr>
      </w:pPr>
      <w:r w:rsidRPr="00370FD6">
        <w:rPr>
          <w:rFonts w:ascii="Arial" w:hAnsi="Arial" w:cs="Arial"/>
          <w:color w:val="000000" w:themeColor="text1"/>
          <w:sz w:val="22"/>
          <w:szCs w:val="22"/>
        </w:rPr>
        <w:t>References</w:t>
      </w:r>
      <w:r>
        <w:rPr>
          <w:rFonts w:ascii="Arial" w:hAnsi="Arial" w:cs="Arial"/>
          <w:color w:val="000000" w:themeColor="text1"/>
          <w:sz w:val="22"/>
          <w:szCs w:val="22"/>
        </w:rPr>
        <w:t>:</w:t>
      </w:r>
    </w:p>
    <w:p w14:paraId="53762661" w14:textId="77777777" w:rsidR="00370FD6" w:rsidRPr="00370FD6" w:rsidRDefault="00370FD6" w:rsidP="00370FD6">
      <w:pPr>
        <w:jc w:val="center"/>
        <w:rPr>
          <w:rFonts w:ascii="Arial" w:hAnsi="Arial" w:cs="Arial"/>
          <w:color w:val="000000" w:themeColor="text1"/>
          <w:sz w:val="22"/>
          <w:szCs w:val="22"/>
        </w:rPr>
      </w:pPr>
    </w:p>
    <w:p w14:paraId="021BB05F" w14:textId="77777777" w:rsidR="00370FD6" w:rsidRDefault="00370FD6" w:rsidP="00AA1319">
      <w:pPr>
        <w:rPr>
          <w:color w:val="C00000"/>
          <w:sz w:val="18"/>
          <w:szCs w:val="18"/>
        </w:rPr>
      </w:pPr>
    </w:p>
    <w:p w14:paraId="39FFC2EA" w14:textId="40F2D0C2" w:rsidR="00370FD6" w:rsidRPr="00370FD6" w:rsidRDefault="00370FD6" w:rsidP="00370FD6">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Equality Act 2010 (2010) </w:t>
      </w:r>
      <w:r w:rsidRPr="00370FD6">
        <w:rPr>
          <w:rFonts w:ascii="Arial" w:eastAsiaTheme="minorHAnsi" w:hAnsi="Arial" w:cs="Arial"/>
          <w:i/>
          <w:iCs/>
          <w:color w:val="151515"/>
          <w:position w:val="6"/>
          <w:sz w:val="22"/>
          <w:szCs w:val="22"/>
          <w:lang w:eastAsia="en-US"/>
          <w14:ligatures w14:val="standardContextual"/>
        </w:rPr>
        <w:t>Equality Act 2010: Chapter 15.</w:t>
      </w:r>
      <w:r w:rsidRPr="00370FD6">
        <w:rPr>
          <w:rFonts w:ascii="Arial" w:eastAsiaTheme="minorHAnsi" w:hAnsi="Arial" w:cs="Arial"/>
          <w:color w:val="151515"/>
          <w:position w:val="6"/>
          <w:sz w:val="22"/>
          <w:szCs w:val="22"/>
          <w:lang w:eastAsia="en-US"/>
          <w14:ligatures w14:val="standardContextual"/>
        </w:rPr>
        <w:t xml:space="preserve"> London: The Stationery Office. Available at: https://www.legislation.gov.uk/ukpga/2010/15/contents (Accessed: 1 April 2026).</w:t>
      </w:r>
    </w:p>
    <w:p w14:paraId="04C2D1AF" w14:textId="77777777" w:rsidR="00370FD6" w:rsidRPr="00370FD6" w:rsidRDefault="00370FD6" w:rsidP="00370FD6">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59"/>
        <w:rPr>
          <w:rFonts w:ascii="Arial" w:eastAsiaTheme="minorHAnsi" w:hAnsi="Arial" w:cs="Arial"/>
          <w:lang w:eastAsia="en-US"/>
          <w14:ligatures w14:val="standardContextual"/>
        </w:rPr>
      </w:pPr>
    </w:p>
    <w:p w14:paraId="23E56F1D"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5" w:hanging="326"/>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2. Department of Health and Social Care (DHSC) (2013) </w:t>
      </w:r>
      <w:r w:rsidRPr="00370FD6">
        <w:rPr>
          <w:rFonts w:ascii="Arial" w:eastAsiaTheme="minorHAnsi" w:hAnsi="Arial" w:cs="Arial"/>
          <w:i/>
          <w:iCs/>
          <w:color w:val="151515"/>
          <w:position w:val="6"/>
          <w:sz w:val="22"/>
          <w:szCs w:val="22"/>
          <w:lang w:eastAsia="en-US"/>
          <w14:ligatures w14:val="standardContextual"/>
        </w:rPr>
        <w:t>Information: To share or not to share? The Information Governance Review (Caldicott Review).</w:t>
      </w:r>
      <w:r w:rsidRPr="00370FD6">
        <w:rPr>
          <w:rFonts w:ascii="Arial" w:eastAsiaTheme="minorHAnsi" w:hAnsi="Arial" w:cs="Arial"/>
          <w:color w:val="151515"/>
          <w:position w:val="6"/>
          <w:sz w:val="22"/>
          <w:szCs w:val="22"/>
          <w:lang w:eastAsia="en-US"/>
          <w14:ligatures w14:val="standardContextual"/>
        </w:rPr>
        <w:t xml:space="preserve"> London: Department of Health and Social Care. Available at: https://www.gov.uk/government/publications/the-information-governance-review (Accessed: 1 April 2026).</w:t>
      </w:r>
    </w:p>
    <w:p w14:paraId="45023B65"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5" w:hanging="326"/>
        <w:rPr>
          <w:rFonts w:ascii="Arial" w:eastAsiaTheme="minorHAnsi" w:hAnsi="Arial" w:cs="Arial"/>
          <w:lang w:eastAsia="en-US"/>
          <w14:ligatures w14:val="standardContextual"/>
        </w:rPr>
      </w:pPr>
    </w:p>
    <w:p w14:paraId="33E478CA"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7" w:hanging="328"/>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3. Nursing and Midwifery Council (NMC) (2018) </w:t>
      </w:r>
      <w:r w:rsidRPr="00370FD6">
        <w:rPr>
          <w:rFonts w:ascii="Arial" w:eastAsiaTheme="minorHAnsi" w:hAnsi="Arial" w:cs="Arial"/>
          <w:i/>
          <w:iCs/>
          <w:color w:val="151515"/>
          <w:position w:val="6"/>
          <w:sz w:val="22"/>
          <w:szCs w:val="22"/>
          <w:lang w:eastAsia="en-US"/>
          <w14:ligatures w14:val="standardContextual"/>
        </w:rPr>
        <w:t>The Code: Professional standards of practice and behaviour for nurses, midwives and nursing associates.</w:t>
      </w:r>
      <w:r w:rsidRPr="00370FD6">
        <w:rPr>
          <w:rFonts w:ascii="Arial" w:eastAsiaTheme="minorHAnsi" w:hAnsi="Arial" w:cs="Arial"/>
          <w:color w:val="151515"/>
          <w:position w:val="6"/>
          <w:sz w:val="22"/>
          <w:szCs w:val="22"/>
          <w:lang w:eastAsia="en-US"/>
          <w14:ligatures w14:val="standardContextual"/>
        </w:rPr>
        <w:t xml:space="preserve"> London: Nursing and Midwifery Council. Available at: https://www.nmc.org.uk/standards/code/ (Accessed: 1 April 2026).</w:t>
      </w:r>
    </w:p>
    <w:p w14:paraId="0C63EF75"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7" w:hanging="328"/>
        <w:rPr>
          <w:rFonts w:ascii="Arial" w:eastAsiaTheme="minorHAnsi" w:hAnsi="Arial" w:cs="Arial"/>
          <w:lang w:eastAsia="en-US"/>
          <w14:ligatures w14:val="standardContextual"/>
        </w:rPr>
      </w:pPr>
    </w:p>
    <w:p w14:paraId="5EFA9B46"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6" w:hanging="327"/>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4. Nursing and Midwifery Council (NMC) (2019) </w:t>
      </w:r>
      <w:r w:rsidRPr="00370FD6">
        <w:rPr>
          <w:rFonts w:ascii="Arial" w:eastAsiaTheme="minorHAnsi" w:hAnsi="Arial" w:cs="Arial"/>
          <w:i/>
          <w:iCs/>
          <w:color w:val="151515"/>
          <w:position w:val="6"/>
          <w:sz w:val="22"/>
          <w:szCs w:val="22"/>
          <w:lang w:eastAsia="en-US"/>
          <w14:ligatures w14:val="standardContextual"/>
        </w:rPr>
        <w:t>Record keeping: Guidance for nurses and midwives.</w:t>
      </w:r>
      <w:r w:rsidRPr="00370FD6">
        <w:rPr>
          <w:rFonts w:ascii="Arial" w:eastAsiaTheme="minorHAnsi" w:hAnsi="Arial" w:cs="Arial"/>
          <w:color w:val="151515"/>
          <w:position w:val="6"/>
          <w:sz w:val="22"/>
          <w:szCs w:val="22"/>
          <w:lang w:eastAsia="en-US"/>
          <w14:ligatures w14:val="standardContextual"/>
        </w:rPr>
        <w:t xml:space="preserve"> London: Nursing and Midwifery Council. Available at: https://www.nmc.org.uk/globalassets/sitedocuments/nmc-publications/nmc-record-keeping-guidance.pdf (Accessed: 1 April 2026).</w:t>
      </w:r>
    </w:p>
    <w:p w14:paraId="6FCC2A32"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26" w:hanging="327"/>
        <w:rPr>
          <w:rFonts w:ascii="Arial" w:eastAsiaTheme="minorHAnsi" w:hAnsi="Arial" w:cs="Arial"/>
          <w:lang w:eastAsia="en-US"/>
          <w14:ligatures w14:val="standardContextual"/>
        </w:rPr>
      </w:pPr>
    </w:p>
    <w:p w14:paraId="4F23A79E" w14:textId="77777777" w:rsid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18" w:hanging="319"/>
        <w:rPr>
          <w:rFonts w:ascii="Arial" w:eastAsiaTheme="minorHAnsi" w:hAnsi="Arial" w:cs="Arial"/>
          <w:color w:val="151515"/>
          <w:position w:val="6"/>
          <w:sz w:val="22"/>
          <w:szCs w:val="22"/>
          <w:lang w:eastAsia="en-US"/>
          <w14:ligatures w14:val="standardContextual"/>
        </w:rPr>
      </w:pPr>
      <w:r w:rsidRPr="00370FD6">
        <w:rPr>
          <w:rFonts w:ascii="Arial" w:eastAsiaTheme="minorHAnsi" w:hAnsi="Arial" w:cs="Arial"/>
          <w:color w:val="151515"/>
          <w:position w:val="6"/>
          <w:sz w:val="22"/>
          <w:szCs w:val="22"/>
          <w:lang w:eastAsia="en-US"/>
          <w14:ligatures w14:val="standardContextual"/>
        </w:rPr>
        <w:t xml:space="preserve">5. Care Quality Commission (CQC) (2017) </w:t>
      </w:r>
      <w:r w:rsidRPr="00370FD6">
        <w:rPr>
          <w:rFonts w:ascii="Arial" w:eastAsiaTheme="minorHAnsi" w:hAnsi="Arial" w:cs="Arial"/>
          <w:i/>
          <w:iCs/>
          <w:color w:val="151515"/>
          <w:position w:val="6"/>
          <w:sz w:val="22"/>
          <w:szCs w:val="22"/>
          <w:lang w:eastAsia="en-US"/>
          <w14:ligatures w14:val="standardContextual"/>
        </w:rPr>
        <w:t>The fundamental standards.</w:t>
      </w:r>
      <w:r w:rsidRPr="00370FD6">
        <w:rPr>
          <w:rFonts w:ascii="Arial" w:eastAsiaTheme="minorHAnsi" w:hAnsi="Arial" w:cs="Arial"/>
          <w:color w:val="151515"/>
          <w:position w:val="6"/>
          <w:sz w:val="22"/>
          <w:szCs w:val="22"/>
          <w:lang w:eastAsia="en-US"/>
          <w14:ligatures w14:val="standardContextual"/>
        </w:rPr>
        <w:t xml:space="preserve"> Newcastle upon Tyne: Care Quality Commission. Available at: https://www.cqc.org.uk/about-us/fundamental-standards (Accessed: 1 April 2026).</w:t>
      </w:r>
    </w:p>
    <w:p w14:paraId="22300ACD" w14:textId="77777777" w:rsidR="00370FD6" w:rsidRPr="00370FD6" w:rsidRDefault="00370FD6" w:rsidP="00370F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40" w:lineRule="exact"/>
        <w:ind w:left="318" w:hanging="319"/>
        <w:rPr>
          <w:rFonts w:ascii="Arial" w:eastAsiaTheme="minorHAnsi" w:hAnsi="Arial" w:cs="Arial"/>
          <w:lang w:eastAsia="en-US"/>
          <w14:ligatures w14:val="standardContextual"/>
        </w:rPr>
      </w:pPr>
    </w:p>
    <w:p w14:paraId="5E6A4454" w14:textId="25E2346A" w:rsidR="00370FD6" w:rsidRPr="00370FD6" w:rsidRDefault="00370FD6" w:rsidP="00370FD6">
      <w:pPr>
        <w:rPr>
          <w:rFonts w:ascii="Arial" w:hAnsi="Arial" w:cs="Arial"/>
          <w:color w:val="C00000"/>
          <w:sz w:val="13"/>
          <w:szCs w:val="13"/>
        </w:rPr>
      </w:pPr>
      <w:r w:rsidRPr="00370FD6">
        <w:rPr>
          <w:rFonts w:ascii="Arial" w:eastAsiaTheme="minorHAnsi" w:hAnsi="Arial" w:cs="Arial"/>
          <w:color w:val="151515"/>
          <w:position w:val="6"/>
          <w:sz w:val="22"/>
          <w:szCs w:val="22"/>
          <w:lang w:eastAsia="en-US"/>
          <w14:ligatures w14:val="standardContextual"/>
        </w:rPr>
        <w:t xml:space="preserve">6. Egan, G. (2014) </w:t>
      </w:r>
      <w:r w:rsidRPr="00370FD6">
        <w:rPr>
          <w:rFonts w:ascii="Arial" w:eastAsiaTheme="minorHAnsi" w:hAnsi="Arial" w:cs="Arial"/>
          <w:i/>
          <w:iCs/>
          <w:color w:val="151515"/>
          <w:position w:val="6"/>
          <w:sz w:val="22"/>
          <w:szCs w:val="22"/>
          <w:lang w:eastAsia="en-US"/>
          <w14:ligatures w14:val="standardContextual"/>
        </w:rPr>
        <w:t>The skilled helper: A problem-management and opportunity-development approach to helping.</w:t>
      </w:r>
      <w:r w:rsidRPr="00370FD6">
        <w:rPr>
          <w:rFonts w:ascii="Arial" w:eastAsiaTheme="minorHAnsi" w:hAnsi="Arial" w:cs="Arial"/>
          <w:color w:val="151515"/>
          <w:position w:val="6"/>
          <w:sz w:val="22"/>
          <w:szCs w:val="22"/>
          <w:lang w:eastAsia="en-US"/>
          <w14:ligatures w14:val="standardContextual"/>
        </w:rPr>
        <w:t xml:space="preserve"> 10th </w:t>
      </w:r>
      <w:proofErr w:type="spellStart"/>
      <w:r w:rsidRPr="00370FD6">
        <w:rPr>
          <w:rFonts w:ascii="Arial" w:eastAsiaTheme="minorHAnsi" w:hAnsi="Arial" w:cs="Arial"/>
          <w:color w:val="151515"/>
          <w:position w:val="6"/>
          <w:sz w:val="22"/>
          <w:szCs w:val="22"/>
          <w:lang w:eastAsia="en-US"/>
          <w14:ligatures w14:val="standardContextual"/>
        </w:rPr>
        <w:t>edn</w:t>
      </w:r>
      <w:proofErr w:type="spellEnd"/>
      <w:r w:rsidRPr="00370FD6">
        <w:rPr>
          <w:rFonts w:ascii="Arial" w:eastAsiaTheme="minorHAnsi" w:hAnsi="Arial" w:cs="Arial"/>
          <w:color w:val="151515"/>
          <w:position w:val="6"/>
          <w:sz w:val="22"/>
          <w:szCs w:val="22"/>
          <w:lang w:eastAsia="en-US"/>
          <w14:ligatures w14:val="standardContextual"/>
        </w:rPr>
        <w:t>. Belmont, CA: Cengage Learning. Available at: https://www.cengage.co.uk/books/9781285065717/ (Accessed: 1 April 2026).</w:t>
      </w:r>
    </w:p>
    <w:sectPr w:rsidR="00370FD6" w:rsidRPr="00370F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Inter-Regular">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41DD7"/>
    <w:multiLevelType w:val="hybridMultilevel"/>
    <w:tmpl w:val="54CEDBB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AA3D52"/>
    <w:multiLevelType w:val="hybridMultilevel"/>
    <w:tmpl w:val="9EC0BAA6"/>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5EA524EF"/>
    <w:multiLevelType w:val="hybridMultilevel"/>
    <w:tmpl w:val="8252F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0D4346"/>
    <w:multiLevelType w:val="hybridMultilevel"/>
    <w:tmpl w:val="D12866F2"/>
    <w:lvl w:ilvl="0" w:tplc="C5B09774">
      <w:start w:val="1"/>
      <w:numFmt w:val="decimal"/>
      <w:lvlText w:val="%1."/>
      <w:lvlJc w:val="left"/>
      <w:pPr>
        <w:ind w:left="359" w:hanging="360"/>
      </w:pPr>
      <w:rPr>
        <w:rFonts w:hint="default"/>
      </w:rPr>
    </w:lvl>
    <w:lvl w:ilvl="1" w:tplc="08090019" w:tentative="1">
      <w:start w:val="1"/>
      <w:numFmt w:val="lowerLetter"/>
      <w:lvlText w:val="%2."/>
      <w:lvlJc w:val="left"/>
      <w:pPr>
        <w:ind w:left="1079" w:hanging="360"/>
      </w:pPr>
    </w:lvl>
    <w:lvl w:ilvl="2" w:tplc="0809001B" w:tentative="1">
      <w:start w:val="1"/>
      <w:numFmt w:val="lowerRoman"/>
      <w:lvlText w:val="%3."/>
      <w:lvlJc w:val="right"/>
      <w:pPr>
        <w:ind w:left="1799" w:hanging="180"/>
      </w:pPr>
    </w:lvl>
    <w:lvl w:ilvl="3" w:tplc="0809000F" w:tentative="1">
      <w:start w:val="1"/>
      <w:numFmt w:val="decimal"/>
      <w:lvlText w:val="%4."/>
      <w:lvlJc w:val="left"/>
      <w:pPr>
        <w:ind w:left="2519" w:hanging="360"/>
      </w:pPr>
    </w:lvl>
    <w:lvl w:ilvl="4" w:tplc="08090019" w:tentative="1">
      <w:start w:val="1"/>
      <w:numFmt w:val="lowerLetter"/>
      <w:lvlText w:val="%5."/>
      <w:lvlJc w:val="left"/>
      <w:pPr>
        <w:ind w:left="3239" w:hanging="360"/>
      </w:pPr>
    </w:lvl>
    <w:lvl w:ilvl="5" w:tplc="0809001B" w:tentative="1">
      <w:start w:val="1"/>
      <w:numFmt w:val="lowerRoman"/>
      <w:lvlText w:val="%6."/>
      <w:lvlJc w:val="right"/>
      <w:pPr>
        <w:ind w:left="3959" w:hanging="180"/>
      </w:pPr>
    </w:lvl>
    <w:lvl w:ilvl="6" w:tplc="0809000F" w:tentative="1">
      <w:start w:val="1"/>
      <w:numFmt w:val="decimal"/>
      <w:lvlText w:val="%7."/>
      <w:lvlJc w:val="left"/>
      <w:pPr>
        <w:ind w:left="4679" w:hanging="360"/>
      </w:pPr>
    </w:lvl>
    <w:lvl w:ilvl="7" w:tplc="08090019" w:tentative="1">
      <w:start w:val="1"/>
      <w:numFmt w:val="lowerLetter"/>
      <w:lvlText w:val="%8."/>
      <w:lvlJc w:val="left"/>
      <w:pPr>
        <w:ind w:left="5399" w:hanging="360"/>
      </w:pPr>
    </w:lvl>
    <w:lvl w:ilvl="8" w:tplc="0809001B" w:tentative="1">
      <w:start w:val="1"/>
      <w:numFmt w:val="lowerRoman"/>
      <w:lvlText w:val="%9."/>
      <w:lvlJc w:val="right"/>
      <w:pPr>
        <w:ind w:left="6119" w:hanging="180"/>
      </w:pPr>
    </w:lvl>
  </w:abstractNum>
  <w:num w:numId="1" w16cid:durableId="992875896">
    <w:abstractNumId w:val="1"/>
  </w:num>
  <w:num w:numId="2" w16cid:durableId="20589138">
    <w:abstractNumId w:val="2"/>
  </w:num>
  <w:num w:numId="3" w16cid:durableId="1729381788">
    <w:abstractNumId w:val="0"/>
  </w:num>
  <w:num w:numId="4" w16cid:durableId="1820867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319"/>
    <w:rsid w:val="00012E39"/>
    <w:rsid w:val="00050925"/>
    <w:rsid w:val="00236DA3"/>
    <w:rsid w:val="002432DF"/>
    <w:rsid w:val="00286F6F"/>
    <w:rsid w:val="0029431E"/>
    <w:rsid w:val="00367C94"/>
    <w:rsid w:val="00370FD6"/>
    <w:rsid w:val="003C70A6"/>
    <w:rsid w:val="003F232F"/>
    <w:rsid w:val="00472794"/>
    <w:rsid w:val="005921E0"/>
    <w:rsid w:val="005E33BF"/>
    <w:rsid w:val="00643625"/>
    <w:rsid w:val="006D003E"/>
    <w:rsid w:val="006E19B4"/>
    <w:rsid w:val="006F7D39"/>
    <w:rsid w:val="00723148"/>
    <w:rsid w:val="0074131C"/>
    <w:rsid w:val="00761866"/>
    <w:rsid w:val="00773656"/>
    <w:rsid w:val="00814CEA"/>
    <w:rsid w:val="00831FAC"/>
    <w:rsid w:val="00865A74"/>
    <w:rsid w:val="00911477"/>
    <w:rsid w:val="00912C30"/>
    <w:rsid w:val="009320F9"/>
    <w:rsid w:val="00A6024D"/>
    <w:rsid w:val="00A81AC4"/>
    <w:rsid w:val="00A8486B"/>
    <w:rsid w:val="00AA1319"/>
    <w:rsid w:val="00AA18FC"/>
    <w:rsid w:val="00B7475B"/>
    <w:rsid w:val="00B75821"/>
    <w:rsid w:val="00BA356B"/>
    <w:rsid w:val="00BE0F79"/>
    <w:rsid w:val="00C60DC0"/>
    <w:rsid w:val="00D1071A"/>
    <w:rsid w:val="00D14768"/>
    <w:rsid w:val="00D3091F"/>
    <w:rsid w:val="00D31E7A"/>
    <w:rsid w:val="00D94627"/>
    <w:rsid w:val="00EB6672"/>
    <w:rsid w:val="00FD0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84E51"/>
  <w15:chartTrackingRefBased/>
  <w15:docId w15:val="{1997A7A6-DF2E-C949-9A01-B7C366341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31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A13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3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3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3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3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31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31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31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31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3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3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3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3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3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319"/>
    <w:rPr>
      <w:rFonts w:eastAsiaTheme="majorEastAsia" w:cstheme="majorBidi"/>
      <w:color w:val="272727" w:themeColor="text1" w:themeTint="D8"/>
    </w:rPr>
  </w:style>
  <w:style w:type="paragraph" w:styleId="Title">
    <w:name w:val="Title"/>
    <w:basedOn w:val="Normal"/>
    <w:next w:val="Normal"/>
    <w:link w:val="TitleChar"/>
    <w:uiPriority w:val="10"/>
    <w:qFormat/>
    <w:rsid w:val="00AA131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319"/>
    <w:pPr>
      <w:spacing w:before="160"/>
      <w:jc w:val="center"/>
    </w:pPr>
    <w:rPr>
      <w:i/>
      <w:iCs/>
      <w:color w:val="404040" w:themeColor="text1" w:themeTint="BF"/>
    </w:rPr>
  </w:style>
  <w:style w:type="character" w:customStyle="1" w:styleId="QuoteChar">
    <w:name w:val="Quote Char"/>
    <w:basedOn w:val="DefaultParagraphFont"/>
    <w:link w:val="Quote"/>
    <w:uiPriority w:val="29"/>
    <w:rsid w:val="00AA1319"/>
    <w:rPr>
      <w:i/>
      <w:iCs/>
      <w:color w:val="404040" w:themeColor="text1" w:themeTint="BF"/>
    </w:rPr>
  </w:style>
  <w:style w:type="paragraph" w:styleId="ListParagraph">
    <w:name w:val="List Paragraph"/>
    <w:basedOn w:val="Normal"/>
    <w:link w:val="ListParagraphChar"/>
    <w:uiPriority w:val="34"/>
    <w:qFormat/>
    <w:rsid w:val="00AA1319"/>
    <w:pPr>
      <w:ind w:left="720"/>
      <w:contextualSpacing/>
    </w:pPr>
  </w:style>
  <w:style w:type="character" w:styleId="IntenseEmphasis">
    <w:name w:val="Intense Emphasis"/>
    <w:basedOn w:val="DefaultParagraphFont"/>
    <w:uiPriority w:val="21"/>
    <w:qFormat/>
    <w:rsid w:val="00AA1319"/>
    <w:rPr>
      <w:i/>
      <w:iCs/>
      <w:color w:val="0F4761" w:themeColor="accent1" w:themeShade="BF"/>
    </w:rPr>
  </w:style>
  <w:style w:type="paragraph" w:styleId="IntenseQuote">
    <w:name w:val="Intense Quote"/>
    <w:basedOn w:val="Normal"/>
    <w:next w:val="Normal"/>
    <w:link w:val="IntenseQuoteChar"/>
    <w:uiPriority w:val="30"/>
    <w:qFormat/>
    <w:rsid w:val="00AA13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319"/>
    <w:rPr>
      <w:i/>
      <w:iCs/>
      <w:color w:val="0F4761" w:themeColor="accent1" w:themeShade="BF"/>
    </w:rPr>
  </w:style>
  <w:style w:type="character" w:styleId="IntenseReference">
    <w:name w:val="Intense Reference"/>
    <w:basedOn w:val="DefaultParagraphFont"/>
    <w:uiPriority w:val="32"/>
    <w:qFormat/>
    <w:rsid w:val="00AA1319"/>
    <w:rPr>
      <w:b/>
      <w:bCs/>
      <w:smallCaps/>
      <w:color w:val="0F4761" w:themeColor="accent1" w:themeShade="BF"/>
      <w:spacing w:val="5"/>
    </w:rPr>
  </w:style>
  <w:style w:type="character" w:customStyle="1" w:styleId="ListParagraphChar">
    <w:name w:val="List Paragraph Char"/>
    <w:link w:val="ListParagraph"/>
    <w:uiPriority w:val="34"/>
    <w:locked/>
    <w:rsid w:val="00AA13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2339</TotalTime>
  <Pages>6</Pages>
  <Words>1966</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Fahtima Iyaiz (2319515)</dc:creator>
  <cp:keywords/>
  <dc:description/>
  <cp:lastModifiedBy>Fahtima Iyaiz (2319515)</cp:lastModifiedBy>
  <cp:revision>3</cp:revision>
  <dcterms:created xsi:type="dcterms:W3CDTF">2026-03-15T14:38:00Z</dcterms:created>
  <dcterms:modified xsi:type="dcterms:W3CDTF">2026-04-01T22:25:00Z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A97C9D35-A502-41AC-A0BE-B58D7A157A05</vt:lpwstr>
  </property>
</Properties>
</file>