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4C011" w14:textId="4C390B01" w:rsidR="00DE2E7C" w:rsidRDefault="00DE2E7C" w:rsidP="185171D4">
      <w:pPr>
        <w:spacing w:line="480" w:lineRule="auto"/>
        <w:rPr>
          <w:rFonts w:ascii="Calibri" w:eastAsia="Calibri" w:hAnsi="Calibri" w:cs="Calibri"/>
          <w:color w:val="000000" w:themeColor="text1"/>
        </w:rPr>
      </w:pPr>
    </w:p>
    <w:p w14:paraId="047685DC" w14:textId="464B20B9" w:rsidR="00DE2E7C" w:rsidRDefault="00DE2E7C" w:rsidP="185171D4">
      <w:pPr>
        <w:spacing w:line="480" w:lineRule="auto"/>
        <w:rPr>
          <w:rFonts w:ascii="Calibri" w:eastAsia="Calibri" w:hAnsi="Calibri" w:cs="Calibri"/>
          <w:color w:val="000000" w:themeColor="text1"/>
        </w:rPr>
      </w:pPr>
    </w:p>
    <w:p w14:paraId="3A5A8118" w14:textId="26BAEF95" w:rsidR="00DE2E7C" w:rsidRDefault="624E2544" w:rsidP="185171D4">
      <w:pPr>
        <w:spacing w:line="480" w:lineRule="auto"/>
        <w:rPr>
          <w:rFonts w:ascii="Calibri" w:eastAsia="Calibri" w:hAnsi="Calibri" w:cs="Calibri"/>
          <w:color w:val="000000" w:themeColor="text1"/>
        </w:rPr>
      </w:pPr>
      <w:r>
        <w:rPr>
          <w:noProof/>
        </w:rPr>
        <w:drawing>
          <wp:inline distT="0" distB="0" distL="0" distR="0" wp14:anchorId="5CFDA030" wp14:editId="622078D0">
            <wp:extent cx="5943600" cy="1971675"/>
            <wp:effectExtent l="0" t="0" r="0" b="0"/>
            <wp:docPr id="600227199" name="Picture 600227199"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943600" cy="1971675"/>
                    </a:xfrm>
                    <a:prstGeom prst="rect">
                      <a:avLst/>
                    </a:prstGeom>
                  </pic:spPr>
                </pic:pic>
              </a:graphicData>
            </a:graphic>
          </wp:inline>
        </w:drawing>
      </w:r>
    </w:p>
    <w:p w14:paraId="2053CD6D" w14:textId="1FD26217" w:rsidR="00DE2E7C" w:rsidRDefault="00DE2E7C" w:rsidP="185171D4">
      <w:pPr>
        <w:spacing w:line="480" w:lineRule="auto"/>
        <w:rPr>
          <w:rFonts w:ascii="Calibri" w:eastAsia="Calibri" w:hAnsi="Calibri" w:cs="Calibri"/>
          <w:color w:val="000000" w:themeColor="text1"/>
        </w:rPr>
      </w:pPr>
    </w:p>
    <w:p w14:paraId="288D1188" w14:textId="585176C5" w:rsidR="00DE2E7C" w:rsidRDefault="00DE2E7C" w:rsidP="185171D4">
      <w:pPr>
        <w:spacing w:line="480" w:lineRule="auto"/>
        <w:rPr>
          <w:rFonts w:ascii="Calibri" w:eastAsia="Calibri" w:hAnsi="Calibri" w:cs="Calibri"/>
          <w:color w:val="000000" w:themeColor="text1"/>
        </w:rPr>
      </w:pPr>
    </w:p>
    <w:p w14:paraId="5504D16E" w14:textId="16414471"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rPr>
        <w:t>Module: ECAD6007</w:t>
      </w:r>
    </w:p>
    <w:p w14:paraId="3C0CE7EC" w14:textId="40D45499"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rPr>
        <w:t>Student Number: 2318487</w:t>
      </w:r>
    </w:p>
    <w:p w14:paraId="68373B71" w14:textId="56B86091" w:rsidR="00DE2E7C" w:rsidRDefault="624E2544" w:rsidP="185171D4">
      <w:pPr>
        <w:spacing w:after="0" w:line="480" w:lineRule="auto"/>
        <w:rPr>
          <w:rFonts w:ascii="Calibri" w:eastAsia="Calibri" w:hAnsi="Calibri" w:cs="Calibri"/>
          <w:b/>
          <w:bCs/>
          <w:color w:val="000000" w:themeColor="text1"/>
          <w:sz w:val="24"/>
          <w:szCs w:val="24"/>
          <w:lang w:val="en-GB"/>
        </w:rPr>
      </w:pPr>
      <w:r w:rsidRPr="185171D4">
        <w:rPr>
          <w:rFonts w:ascii="Calibri" w:eastAsia="Calibri" w:hAnsi="Calibri" w:cs="Calibri"/>
          <w:b/>
          <w:bCs/>
          <w:color w:val="000000" w:themeColor="text1"/>
          <w:sz w:val="24"/>
          <w:szCs w:val="24"/>
          <w:lang w:val="en-GB"/>
        </w:rPr>
        <w:t>Word count: 3</w:t>
      </w:r>
      <w:r w:rsidR="79ACB469" w:rsidRPr="185171D4">
        <w:rPr>
          <w:rFonts w:ascii="Calibri" w:eastAsia="Calibri" w:hAnsi="Calibri" w:cs="Calibri"/>
          <w:b/>
          <w:bCs/>
          <w:color w:val="000000" w:themeColor="text1"/>
          <w:sz w:val="24"/>
          <w:szCs w:val="24"/>
          <w:lang w:val="en-GB"/>
        </w:rPr>
        <w:t>700</w:t>
      </w:r>
    </w:p>
    <w:p w14:paraId="46CEEDD0" w14:textId="2D68D018" w:rsidR="00DE2E7C" w:rsidRDefault="00DE2E7C" w:rsidP="185171D4">
      <w:pPr>
        <w:spacing w:line="480" w:lineRule="auto"/>
        <w:rPr>
          <w:rFonts w:ascii="Calibri" w:eastAsia="Calibri" w:hAnsi="Calibri" w:cs="Calibri"/>
          <w:color w:val="000000" w:themeColor="text1"/>
          <w:sz w:val="24"/>
          <w:szCs w:val="24"/>
        </w:rPr>
      </w:pPr>
    </w:p>
    <w:p w14:paraId="04A56B04" w14:textId="58486A97" w:rsidR="00DE2E7C" w:rsidRDefault="00DE2E7C" w:rsidP="185171D4">
      <w:pPr>
        <w:spacing w:line="480" w:lineRule="auto"/>
        <w:rPr>
          <w:rFonts w:ascii="Calibri" w:eastAsia="Calibri" w:hAnsi="Calibri" w:cs="Calibri"/>
          <w:color w:val="000000" w:themeColor="text1"/>
          <w:sz w:val="24"/>
          <w:szCs w:val="24"/>
        </w:rPr>
      </w:pPr>
    </w:p>
    <w:p w14:paraId="4ACC9E0B" w14:textId="108A6872" w:rsidR="00DE2E7C" w:rsidRDefault="624E2544" w:rsidP="185171D4">
      <w:pPr>
        <w:spacing w:after="0"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lang w:val="en-GB"/>
        </w:rPr>
        <w:t xml:space="preserve">Assignment title: </w:t>
      </w:r>
      <w:r w:rsidRPr="185171D4">
        <w:rPr>
          <w:rFonts w:ascii="Calibri" w:eastAsia="Calibri" w:hAnsi="Calibri" w:cs="Calibri"/>
          <w:color w:val="000000" w:themeColor="text1"/>
          <w:sz w:val="24"/>
          <w:szCs w:val="24"/>
          <w:lang w:val="en-GB"/>
        </w:rPr>
        <w:t>A critical evaluation and the identification of next teaching and learning steps focusing on a case study of an individual learner or a group of learners, based on an observed critical incident.</w:t>
      </w:r>
    </w:p>
    <w:p w14:paraId="05D61B65" w14:textId="2923E762" w:rsidR="00DE2E7C" w:rsidRDefault="00DE2E7C" w:rsidP="185171D4">
      <w:pPr>
        <w:spacing w:line="480" w:lineRule="auto"/>
        <w:rPr>
          <w:rFonts w:ascii="Calibri" w:eastAsia="Calibri" w:hAnsi="Calibri" w:cs="Calibri"/>
          <w:b/>
          <w:bCs/>
          <w:color w:val="000000" w:themeColor="text1"/>
          <w:sz w:val="24"/>
          <w:szCs w:val="24"/>
          <w:u w:val="single"/>
          <w:lang w:val="en-GB"/>
        </w:rPr>
      </w:pPr>
    </w:p>
    <w:p w14:paraId="7630C8E6" w14:textId="5B39B5D2" w:rsidR="00DE2E7C" w:rsidRDefault="00DE2E7C" w:rsidP="185171D4">
      <w:pPr>
        <w:spacing w:line="480" w:lineRule="auto"/>
        <w:rPr>
          <w:rFonts w:ascii="Calibri" w:eastAsia="Calibri" w:hAnsi="Calibri" w:cs="Calibri"/>
          <w:b/>
          <w:bCs/>
          <w:color w:val="000000" w:themeColor="text1"/>
          <w:sz w:val="24"/>
          <w:szCs w:val="24"/>
          <w:u w:val="single"/>
          <w:lang w:val="en-GB"/>
        </w:rPr>
      </w:pPr>
    </w:p>
    <w:p w14:paraId="4E74F87B" w14:textId="21A1F6B6"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u w:val="single"/>
          <w:lang w:val="en-GB"/>
        </w:rPr>
        <w:lastRenderedPageBreak/>
        <w:t>Introduction</w:t>
      </w:r>
    </w:p>
    <w:p w14:paraId="6D2ED6AF" w14:textId="0F237682"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The aim of this assignment is to critically evaluate and reflect on an observed incident that took place within a secondary school setting. This essay will use Tripp’s (1993) critical incident methodology in hopes to provide a well-balanced reflection and evaluation of the numerous incidents that take place frequently throughout the school day (Tripp, 2011). According to Tripp (1993), a critical incident an ‘an interpretation of the significance of an event’. However, this is based on a value judgement made by the researcher and so the basis of our judgement corresponds to the significance we attach to the said incident and the meaning of that incident. </w:t>
      </w:r>
      <w:r w:rsidR="00000000">
        <w:tab/>
      </w:r>
      <w:r w:rsidRPr="185171D4">
        <w:rPr>
          <w:rFonts w:ascii="Calibri" w:eastAsia="Calibri" w:hAnsi="Calibri" w:cs="Calibri"/>
          <w:color w:val="000000" w:themeColor="text1"/>
          <w:sz w:val="24"/>
          <w:szCs w:val="24"/>
          <w:lang w:val="en-GB"/>
        </w:rPr>
        <w:t xml:space="preserve">Often, these incidents seem to appear as ‘typical’ incidents as opposed to ‘critical’ incidents, but of course these observations are then developed through a thorough critical analysis process. Based on my own observations, I have chosen to expand on a critical incident which explores the nature of mental health within a classroom setting, focusing on anxiety, and the inclusion of students who have English as an additional language (EAL). Kolb’s (1984) reflective model will be used </w:t>
      </w:r>
      <w:proofErr w:type="gramStart"/>
      <w:r w:rsidRPr="185171D4">
        <w:rPr>
          <w:rFonts w:ascii="Calibri" w:eastAsia="Calibri" w:hAnsi="Calibri" w:cs="Calibri"/>
          <w:color w:val="000000" w:themeColor="text1"/>
          <w:sz w:val="24"/>
          <w:szCs w:val="24"/>
          <w:lang w:val="en-GB"/>
        </w:rPr>
        <w:t>in order to</w:t>
      </w:r>
      <w:proofErr w:type="gramEnd"/>
      <w:r w:rsidRPr="185171D4">
        <w:rPr>
          <w:rFonts w:ascii="Calibri" w:eastAsia="Calibri" w:hAnsi="Calibri" w:cs="Calibri"/>
          <w:color w:val="000000" w:themeColor="text1"/>
          <w:sz w:val="24"/>
          <w:szCs w:val="24"/>
          <w:lang w:val="en-GB"/>
        </w:rPr>
        <w:t xml:space="preserve"> reflect on the critical incident, the use of this model will be expanded on further in the following section. Furthermore, my literature review which will be used later in relation to contextualizing theory and practice of my chosen observation. The observation will also be discussed and outlined </w:t>
      </w:r>
      <w:proofErr w:type="gramStart"/>
      <w:r w:rsidRPr="185171D4">
        <w:rPr>
          <w:rFonts w:ascii="Calibri" w:eastAsia="Calibri" w:hAnsi="Calibri" w:cs="Calibri"/>
          <w:color w:val="000000" w:themeColor="text1"/>
          <w:sz w:val="24"/>
          <w:szCs w:val="24"/>
          <w:lang w:val="en-GB"/>
        </w:rPr>
        <w:t>in regard to</w:t>
      </w:r>
      <w:proofErr w:type="gramEnd"/>
      <w:r w:rsidRPr="185171D4">
        <w:rPr>
          <w:rFonts w:ascii="Calibri" w:eastAsia="Calibri" w:hAnsi="Calibri" w:cs="Calibri"/>
          <w:color w:val="000000" w:themeColor="text1"/>
          <w:sz w:val="24"/>
          <w:szCs w:val="24"/>
          <w:lang w:val="en-GB"/>
        </w:rPr>
        <w:t xml:space="preserve"> the current curriculum reform in Wales, followed by a succinct description of the school context. </w:t>
      </w:r>
    </w:p>
    <w:p w14:paraId="6FEAF6D5" w14:textId="0CCCF0A1" w:rsidR="00DE2E7C" w:rsidRDefault="00DE2E7C" w:rsidP="185171D4">
      <w:pPr>
        <w:spacing w:line="480" w:lineRule="auto"/>
        <w:rPr>
          <w:rFonts w:ascii="Calibri" w:eastAsia="Calibri" w:hAnsi="Calibri" w:cs="Calibri"/>
          <w:b/>
          <w:bCs/>
          <w:color w:val="000000" w:themeColor="text1"/>
          <w:sz w:val="24"/>
          <w:szCs w:val="24"/>
          <w:u w:val="single"/>
          <w:lang w:val="en-GB"/>
        </w:rPr>
      </w:pPr>
    </w:p>
    <w:p w14:paraId="5B38F2AA" w14:textId="77777777" w:rsidR="00093E46" w:rsidRDefault="00093E46" w:rsidP="185171D4">
      <w:pPr>
        <w:spacing w:line="480" w:lineRule="auto"/>
        <w:rPr>
          <w:rFonts w:ascii="Calibri" w:eastAsia="Calibri" w:hAnsi="Calibri" w:cs="Calibri"/>
          <w:b/>
          <w:bCs/>
          <w:color w:val="000000" w:themeColor="text1"/>
          <w:sz w:val="24"/>
          <w:szCs w:val="24"/>
          <w:u w:val="single"/>
          <w:lang w:val="en-GB"/>
        </w:rPr>
      </w:pPr>
    </w:p>
    <w:p w14:paraId="64459FC6" w14:textId="77777777" w:rsidR="00093E46" w:rsidRDefault="00093E46" w:rsidP="185171D4">
      <w:pPr>
        <w:spacing w:line="480" w:lineRule="auto"/>
        <w:rPr>
          <w:rFonts w:ascii="Calibri" w:eastAsia="Calibri" w:hAnsi="Calibri" w:cs="Calibri"/>
          <w:b/>
          <w:bCs/>
          <w:color w:val="000000" w:themeColor="text1"/>
          <w:sz w:val="24"/>
          <w:szCs w:val="24"/>
          <w:u w:val="single"/>
          <w:lang w:val="en-GB"/>
        </w:rPr>
      </w:pPr>
    </w:p>
    <w:p w14:paraId="708DD15F" w14:textId="285A4A02"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u w:val="single"/>
          <w:lang w:val="en-GB"/>
        </w:rPr>
        <w:lastRenderedPageBreak/>
        <w:t xml:space="preserve">The role of critical reflection </w:t>
      </w:r>
    </w:p>
    <w:p w14:paraId="7E82FD9C" w14:textId="22A53F25" w:rsidR="00DE2E7C" w:rsidRDefault="624E2544" w:rsidP="185171D4">
      <w:pPr>
        <w:spacing w:line="480" w:lineRule="auto"/>
        <w:rPr>
          <w:rFonts w:ascii="Calibri" w:eastAsia="Calibri" w:hAnsi="Calibri" w:cs="Calibri"/>
          <w:color w:val="000000" w:themeColor="text1"/>
          <w:sz w:val="24"/>
          <w:szCs w:val="24"/>
          <w:lang w:val="en-GB"/>
        </w:rPr>
      </w:pPr>
      <w:r w:rsidRPr="185171D4">
        <w:rPr>
          <w:rFonts w:ascii="Calibri" w:eastAsia="Calibri" w:hAnsi="Calibri" w:cs="Calibri"/>
          <w:color w:val="000000" w:themeColor="text1"/>
          <w:sz w:val="24"/>
          <w:szCs w:val="24"/>
          <w:lang w:val="en-GB"/>
        </w:rPr>
        <w:t xml:space="preserve">Reflective practice is a purposeful approach to improve the future practice of teachers regarding teacher education (Belvis et al., 2013). As a teacher, self-development and professional development are essential in hopes to be successful in teaching. Improvements should be consistently made throughout ones’ teaching career, and this is not a bad thing, constructive criticism as well as self-reflection are powerful tools which can be used to help improve ones’ approach to teaching and role as an educator. The world is constantly changing, and as seen by the introduction of the new curriculum, so are the topics students are learning about. For example, regarding the new curriculum for Wales, History will now aim to teach more about other groups of people such as black and minority ethnic (BAME) history and health and well-being around mental health becoming more prominent in the new curriculum are a few examples of positive changes to our education system. The </w:t>
      </w:r>
      <w:proofErr w:type="gramStart"/>
      <w:r w:rsidRPr="185171D4">
        <w:rPr>
          <w:rFonts w:ascii="Calibri" w:eastAsia="Calibri" w:hAnsi="Calibri" w:cs="Calibri"/>
          <w:color w:val="000000" w:themeColor="text1"/>
          <w:sz w:val="24"/>
          <w:szCs w:val="24"/>
          <w:lang w:val="en-GB"/>
        </w:rPr>
        <w:t>aforementioned highlights</w:t>
      </w:r>
      <w:proofErr w:type="gramEnd"/>
      <w:r w:rsidRPr="185171D4">
        <w:rPr>
          <w:rFonts w:ascii="Calibri" w:eastAsia="Calibri" w:hAnsi="Calibri" w:cs="Calibri"/>
          <w:color w:val="000000" w:themeColor="text1"/>
          <w:sz w:val="24"/>
          <w:szCs w:val="24"/>
          <w:lang w:val="en-GB"/>
        </w:rPr>
        <w:t xml:space="preserve"> the fact that, as many things around us are constantly changing, teachers are no different. </w:t>
      </w:r>
    </w:p>
    <w:p w14:paraId="62929EEB" w14:textId="715A6070"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One critical quality of a good teacher is their ability to adapt to these changes and effectively implement them in their own teaching. Teachers are like any other individual, changing and making consistent improvements and </w:t>
      </w:r>
      <w:proofErr w:type="gramStart"/>
      <w:r w:rsidRPr="185171D4">
        <w:rPr>
          <w:rFonts w:ascii="Calibri" w:eastAsia="Calibri" w:hAnsi="Calibri" w:cs="Calibri"/>
          <w:color w:val="000000" w:themeColor="text1"/>
          <w:sz w:val="24"/>
          <w:szCs w:val="24"/>
          <w:lang w:val="en-GB"/>
        </w:rPr>
        <w:t>through the use of</w:t>
      </w:r>
      <w:proofErr w:type="gramEnd"/>
      <w:r w:rsidRPr="185171D4">
        <w:rPr>
          <w:rFonts w:ascii="Calibri" w:eastAsia="Calibri" w:hAnsi="Calibri" w:cs="Calibri"/>
          <w:color w:val="000000" w:themeColor="text1"/>
          <w:sz w:val="24"/>
          <w:szCs w:val="24"/>
          <w:lang w:val="en-GB"/>
        </w:rPr>
        <w:t xml:space="preserve"> critical reflection teacher</w:t>
      </w:r>
      <w:r w:rsidR="23062D21" w:rsidRPr="185171D4">
        <w:rPr>
          <w:rFonts w:ascii="Calibri" w:eastAsia="Calibri" w:hAnsi="Calibri" w:cs="Calibri"/>
          <w:color w:val="000000" w:themeColor="text1"/>
          <w:sz w:val="24"/>
          <w:szCs w:val="24"/>
          <w:lang w:val="en-GB"/>
        </w:rPr>
        <w:t>s</w:t>
      </w:r>
      <w:r w:rsidRPr="185171D4">
        <w:rPr>
          <w:rFonts w:ascii="Calibri" w:eastAsia="Calibri" w:hAnsi="Calibri" w:cs="Calibri"/>
          <w:color w:val="000000" w:themeColor="text1"/>
          <w:sz w:val="24"/>
          <w:szCs w:val="24"/>
          <w:lang w:val="en-GB"/>
        </w:rPr>
        <w:t xml:space="preserve"> will be able to develop on this persistent mindset, also coined as a ‘disposition to enquiry’ (Zwozdisk –Myers, 2018) allowing them to continuously develop on their individual teaching practice – as well as bettering student learning. The prior is also supported by Moon (1999) who argues that cognitive learning and understanding at a deeper level is vital to the enrichment of professional practice. </w:t>
      </w:r>
      <w:r w:rsidR="2102D0B6" w:rsidRPr="185171D4">
        <w:rPr>
          <w:rFonts w:ascii="Calibri" w:eastAsia="Calibri" w:hAnsi="Calibri" w:cs="Calibri"/>
          <w:color w:val="000000" w:themeColor="text1"/>
          <w:sz w:val="24"/>
          <w:szCs w:val="24"/>
          <w:lang w:val="en-GB"/>
        </w:rPr>
        <w:t>Using Kolb’s reflective model, this essay will first explain the concrete experience on the critical inc</w:t>
      </w:r>
      <w:r w:rsidR="4CF824DD" w:rsidRPr="185171D4">
        <w:rPr>
          <w:rFonts w:ascii="Calibri" w:eastAsia="Calibri" w:hAnsi="Calibri" w:cs="Calibri"/>
          <w:color w:val="000000" w:themeColor="text1"/>
          <w:sz w:val="24"/>
          <w:szCs w:val="24"/>
          <w:lang w:val="en-GB"/>
        </w:rPr>
        <w:t xml:space="preserve">ident through my observation. A reflective </w:t>
      </w:r>
      <w:r w:rsidR="4CF824DD" w:rsidRPr="185171D4">
        <w:rPr>
          <w:rFonts w:ascii="Calibri" w:eastAsia="Calibri" w:hAnsi="Calibri" w:cs="Calibri"/>
          <w:color w:val="000000" w:themeColor="text1"/>
          <w:sz w:val="24"/>
          <w:szCs w:val="24"/>
          <w:lang w:val="en-GB"/>
        </w:rPr>
        <w:lastRenderedPageBreak/>
        <w:t>observatio</w:t>
      </w:r>
      <w:r w:rsidR="0B9D0A0F" w:rsidRPr="185171D4">
        <w:rPr>
          <w:rFonts w:ascii="Calibri" w:eastAsia="Calibri" w:hAnsi="Calibri" w:cs="Calibri"/>
          <w:color w:val="000000" w:themeColor="text1"/>
          <w:sz w:val="24"/>
          <w:szCs w:val="24"/>
          <w:lang w:val="en-GB"/>
        </w:rPr>
        <w:t xml:space="preserve">n will then be done, </w:t>
      </w:r>
      <w:proofErr w:type="gramStart"/>
      <w:r w:rsidR="299461D9" w:rsidRPr="185171D4">
        <w:rPr>
          <w:rFonts w:ascii="Calibri" w:eastAsia="Calibri" w:hAnsi="Calibri" w:cs="Calibri"/>
          <w:color w:val="000000" w:themeColor="text1"/>
          <w:sz w:val="24"/>
          <w:szCs w:val="24"/>
          <w:lang w:val="en-GB"/>
        </w:rPr>
        <w:t>reflecting</w:t>
      </w:r>
      <w:proofErr w:type="gramEnd"/>
      <w:r w:rsidR="299461D9" w:rsidRPr="185171D4">
        <w:rPr>
          <w:rFonts w:ascii="Calibri" w:eastAsia="Calibri" w:hAnsi="Calibri" w:cs="Calibri"/>
          <w:color w:val="000000" w:themeColor="text1"/>
          <w:sz w:val="24"/>
          <w:szCs w:val="24"/>
          <w:lang w:val="en-GB"/>
        </w:rPr>
        <w:t xml:space="preserve"> and</w:t>
      </w:r>
      <w:r w:rsidR="0B9D0A0F" w:rsidRPr="185171D4">
        <w:rPr>
          <w:rFonts w:ascii="Calibri" w:eastAsia="Calibri" w:hAnsi="Calibri" w:cs="Calibri"/>
          <w:color w:val="000000" w:themeColor="text1"/>
          <w:sz w:val="24"/>
          <w:szCs w:val="24"/>
          <w:lang w:val="en-GB"/>
        </w:rPr>
        <w:t xml:space="preserve"> </w:t>
      </w:r>
      <w:r w:rsidR="211147B0" w:rsidRPr="185171D4">
        <w:rPr>
          <w:rFonts w:ascii="Calibri" w:eastAsia="Calibri" w:hAnsi="Calibri" w:cs="Calibri"/>
          <w:color w:val="000000" w:themeColor="text1"/>
          <w:sz w:val="24"/>
          <w:szCs w:val="24"/>
          <w:lang w:val="en-GB"/>
        </w:rPr>
        <w:t>reviewing</w:t>
      </w:r>
      <w:r w:rsidR="0B9D0A0F" w:rsidRPr="185171D4">
        <w:rPr>
          <w:rFonts w:ascii="Calibri" w:eastAsia="Calibri" w:hAnsi="Calibri" w:cs="Calibri"/>
          <w:color w:val="000000" w:themeColor="text1"/>
          <w:sz w:val="24"/>
          <w:szCs w:val="24"/>
          <w:lang w:val="en-GB"/>
        </w:rPr>
        <w:t xml:space="preserve"> my experience of the incident, leading on to abstract concep</w:t>
      </w:r>
      <w:r w:rsidR="6AEF7CA7" w:rsidRPr="185171D4">
        <w:rPr>
          <w:rFonts w:ascii="Calibri" w:eastAsia="Calibri" w:hAnsi="Calibri" w:cs="Calibri"/>
          <w:color w:val="000000" w:themeColor="text1"/>
          <w:sz w:val="24"/>
          <w:szCs w:val="24"/>
          <w:lang w:val="en-GB"/>
        </w:rPr>
        <w:t xml:space="preserve">tualisation. </w:t>
      </w:r>
      <w:r w:rsidR="7F510F16" w:rsidRPr="185171D4">
        <w:rPr>
          <w:rFonts w:ascii="Calibri" w:eastAsia="Calibri" w:hAnsi="Calibri" w:cs="Calibri"/>
          <w:color w:val="000000" w:themeColor="text1"/>
          <w:sz w:val="24"/>
          <w:szCs w:val="24"/>
          <w:lang w:val="en-GB"/>
        </w:rPr>
        <w:t>Abstract</w:t>
      </w:r>
      <w:r w:rsidR="6AEF7CA7" w:rsidRPr="185171D4">
        <w:rPr>
          <w:rFonts w:ascii="Calibri" w:eastAsia="Calibri" w:hAnsi="Calibri" w:cs="Calibri"/>
          <w:color w:val="000000" w:themeColor="text1"/>
          <w:sz w:val="24"/>
          <w:szCs w:val="24"/>
          <w:lang w:val="en-GB"/>
        </w:rPr>
        <w:t xml:space="preserve"> </w:t>
      </w:r>
      <w:r w:rsidR="4920CBD0" w:rsidRPr="185171D4">
        <w:rPr>
          <w:rFonts w:ascii="Calibri" w:eastAsia="Calibri" w:hAnsi="Calibri" w:cs="Calibri"/>
          <w:color w:val="000000" w:themeColor="text1"/>
          <w:sz w:val="24"/>
          <w:szCs w:val="24"/>
          <w:lang w:val="en-GB"/>
        </w:rPr>
        <w:t>conceptualisation</w:t>
      </w:r>
      <w:r w:rsidR="6AEF7CA7" w:rsidRPr="185171D4">
        <w:rPr>
          <w:rFonts w:ascii="Calibri" w:eastAsia="Calibri" w:hAnsi="Calibri" w:cs="Calibri"/>
          <w:color w:val="000000" w:themeColor="text1"/>
          <w:sz w:val="24"/>
          <w:szCs w:val="24"/>
          <w:lang w:val="en-GB"/>
        </w:rPr>
        <w:t xml:space="preserve"> will focus on what I have learnt from the experience which will then lead us onto our final step of active experimentation – which is what I plan to do</w:t>
      </w:r>
      <w:r w:rsidR="03337589" w:rsidRPr="185171D4">
        <w:rPr>
          <w:rFonts w:ascii="Calibri" w:eastAsia="Calibri" w:hAnsi="Calibri" w:cs="Calibri"/>
          <w:color w:val="000000" w:themeColor="text1"/>
          <w:sz w:val="24"/>
          <w:szCs w:val="24"/>
          <w:lang w:val="en-GB"/>
        </w:rPr>
        <w:t xml:space="preserve"> or have done moving forward from this </w:t>
      </w:r>
      <w:proofErr w:type="gramStart"/>
      <w:r w:rsidR="03337589" w:rsidRPr="185171D4">
        <w:rPr>
          <w:rFonts w:ascii="Calibri" w:eastAsia="Calibri" w:hAnsi="Calibri" w:cs="Calibri"/>
          <w:color w:val="000000" w:themeColor="text1"/>
          <w:sz w:val="24"/>
          <w:szCs w:val="24"/>
          <w:lang w:val="en-GB"/>
        </w:rPr>
        <w:t>experience</w:t>
      </w:r>
      <w:proofErr w:type="gramEnd"/>
    </w:p>
    <w:p w14:paraId="32DFE9ED" w14:textId="5BC712BB"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u w:val="single"/>
          <w:lang w:val="en-GB"/>
        </w:rPr>
        <w:t>School Context</w:t>
      </w:r>
    </w:p>
    <w:p w14:paraId="322F0964" w14:textId="111728C9"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According to the BERA (2018) guidelines, data must be kept confidential and anonymous </w:t>
      </w:r>
      <w:proofErr w:type="gramStart"/>
      <w:r w:rsidRPr="185171D4">
        <w:rPr>
          <w:rFonts w:ascii="Calibri" w:eastAsia="Calibri" w:hAnsi="Calibri" w:cs="Calibri"/>
          <w:color w:val="000000" w:themeColor="text1"/>
          <w:sz w:val="24"/>
          <w:szCs w:val="24"/>
          <w:lang w:val="en-GB"/>
        </w:rPr>
        <w:t>in regard to</w:t>
      </w:r>
      <w:proofErr w:type="gramEnd"/>
      <w:r w:rsidRPr="185171D4">
        <w:rPr>
          <w:rFonts w:ascii="Calibri" w:eastAsia="Calibri" w:hAnsi="Calibri" w:cs="Calibri"/>
          <w:color w:val="000000" w:themeColor="text1"/>
          <w:sz w:val="24"/>
          <w:szCs w:val="24"/>
          <w:lang w:val="en-GB"/>
        </w:rPr>
        <w:t xml:space="preserve"> participants’ data, and this is considered the norm for the conduct of research in such an environment. </w:t>
      </w:r>
      <w:proofErr w:type="gramStart"/>
      <w:r w:rsidRPr="185171D4">
        <w:rPr>
          <w:rFonts w:ascii="Calibri" w:eastAsia="Calibri" w:hAnsi="Calibri" w:cs="Calibri"/>
          <w:color w:val="000000" w:themeColor="text1"/>
          <w:sz w:val="24"/>
          <w:szCs w:val="24"/>
          <w:lang w:val="en-GB"/>
        </w:rPr>
        <w:t>In order to</w:t>
      </w:r>
      <w:proofErr w:type="gramEnd"/>
      <w:r w:rsidRPr="185171D4">
        <w:rPr>
          <w:rFonts w:ascii="Calibri" w:eastAsia="Calibri" w:hAnsi="Calibri" w:cs="Calibri"/>
          <w:color w:val="000000" w:themeColor="text1"/>
          <w:sz w:val="24"/>
          <w:szCs w:val="24"/>
          <w:lang w:val="en-GB"/>
        </w:rPr>
        <w:t xml:space="preserve"> comply with these guidelines, the pupils, staff and school will remain anonymous throughout this essay. </w:t>
      </w:r>
    </w:p>
    <w:p w14:paraId="6096FC1B" w14:textId="467CCE0F"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The observation took place in a mixed-gender, English speaking Secondary school. According to the schools latest ESTYN report (Estyn, 2023), school X has a number of 1262 pupils who are between the ages of 11-18. Furthermore, the percentage of pupils eligible for free school meals in school X is 25.3%, which is over the average national percentage of 20.2% (Estyn, 2023). The percentage of pupils identified as having additional learning needs (ALN), is 20.8%, again, above the national percentage of 17.8%. On top of this, the percentage of </w:t>
      </w:r>
      <w:r w:rsidR="1B96657C" w:rsidRPr="185171D4">
        <w:rPr>
          <w:rFonts w:ascii="Calibri" w:eastAsia="Calibri" w:hAnsi="Calibri" w:cs="Calibri"/>
          <w:color w:val="000000" w:themeColor="text1"/>
          <w:sz w:val="24"/>
          <w:szCs w:val="24"/>
          <w:lang w:val="en-GB"/>
        </w:rPr>
        <w:t>EAL pupils</w:t>
      </w:r>
      <w:r w:rsidRPr="185171D4">
        <w:rPr>
          <w:rFonts w:ascii="Calibri" w:eastAsia="Calibri" w:hAnsi="Calibri" w:cs="Calibri"/>
          <w:color w:val="000000" w:themeColor="text1"/>
          <w:sz w:val="24"/>
          <w:szCs w:val="24"/>
          <w:lang w:val="en-GB"/>
        </w:rPr>
        <w:t xml:space="preserve"> is 11.5% at school X. School X promotes using mixed ability classes in many subjects but also had set ability classes for subjects such as Maths and English. The school also has classrooms specifically dedicated to learners with special educational needs (SEN). </w:t>
      </w:r>
    </w:p>
    <w:p w14:paraId="4B03C248" w14:textId="786DFCB0" w:rsidR="00DE2E7C" w:rsidRDefault="00DE2E7C" w:rsidP="185171D4">
      <w:pPr>
        <w:spacing w:line="480" w:lineRule="auto"/>
        <w:rPr>
          <w:rFonts w:ascii="Calibri" w:eastAsia="Calibri" w:hAnsi="Calibri" w:cs="Calibri"/>
          <w:b/>
          <w:bCs/>
          <w:color w:val="000000" w:themeColor="text1"/>
          <w:sz w:val="24"/>
          <w:szCs w:val="24"/>
          <w:u w:val="single"/>
          <w:lang w:val="en-GB"/>
        </w:rPr>
      </w:pPr>
    </w:p>
    <w:p w14:paraId="0D81070F" w14:textId="77777777" w:rsidR="00093E46" w:rsidRDefault="00093E46" w:rsidP="185171D4">
      <w:pPr>
        <w:spacing w:line="480" w:lineRule="auto"/>
        <w:rPr>
          <w:rFonts w:ascii="Calibri" w:eastAsia="Calibri" w:hAnsi="Calibri" w:cs="Calibri"/>
          <w:b/>
          <w:bCs/>
          <w:color w:val="000000" w:themeColor="text1"/>
          <w:sz w:val="24"/>
          <w:szCs w:val="24"/>
          <w:u w:val="single"/>
          <w:lang w:val="en-GB"/>
        </w:rPr>
      </w:pPr>
    </w:p>
    <w:p w14:paraId="56098BBE" w14:textId="64463F31"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u w:val="single"/>
          <w:lang w:val="en-GB"/>
        </w:rPr>
        <w:lastRenderedPageBreak/>
        <w:t xml:space="preserve">Critical Incident </w:t>
      </w:r>
    </w:p>
    <w:p w14:paraId="264DDF81" w14:textId="5165EA45"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The critical incident I observed took place during a two-day observation at a local school, I used Tripp’s critical incident methodology </w:t>
      </w:r>
      <w:proofErr w:type="gramStart"/>
      <w:r w:rsidRPr="185171D4">
        <w:rPr>
          <w:rFonts w:ascii="Calibri" w:eastAsia="Calibri" w:hAnsi="Calibri" w:cs="Calibri"/>
          <w:color w:val="000000" w:themeColor="text1"/>
          <w:sz w:val="24"/>
          <w:szCs w:val="24"/>
          <w:lang w:val="en-GB"/>
        </w:rPr>
        <w:t>in order to</w:t>
      </w:r>
      <w:proofErr w:type="gramEnd"/>
      <w:r w:rsidRPr="185171D4">
        <w:rPr>
          <w:rFonts w:ascii="Calibri" w:eastAsia="Calibri" w:hAnsi="Calibri" w:cs="Calibri"/>
          <w:color w:val="000000" w:themeColor="text1"/>
          <w:sz w:val="24"/>
          <w:szCs w:val="24"/>
          <w:lang w:val="en-GB"/>
        </w:rPr>
        <w:t xml:space="preserve"> aid my reflective practice. The lesson in question was a fourth period, Year 8 French lesson which took place just before lunch. </w:t>
      </w:r>
    </w:p>
    <w:p w14:paraId="7EBD4199" w14:textId="55B4C6A1"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Throughout the lesson, the teacher adopted a ‘no hands up’ approach and cold called learners using a random name generator on Class Charts instead. A hands up approach is quite common in teaching and often refers to when a teacher encourages learners' participation through inviting them to raise their hands to answer questions, respond to prompts and share their thoughts. This was the approach most of my schoolteachers would often use and an approach I was fond of, and so when observing this lesson, I was interested to see how effective cold calling was from an observer's perspective.</w:t>
      </w:r>
    </w:p>
    <w:p w14:paraId="0CADF1B8" w14:textId="0D68227E"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 Cold calling is a method where the teacher calls on an individual to feedback their answer to the class, as opposed to the individual volunteering to feedback. The teacher throughout this lesson insisted on learners to put their hands down and made sure learners were aware and ready that she would be using a random name generator </w:t>
      </w:r>
      <w:proofErr w:type="gramStart"/>
      <w:r w:rsidRPr="185171D4">
        <w:rPr>
          <w:rFonts w:ascii="Calibri" w:eastAsia="Calibri" w:hAnsi="Calibri" w:cs="Calibri"/>
          <w:color w:val="000000" w:themeColor="text1"/>
          <w:sz w:val="24"/>
          <w:szCs w:val="24"/>
          <w:lang w:val="en-GB"/>
        </w:rPr>
        <w:t>in order to</w:t>
      </w:r>
      <w:proofErr w:type="gramEnd"/>
      <w:r w:rsidRPr="185171D4">
        <w:rPr>
          <w:rFonts w:ascii="Calibri" w:eastAsia="Calibri" w:hAnsi="Calibri" w:cs="Calibri"/>
          <w:color w:val="000000" w:themeColor="text1"/>
          <w:sz w:val="24"/>
          <w:szCs w:val="24"/>
          <w:lang w:val="en-GB"/>
        </w:rPr>
        <w:t xml:space="preserve"> cold call. This approach allows learners the opportunity to answer questions and widens the scope of participation to all learners, in contrast to those who are confident and consistent in using the hands up approach to answer questions. The Four Purposes, created by Professor Graham Donaldson are ingrained in the new curriculum for Wales and focuses on four main purposes which hope to support and shape learners of the new curriculum </w:t>
      </w:r>
      <w:proofErr w:type="gramStart"/>
      <w:r w:rsidRPr="185171D4">
        <w:rPr>
          <w:rFonts w:ascii="Calibri" w:eastAsia="Calibri" w:hAnsi="Calibri" w:cs="Calibri"/>
          <w:color w:val="000000" w:themeColor="text1"/>
          <w:sz w:val="24"/>
          <w:szCs w:val="24"/>
          <w:lang w:val="en-GB"/>
        </w:rPr>
        <w:t>in order to</w:t>
      </w:r>
      <w:proofErr w:type="gramEnd"/>
      <w:r w:rsidRPr="185171D4">
        <w:rPr>
          <w:rFonts w:ascii="Calibri" w:eastAsia="Calibri" w:hAnsi="Calibri" w:cs="Calibri"/>
          <w:color w:val="000000" w:themeColor="text1"/>
          <w:sz w:val="24"/>
          <w:szCs w:val="24"/>
          <w:lang w:val="en-GB"/>
        </w:rPr>
        <w:t xml:space="preserve"> become balanced and well-rounded learners (Donaldson, 2015). The four purposes are that learners should </w:t>
      </w:r>
      <w:proofErr w:type="gramStart"/>
      <w:r w:rsidRPr="185171D4">
        <w:rPr>
          <w:rFonts w:ascii="Calibri" w:eastAsia="Calibri" w:hAnsi="Calibri" w:cs="Calibri"/>
          <w:color w:val="000000" w:themeColor="text1"/>
          <w:sz w:val="24"/>
          <w:szCs w:val="24"/>
          <w:lang w:val="en-GB"/>
        </w:rPr>
        <w:t>be;</w:t>
      </w:r>
      <w:proofErr w:type="gramEnd"/>
      <w:r w:rsidRPr="185171D4">
        <w:rPr>
          <w:rFonts w:ascii="Calibri" w:eastAsia="Calibri" w:hAnsi="Calibri" w:cs="Calibri"/>
          <w:color w:val="000000" w:themeColor="text1"/>
          <w:sz w:val="24"/>
          <w:szCs w:val="24"/>
          <w:lang w:val="en-GB"/>
        </w:rPr>
        <w:t xml:space="preserve"> </w:t>
      </w:r>
      <w:r w:rsidRPr="185171D4">
        <w:rPr>
          <w:rFonts w:ascii="Calibri" w:eastAsia="Calibri" w:hAnsi="Calibri" w:cs="Calibri"/>
          <w:color w:val="000000" w:themeColor="text1"/>
          <w:sz w:val="24"/>
          <w:szCs w:val="24"/>
          <w:lang w:val="en-GB"/>
        </w:rPr>
        <w:lastRenderedPageBreak/>
        <w:t xml:space="preserve">ambitious, capable learners, enterprising, creative contributors, ethical, informed citizens and healthy, confident individuals. This method of cold calling as part of the teacher's assessment for learning (AFL), links heavily with the first purpose which is that learners should be ambitious, capable learners. Expanding on this purpose, this particular purpose focuses on learners being able to set themselves to a high standard, questioning and enjoying problem solving. This also focuses on their ability to communicate ideas and concepts as well as applying knowledge in different contexts. Cold calling essentially allows learners to communicate their thoughts and ideas with other learners and actively participate within the lesson unfolding. </w:t>
      </w:r>
    </w:p>
    <w:p w14:paraId="235AD021" w14:textId="6803E3F3"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Prior to the incident, the teacher set a task where learners had to fill in the gaps of sentences on the whiteboard. The sentences were all short French sentences. As scaffolding, the teacher had put the potential answers to each of the gaps mixed up in a textbox at the bottom of the board. The learners were given 10 minutes to finish this activity. This activity linked with the second purpose, encouraging learners to be creative contributors who </w:t>
      </w:r>
      <w:proofErr w:type="gramStart"/>
      <w:r w:rsidRPr="185171D4">
        <w:rPr>
          <w:rFonts w:ascii="Calibri" w:eastAsia="Calibri" w:hAnsi="Calibri" w:cs="Calibri"/>
          <w:color w:val="000000" w:themeColor="text1"/>
          <w:sz w:val="24"/>
          <w:szCs w:val="24"/>
          <w:lang w:val="en-GB"/>
        </w:rPr>
        <w:t>are able to</w:t>
      </w:r>
      <w:proofErr w:type="gramEnd"/>
      <w:r w:rsidRPr="185171D4">
        <w:rPr>
          <w:rFonts w:ascii="Calibri" w:eastAsia="Calibri" w:hAnsi="Calibri" w:cs="Calibri"/>
          <w:color w:val="000000" w:themeColor="text1"/>
          <w:sz w:val="24"/>
          <w:szCs w:val="24"/>
          <w:lang w:val="en-GB"/>
        </w:rPr>
        <w:t xml:space="preserve"> apply their knowledge and skills in order to creatively solve problems. The timeframe of the task seemed suitable for the class, although the class was a mixed abilities class, meaning that learners of varying levels of academic abilities and learning needs. This did mean that some learners finished quicker than others in completing the task. </w:t>
      </w:r>
    </w:p>
    <w:p w14:paraId="34832326" w14:textId="29F87A1B" w:rsidR="00DE2E7C" w:rsidRDefault="624E2544" w:rsidP="00093E46">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After the task time was over, the teacher then proceeded to cold call on learners to feedback their answers for each question. For the first two sentences, the learners who were called upon were able to answer the questions well and correctly. However, on the third sentence, the teacher asked a learner who seemed incredibly shy and had her head down during feedback. </w:t>
      </w:r>
      <w:proofErr w:type="gramStart"/>
      <w:r w:rsidRPr="185171D4">
        <w:rPr>
          <w:rFonts w:ascii="Calibri" w:eastAsia="Calibri" w:hAnsi="Calibri" w:cs="Calibri"/>
          <w:color w:val="000000" w:themeColor="text1"/>
          <w:sz w:val="24"/>
          <w:szCs w:val="24"/>
          <w:lang w:val="en-GB"/>
        </w:rPr>
        <w:t>As an observer, this</w:t>
      </w:r>
      <w:proofErr w:type="gramEnd"/>
      <w:r w:rsidRPr="185171D4">
        <w:rPr>
          <w:rFonts w:ascii="Calibri" w:eastAsia="Calibri" w:hAnsi="Calibri" w:cs="Calibri"/>
          <w:color w:val="000000" w:themeColor="text1"/>
          <w:sz w:val="24"/>
          <w:szCs w:val="24"/>
          <w:lang w:val="en-GB"/>
        </w:rPr>
        <w:t xml:space="preserve"> made me feel as though cold calling was not the most </w:t>
      </w:r>
      <w:r w:rsidRPr="185171D4">
        <w:rPr>
          <w:rFonts w:ascii="Calibri" w:eastAsia="Calibri" w:hAnsi="Calibri" w:cs="Calibri"/>
          <w:color w:val="000000" w:themeColor="text1"/>
          <w:sz w:val="24"/>
          <w:szCs w:val="24"/>
          <w:lang w:val="en-GB"/>
        </w:rPr>
        <w:lastRenderedPageBreak/>
        <w:t>appropriate method for a learner like this as she was visibly anxious and distressed when being called upon. She stayed silent when asked the question and did not respond to the teacher's question, the teacher then asked the learner if she wanted to ‘phone a friend’, which allowed the learner to call upon another classmate to answer the question on their behalf. To this, the learner immediately chose another learner to answer the question in her stead and proceeded to put her head down for the rest of the feedback.</w:t>
      </w:r>
    </w:p>
    <w:p w14:paraId="78F2905D" w14:textId="77777777" w:rsidR="00093E46" w:rsidRPr="00093E46" w:rsidRDefault="00093E46" w:rsidP="00093E46">
      <w:pPr>
        <w:spacing w:line="480" w:lineRule="auto"/>
        <w:ind w:firstLine="720"/>
        <w:rPr>
          <w:rFonts w:ascii="Calibri" w:eastAsia="Calibri" w:hAnsi="Calibri" w:cs="Calibri"/>
          <w:color w:val="000000" w:themeColor="text1"/>
          <w:sz w:val="24"/>
          <w:szCs w:val="24"/>
        </w:rPr>
      </w:pPr>
    </w:p>
    <w:p w14:paraId="065145C4" w14:textId="135AE7C4"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u w:val="single"/>
          <w:lang w:val="en-GB"/>
        </w:rPr>
        <w:t>Literature review</w:t>
      </w:r>
    </w:p>
    <w:p w14:paraId="7BD3F70C" w14:textId="3B435241"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Engagement from learners and active participation are necessary elements of teaching that every teacher aims to stimulate within their classroom environment. It can be done through various methods, two of which have been mentioned previously, but the effectiveness of methods is debatable and not as straightforward as one may think. </w:t>
      </w:r>
    </w:p>
    <w:p w14:paraId="3CF3134A" w14:textId="348B864E"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Classroom discussions are often used as an active learning strategy; however, many teachers are increasingly concerned that learners who are less inclined to voluntarily participate may have a lower quality learning experience (Dallimore et al., 2019). Nevertheless, many teachers have raised their concerns over cold calling as an appropriate method of AFL as they fear it may cause the learner to feel uncomfortable or even, humiliated (Dallimore et al., 2005). Furthermore, the level of cold calling has also shown to have an impact on the effectiveness of the method. In a high cold-calling environment, the teacher will consistently cold-call on learners with very little predictability, meaning that learners will not know when they will be called upon and thus need to be prepared to respond at any time. This approach </w:t>
      </w:r>
      <w:r w:rsidRPr="185171D4">
        <w:rPr>
          <w:rFonts w:ascii="Calibri" w:eastAsia="Calibri" w:hAnsi="Calibri" w:cs="Calibri"/>
          <w:color w:val="000000" w:themeColor="text1"/>
          <w:sz w:val="24"/>
          <w:szCs w:val="24"/>
          <w:lang w:val="en-GB"/>
        </w:rPr>
        <w:lastRenderedPageBreak/>
        <w:t>aims to encourage learners to stay engaged in the lesson material and promotes active student participation. Contrasting this, in a low cold-calling environment, the teacher cold-calls learners less frequently or even selectively. This would mean that learners have more predictability about when they will be asked questions, and the teacher will give them more time to prepare before being called upon. The critical incident observed low cold-calling as the teacher only used this form of AFL twice during the lesson and the learners were aware and given time to prepare prior to being cold-called. Dallimore et al. (2019) found that in high cold-calling environments, learners were more comfortable when participating in class discussions as opposed to low cold-calling environments as the comfort participating in class discussions did not seem to waver. This suggests that if cold calling were to be used, the teacher must be consistent in their approach for a more effective result in terms of learner comfortability.</w:t>
      </w:r>
    </w:p>
    <w:p w14:paraId="077E5109" w14:textId="2C59BD7C"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 Discussion teaching is one of the most prominent forms of active learning used in classrooms and requires the participation of learners </w:t>
      </w:r>
      <w:proofErr w:type="gramStart"/>
      <w:r w:rsidRPr="185171D4">
        <w:rPr>
          <w:rFonts w:ascii="Calibri" w:eastAsia="Calibri" w:hAnsi="Calibri" w:cs="Calibri"/>
          <w:color w:val="000000" w:themeColor="text1"/>
          <w:sz w:val="24"/>
          <w:szCs w:val="24"/>
          <w:lang w:val="en-GB"/>
        </w:rPr>
        <w:t>in order to</w:t>
      </w:r>
      <w:proofErr w:type="gramEnd"/>
      <w:r w:rsidRPr="185171D4">
        <w:rPr>
          <w:rFonts w:ascii="Calibri" w:eastAsia="Calibri" w:hAnsi="Calibri" w:cs="Calibri"/>
          <w:color w:val="000000" w:themeColor="text1"/>
          <w:sz w:val="24"/>
          <w:szCs w:val="24"/>
          <w:lang w:val="en-GB"/>
        </w:rPr>
        <w:t xml:space="preserve"> elicit a higher level of reflective thinking (Ewens, 2000). Through this discussion, learners </w:t>
      </w:r>
      <w:proofErr w:type="gramStart"/>
      <w:r w:rsidRPr="185171D4">
        <w:rPr>
          <w:rFonts w:ascii="Calibri" w:eastAsia="Calibri" w:hAnsi="Calibri" w:cs="Calibri"/>
          <w:color w:val="000000" w:themeColor="text1"/>
          <w:sz w:val="24"/>
          <w:szCs w:val="24"/>
          <w:lang w:val="en-GB"/>
        </w:rPr>
        <w:t>are able to</w:t>
      </w:r>
      <w:proofErr w:type="gramEnd"/>
      <w:r w:rsidRPr="185171D4">
        <w:rPr>
          <w:rFonts w:ascii="Calibri" w:eastAsia="Calibri" w:hAnsi="Calibri" w:cs="Calibri"/>
          <w:color w:val="000000" w:themeColor="text1"/>
          <w:sz w:val="24"/>
          <w:szCs w:val="24"/>
          <w:lang w:val="en-GB"/>
        </w:rPr>
        <w:t xml:space="preserve"> retain information better and learn more (Weaver &amp; Qi, 2005). There are various reasons why this may be, for example Arbaugh and Benbunan-Fich (2006) argue that learners are able to retain more information due to learners being able to internalise explanations from their peers and the fact that misunderstandings can be cleared up during group discussions. However, this begs the question of effectiveness in learners unwilling to participate in group discussions, as they may not learn as much compared to learners who are actively participating. </w:t>
      </w:r>
    </w:p>
    <w:p w14:paraId="7311C814" w14:textId="0D0FB122"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Dallimore et al. (2005) found that high cold-calling was an effective way to increase learner participation in class discussions but emphasise that teachers must first create a </w:t>
      </w:r>
      <w:r w:rsidRPr="185171D4">
        <w:rPr>
          <w:rFonts w:ascii="Calibri" w:eastAsia="Calibri" w:hAnsi="Calibri" w:cs="Calibri"/>
          <w:color w:val="000000" w:themeColor="text1"/>
          <w:sz w:val="24"/>
          <w:szCs w:val="24"/>
          <w:lang w:val="en-GB"/>
        </w:rPr>
        <w:lastRenderedPageBreak/>
        <w:t xml:space="preserve">positive and supportive learning environment for learners before using this method – in hopes to reduce any discomfort or feelings of anxiety in learners. This would be done by encouraging learners through body language and letting the learners know that their attempt of answering the question, right or wrong, is valued. This suggests that cold calling is only effective within the right classroom environment, and when the teacher has a positive relationship with the individual learners and </w:t>
      </w:r>
      <w:proofErr w:type="gramStart"/>
      <w:r w:rsidRPr="185171D4">
        <w:rPr>
          <w:rFonts w:ascii="Calibri" w:eastAsia="Calibri" w:hAnsi="Calibri" w:cs="Calibri"/>
          <w:color w:val="000000" w:themeColor="text1"/>
          <w:sz w:val="24"/>
          <w:szCs w:val="24"/>
          <w:lang w:val="en-GB"/>
        </w:rPr>
        <w:t>class as a whole</w:t>
      </w:r>
      <w:proofErr w:type="gramEnd"/>
      <w:r w:rsidRPr="185171D4">
        <w:rPr>
          <w:rFonts w:ascii="Calibri" w:eastAsia="Calibri" w:hAnsi="Calibri" w:cs="Calibri"/>
          <w:color w:val="000000" w:themeColor="text1"/>
          <w:sz w:val="24"/>
          <w:szCs w:val="24"/>
          <w:lang w:val="en-GB"/>
        </w:rPr>
        <w:t xml:space="preserve">. </w:t>
      </w:r>
    </w:p>
    <w:p w14:paraId="2405DF1B" w14:textId="712D333A"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Despite the substantial evidence supporting the positive outcomes of active students in terms of knowledge retention (Prince, 2004; Freeman et al., 2014; Hönicke and Broadbent, 2016), there are a variety of factors that may create a mixed reaction to these methods by learners. Active student participation in changing classroom techniques such as cold calling has been suggested to be anxiety provoking as opposed to other techniques such as hand up (England et al., 2017). A thematic analysis of interviews with learners highlighted that anxiety during feedback was linked to the risk of being judged by their peers in the classroom, specifically for not knowing the correct answer (Broeckelman-Post et al., 2016). Furthermore, this anxiety was shown to negatively impact learner engagement and demonstrated learners refraining from answering questions or sharing ideas in a group setting (Eddy et al., 2015; Cooper et al., 2018). </w:t>
      </w:r>
    </w:p>
    <w:p w14:paraId="54C4CCA0" w14:textId="5463159C"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Anxiety affects all stages of the learning-testing cycle which includes the planning and execution of classroom tasks as well as completing evaluations and reflecting on ones’ performance and can impair learning and academic performance (Cassady, 2004; Bryant et al., 2013). Furthermore, anxiety can inhibit learners’ ability to articulate their ideas about class content, as well as cause discomfort in the classroom – as observed during my critical incident </w:t>
      </w:r>
      <w:r w:rsidRPr="185171D4">
        <w:rPr>
          <w:rFonts w:ascii="Calibri" w:eastAsia="Calibri" w:hAnsi="Calibri" w:cs="Calibri"/>
          <w:color w:val="000000" w:themeColor="text1"/>
          <w:sz w:val="24"/>
          <w:szCs w:val="24"/>
          <w:lang w:val="en-GB"/>
        </w:rPr>
        <w:lastRenderedPageBreak/>
        <w:t xml:space="preserve">(Cohen et al., 2019; Downing et al., 2020). There are various components which contribute to a classroom being deemed as anxiogenic for learners, such as large class sizes, heightening the atmosphere of competition amongst learners, teachers with a weak relationship with learners and a lack of representation of minorities in educational leadership (McKinny et al., 1983; </w:t>
      </w:r>
      <w:proofErr w:type="gramStart"/>
      <w:r w:rsidRPr="185171D4">
        <w:rPr>
          <w:rFonts w:ascii="Calibri" w:eastAsia="Calibri" w:hAnsi="Calibri" w:cs="Calibri"/>
          <w:color w:val="000000" w:themeColor="text1"/>
          <w:sz w:val="24"/>
          <w:szCs w:val="24"/>
          <w:lang w:val="en-GB"/>
        </w:rPr>
        <w:t>Daempfle ,</w:t>
      </w:r>
      <w:proofErr w:type="gramEnd"/>
      <w:r w:rsidRPr="185171D4">
        <w:rPr>
          <w:rFonts w:ascii="Calibri" w:eastAsia="Calibri" w:hAnsi="Calibri" w:cs="Calibri"/>
          <w:color w:val="000000" w:themeColor="text1"/>
          <w:sz w:val="24"/>
          <w:szCs w:val="24"/>
          <w:lang w:val="en-GB"/>
        </w:rPr>
        <w:t xml:space="preserve"> 2003; Mallow, 2006; Johnson, 2007). The </w:t>
      </w:r>
      <w:proofErr w:type="gramStart"/>
      <w:r w:rsidRPr="185171D4">
        <w:rPr>
          <w:rFonts w:ascii="Calibri" w:eastAsia="Calibri" w:hAnsi="Calibri" w:cs="Calibri"/>
          <w:color w:val="000000" w:themeColor="text1"/>
          <w:sz w:val="24"/>
          <w:szCs w:val="24"/>
          <w:lang w:val="en-GB"/>
        </w:rPr>
        <w:t>aforementioned underlines</w:t>
      </w:r>
      <w:proofErr w:type="gramEnd"/>
      <w:r w:rsidRPr="185171D4">
        <w:rPr>
          <w:rFonts w:ascii="Calibri" w:eastAsia="Calibri" w:hAnsi="Calibri" w:cs="Calibri"/>
          <w:color w:val="000000" w:themeColor="text1"/>
          <w:sz w:val="24"/>
          <w:szCs w:val="24"/>
          <w:lang w:val="en-GB"/>
        </w:rPr>
        <w:t xml:space="preserve"> the complex social context of the classroom and how it can affect the emotional states of learners when contributing to active-learning practices and highlights the supportive approach that needs to be taken for learners who struggle with these challenges. Academic self-efficacy and confidence has been identified as a critical part of effective pedagogy and is positively linked with persistence in the presence of challenging material (Hönicke and Broadbent, 2016). Despite this, academic self-efficacy correlates negatively with anxiety levels in learners and suggests that concern regarding evaluation by others ultimately undermines learner academic self-efficacy and provokes learners to question their intellectual abilities (Cooper et al., 2018; Downing et al., 2020).</w:t>
      </w:r>
    </w:p>
    <w:p w14:paraId="2FB833B6" w14:textId="698956E0" w:rsidR="00DE2E7C" w:rsidRDefault="3C6D24B2"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rPr>
        <w:t xml:space="preserve">But is this a prominent issue? </w:t>
      </w:r>
      <w:r w:rsidR="68E8F177" w:rsidRPr="185171D4">
        <w:rPr>
          <w:rFonts w:ascii="Calibri" w:eastAsia="Calibri" w:hAnsi="Calibri" w:cs="Calibri"/>
          <w:color w:val="000000" w:themeColor="text1"/>
          <w:sz w:val="24"/>
          <w:szCs w:val="24"/>
        </w:rPr>
        <w:t xml:space="preserve">Studies have highlighted that almost 47% of learners have said that mental health difficulties negatively impact their learning </w:t>
      </w:r>
      <w:r w:rsidR="53832AD0" w:rsidRPr="185171D4">
        <w:rPr>
          <w:rFonts w:ascii="Calibri" w:eastAsia="Calibri" w:hAnsi="Calibri" w:cs="Calibri"/>
          <w:color w:val="000000" w:themeColor="text1"/>
          <w:sz w:val="24"/>
          <w:szCs w:val="24"/>
        </w:rPr>
        <w:t>experience,</w:t>
      </w:r>
      <w:r w:rsidR="68E8F177" w:rsidRPr="185171D4">
        <w:rPr>
          <w:rFonts w:ascii="Calibri" w:eastAsia="Calibri" w:hAnsi="Calibri" w:cs="Calibri"/>
          <w:color w:val="000000" w:themeColor="text1"/>
          <w:sz w:val="24"/>
          <w:szCs w:val="24"/>
        </w:rPr>
        <w:t xml:space="preserve"> and </w:t>
      </w:r>
      <w:r w:rsidR="0079B2DE" w:rsidRPr="185171D4">
        <w:rPr>
          <w:rFonts w:ascii="Calibri" w:eastAsia="Calibri" w:hAnsi="Calibri" w:cs="Calibri"/>
          <w:color w:val="000000" w:themeColor="text1"/>
          <w:sz w:val="24"/>
          <w:szCs w:val="24"/>
        </w:rPr>
        <w:t>i</w:t>
      </w:r>
      <w:r w:rsidR="032FE87B" w:rsidRPr="185171D4">
        <w:rPr>
          <w:rFonts w:ascii="Calibri" w:eastAsia="Calibri" w:hAnsi="Calibri" w:cs="Calibri"/>
          <w:color w:val="000000" w:themeColor="text1"/>
          <w:sz w:val="24"/>
          <w:szCs w:val="24"/>
        </w:rPr>
        <w:t xml:space="preserve">t was reported that since the pandemic, there was a steep increase in learners missing from school due to their increased levels of anxiety (The Guardian, </w:t>
      </w:r>
      <w:r w:rsidR="434AEB2D" w:rsidRPr="185171D4">
        <w:rPr>
          <w:rFonts w:ascii="Calibri" w:eastAsia="Calibri" w:hAnsi="Calibri" w:cs="Calibri"/>
          <w:color w:val="000000" w:themeColor="text1"/>
          <w:sz w:val="24"/>
          <w:szCs w:val="24"/>
        </w:rPr>
        <w:t xml:space="preserve">2022; </w:t>
      </w:r>
      <w:r w:rsidR="032FE87B" w:rsidRPr="185171D4">
        <w:rPr>
          <w:rFonts w:ascii="Calibri" w:eastAsia="Calibri" w:hAnsi="Calibri" w:cs="Calibri"/>
          <w:color w:val="000000" w:themeColor="text1"/>
          <w:sz w:val="24"/>
          <w:szCs w:val="24"/>
        </w:rPr>
        <w:t>2023)</w:t>
      </w:r>
      <w:r w:rsidR="09967EDF" w:rsidRPr="185171D4">
        <w:rPr>
          <w:rFonts w:ascii="Calibri" w:eastAsia="Calibri" w:hAnsi="Calibri" w:cs="Calibri"/>
          <w:color w:val="000000" w:themeColor="text1"/>
          <w:sz w:val="24"/>
          <w:szCs w:val="24"/>
        </w:rPr>
        <w:t xml:space="preserve">. </w:t>
      </w:r>
      <w:r w:rsidR="21BDE6DA" w:rsidRPr="185171D4">
        <w:rPr>
          <w:rFonts w:ascii="Calibri" w:eastAsia="Calibri" w:hAnsi="Calibri" w:cs="Calibri"/>
          <w:color w:val="000000" w:themeColor="text1"/>
          <w:sz w:val="24"/>
          <w:szCs w:val="24"/>
        </w:rPr>
        <w:t xml:space="preserve">This underlines how challenges such as depression and anxiety and incredibly important to consider in the learning environment – especially in classrooms today. </w:t>
      </w:r>
    </w:p>
    <w:p w14:paraId="407EB764" w14:textId="367F8D95" w:rsidR="00DE2E7C" w:rsidRDefault="00DE2E7C" w:rsidP="185171D4">
      <w:pPr>
        <w:spacing w:line="480" w:lineRule="auto"/>
        <w:rPr>
          <w:rFonts w:ascii="Calibri" w:eastAsia="Calibri" w:hAnsi="Calibri" w:cs="Calibri"/>
          <w:b/>
          <w:bCs/>
          <w:color w:val="000000" w:themeColor="text1"/>
          <w:sz w:val="24"/>
          <w:szCs w:val="24"/>
          <w:u w:val="single"/>
          <w:lang w:val="en-GB"/>
        </w:rPr>
      </w:pPr>
    </w:p>
    <w:p w14:paraId="1F9741D8" w14:textId="4968BC86"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u w:val="single"/>
          <w:lang w:val="en-GB"/>
        </w:rPr>
        <w:lastRenderedPageBreak/>
        <w:t>Reflection, Evaluation and Next Steps</w:t>
      </w:r>
    </w:p>
    <w:p w14:paraId="65607AA7" w14:textId="4D282DE2"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Through personal reflection and deepening my knowledge in associated literature, cold calling does not align with my own philosophies of teaching, at least not cold calling using a completely random approach. Coming from a background in psychology, I also understand the heightened anxieties and rise in mental health issues that have become increasingly prevalent over the last few years. </w:t>
      </w:r>
    </w:p>
    <w:p w14:paraId="3591F498" w14:textId="049B198F"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My own experience with cold calling also plays a significant role in my reflection regarding this AFL technique and the critical incident I observed. Throughout my secondary school years, </w:t>
      </w:r>
      <w:proofErr w:type="gramStart"/>
      <w:r w:rsidRPr="185171D4">
        <w:rPr>
          <w:rFonts w:ascii="Calibri" w:eastAsia="Calibri" w:hAnsi="Calibri" w:cs="Calibri"/>
          <w:color w:val="000000" w:themeColor="text1"/>
          <w:sz w:val="24"/>
          <w:szCs w:val="24"/>
          <w:lang w:val="en-GB"/>
        </w:rPr>
        <w:t>the majority of</w:t>
      </w:r>
      <w:proofErr w:type="gramEnd"/>
      <w:r w:rsidRPr="185171D4">
        <w:rPr>
          <w:rFonts w:ascii="Calibri" w:eastAsia="Calibri" w:hAnsi="Calibri" w:cs="Calibri"/>
          <w:color w:val="000000" w:themeColor="text1"/>
          <w:sz w:val="24"/>
          <w:szCs w:val="24"/>
          <w:lang w:val="en-GB"/>
        </w:rPr>
        <w:t xml:space="preserve"> my teachers adopted a hands up approach when it came to task feedback. However, towards the end of my secondary school years I became exposed to teachers who would cold call on learners during feedback. I, like the learner I observed, was an incredibly shy individual growing up, lacking confidence and self-assurance. This impacted my mental health greatly and in classroom settings like the aforementioned</w:t>
      </w:r>
      <w:r w:rsidR="6BC2311F" w:rsidRPr="185171D4">
        <w:rPr>
          <w:rFonts w:ascii="Calibri" w:eastAsia="Calibri" w:hAnsi="Calibri" w:cs="Calibri"/>
          <w:color w:val="000000" w:themeColor="text1"/>
          <w:sz w:val="24"/>
          <w:szCs w:val="24"/>
          <w:lang w:val="en-GB"/>
        </w:rPr>
        <w:t>. K</w:t>
      </w:r>
      <w:r w:rsidRPr="185171D4">
        <w:rPr>
          <w:rFonts w:ascii="Calibri" w:eastAsia="Calibri" w:hAnsi="Calibri" w:cs="Calibri"/>
          <w:color w:val="000000" w:themeColor="text1"/>
          <w:sz w:val="24"/>
          <w:szCs w:val="24"/>
          <w:lang w:val="en-GB"/>
        </w:rPr>
        <w:t>nowing that the teacher may cold call during feedback heightened my anxiety, to the point that I was not paying attention to the content that was being taught and instead, was fixated on the possibility that I may be chosen at any point of the lesson for feedback – inhibiting my focus and learning in these lessons. It was only a few years later that I was diagnosed with social anxiety and understood why I felt so anxious in lessons with teachers who adopted this type of approach, and so in my own teaching, the last thing I would want is a learner who cannot focus on my lesson due to their anxiety related to cold calling.</w:t>
      </w:r>
    </w:p>
    <w:p w14:paraId="278E681A" w14:textId="0F6548C2"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lastRenderedPageBreak/>
        <w:t xml:space="preserve"> I want my learners to be comfortable in their learning environment, without any pressure weighing them down during my lessons. Of course, I want to encourage my learners to build their confidence up and participate actively in lessons, however, I believe this should be done in a way that they are comfortable with, and I hope to work with the learner and build their confidence together as opposed to this restricted form of feedback. This would agree with Dallimore et al. (2005) who again, found that although cold calling increased learner participation, it was only in classrooms learners felt comfortable in. For example, in one of my classes, there </w:t>
      </w:r>
      <w:r w:rsidR="3A1ACDBB" w:rsidRPr="185171D4">
        <w:rPr>
          <w:rFonts w:ascii="Calibri" w:eastAsia="Calibri" w:hAnsi="Calibri" w:cs="Calibri"/>
          <w:color w:val="000000" w:themeColor="text1"/>
          <w:sz w:val="24"/>
          <w:szCs w:val="24"/>
          <w:lang w:val="en-GB"/>
        </w:rPr>
        <w:t>i</w:t>
      </w:r>
      <w:r w:rsidRPr="185171D4">
        <w:rPr>
          <w:rFonts w:ascii="Calibri" w:eastAsia="Calibri" w:hAnsi="Calibri" w:cs="Calibri"/>
          <w:color w:val="000000" w:themeColor="text1"/>
          <w:sz w:val="24"/>
          <w:szCs w:val="24"/>
          <w:lang w:val="en-GB"/>
        </w:rPr>
        <w:t>s one learner who does not feedback at all during lessons and often refuses to do so. In this case, while learners were completing the task at hand, I went over to her and read one</w:t>
      </w:r>
      <w:r w:rsidR="25B63AFA" w:rsidRPr="185171D4">
        <w:rPr>
          <w:rFonts w:ascii="Calibri" w:eastAsia="Calibri" w:hAnsi="Calibri" w:cs="Calibri"/>
          <w:color w:val="000000" w:themeColor="text1"/>
          <w:sz w:val="24"/>
          <w:szCs w:val="24"/>
          <w:lang w:val="en-GB"/>
        </w:rPr>
        <w:t xml:space="preserve"> of her</w:t>
      </w:r>
      <w:r w:rsidRPr="185171D4">
        <w:rPr>
          <w:rFonts w:ascii="Calibri" w:eastAsia="Calibri" w:hAnsi="Calibri" w:cs="Calibri"/>
          <w:color w:val="000000" w:themeColor="text1"/>
          <w:sz w:val="24"/>
          <w:szCs w:val="24"/>
          <w:lang w:val="en-GB"/>
        </w:rPr>
        <w:t xml:space="preserve"> answers which was correct. I asked her if she would be happy to share her answer with the rest of the class during feedback and let her know </w:t>
      </w:r>
      <w:r w:rsidR="0508AD93" w:rsidRPr="185171D4">
        <w:rPr>
          <w:rFonts w:ascii="Calibri" w:eastAsia="Calibri" w:hAnsi="Calibri" w:cs="Calibri"/>
          <w:color w:val="000000" w:themeColor="text1"/>
          <w:sz w:val="24"/>
          <w:szCs w:val="24"/>
          <w:lang w:val="en-GB"/>
        </w:rPr>
        <w:t>the</w:t>
      </w:r>
      <w:r w:rsidRPr="185171D4">
        <w:rPr>
          <w:rFonts w:ascii="Calibri" w:eastAsia="Calibri" w:hAnsi="Calibri" w:cs="Calibri"/>
          <w:color w:val="000000" w:themeColor="text1"/>
          <w:sz w:val="24"/>
          <w:szCs w:val="24"/>
          <w:lang w:val="en-GB"/>
        </w:rPr>
        <w:t xml:space="preserve"> question I will be asking. She then told me that she does not usually contribute when asked to do this but as she knew that her answer was correct, and a good answer, she was confident to share her answer with her peers. She did so and as her teacher I could see the confidence in her deliverance during task feedback. It is in this way I think certain learners may need assurance to help build confidence, in a less anxiety provoking way. </w:t>
      </w:r>
    </w:p>
    <w:p w14:paraId="5B6920CF" w14:textId="719211A3" w:rsidR="00DE2E7C" w:rsidRDefault="624E2544" w:rsidP="00093E46">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Just as I would differentiate with EAL learners and ALN learners, learners with possible mental health challenges should also be differentiated and </w:t>
      </w:r>
      <w:r w:rsidR="6179FD24" w:rsidRPr="185171D4">
        <w:rPr>
          <w:rFonts w:ascii="Calibri" w:eastAsia="Calibri" w:hAnsi="Calibri" w:cs="Calibri"/>
          <w:color w:val="000000" w:themeColor="text1"/>
          <w:sz w:val="24"/>
          <w:szCs w:val="24"/>
          <w:lang w:val="en-GB"/>
        </w:rPr>
        <w:t>supported</w:t>
      </w:r>
      <w:r w:rsidRPr="185171D4">
        <w:rPr>
          <w:rFonts w:ascii="Calibri" w:eastAsia="Calibri" w:hAnsi="Calibri" w:cs="Calibri"/>
          <w:color w:val="000000" w:themeColor="text1"/>
          <w:sz w:val="24"/>
          <w:szCs w:val="24"/>
          <w:lang w:val="en-GB"/>
        </w:rPr>
        <w:t xml:space="preserve">. I did ask the teacher why she chose to cold call on this </w:t>
      </w:r>
      <w:proofErr w:type="gramStart"/>
      <w:r w:rsidRPr="185171D4">
        <w:rPr>
          <w:rFonts w:ascii="Calibri" w:eastAsia="Calibri" w:hAnsi="Calibri" w:cs="Calibri"/>
          <w:color w:val="000000" w:themeColor="text1"/>
          <w:sz w:val="24"/>
          <w:szCs w:val="24"/>
          <w:lang w:val="en-GB"/>
        </w:rPr>
        <w:t xml:space="preserve">particular </w:t>
      </w:r>
      <w:r w:rsidR="6C6BBB19" w:rsidRPr="185171D4">
        <w:rPr>
          <w:rFonts w:ascii="Calibri" w:eastAsia="Calibri" w:hAnsi="Calibri" w:cs="Calibri"/>
          <w:color w:val="000000" w:themeColor="text1"/>
          <w:sz w:val="24"/>
          <w:szCs w:val="24"/>
          <w:lang w:val="en-GB"/>
        </w:rPr>
        <w:t>learner</w:t>
      </w:r>
      <w:proofErr w:type="gramEnd"/>
      <w:r w:rsidRPr="185171D4">
        <w:rPr>
          <w:rFonts w:ascii="Calibri" w:eastAsia="Calibri" w:hAnsi="Calibri" w:cs="Calibri"/>
          <w:color w:val="000000" w:themeColor="text1"/>
          <w:sz w:val="24"/>
          <w:szCs w:val="24"/>
          <w:lang w:val="en-GB"/>
        </w:rPr>
        <w:t xml:space="preserve">, as her body language was very closed off, and the teacher responded saying that learners should have equal opportunities to feedback and cannot ‘get out of it’. However, I think learning should be promoted through equity as opposed to equality in certain elements, as aforementioned, those with EAL and ALN are helped through </w:t>
      </w:r>
      <w:r w:rsidRPr="185171D4">
        <w:rPr>
          <w:rFonts w:ascii="Calibri" w:eastAsia="Calibri" w:hAnsi="Calibri" w:cs="Calibri"/>
          <w:color w:val="000000" w:themeColor="text1"/>
          <w:sz w:val="24"/>
          <w:szCs w:val="24"/>
          <w:lang w:val="en-GB"/>
        </w:rPr>
        <w:lastRenderedPageBreak/>
        <w:t xml:space="preserve">the premise of equity, those with mental health challenges such as anxiety, should also fall under this premise too. </w:t>
      </w:r>
    </w:p>
    <w:p w14:paraId="35AFDD2C" w14:textId="77777777" w:rsidR="00093E46" w:rsidRPr="00093E46" w:rsidRDefault="00093E46" w:rsidP="00093E46">
      <w:pPr>
        <w:spacing w:line="480" w:lineRule="auto"/>
        <w:ind w:firstLine="720"/>
        <w:rPr>
          <w:rFonts w:ascii="Calibri" w:eastAsia="Calibri" w:hAnsi="Calibri" w:cs="Calibri"/>
          <w:color w:val="000000" w:themeColor="text1"/>
          <w:sz w:val="24"/>
          <w:szCs w:val="24"/>
        </w:rPr>
      </w:pPr>
    </w:p>
    <w:p w14:paraId="342BBDFA" w14:textId="549A0C56"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b/>
          <w:bCs/>
          <w:color w:val="000000" w:themeColor="text1"/>
          <w:sz w:val="24"/>
          <w:szCs w:val="24"/>
          <w:u w:val="single"/>
          <w:lang w:val="en-GB"/>
        </w:rPr>
        <w:t>Conclusion</w:t>
      </w:r>
    </w:p>
    <w:p w14:paraId="7B3F45A6" w14:textId="04BE8395" w:rsidR="00DE2E7C" w:rsidRDefault="624E2544" w:rsidP="185171D4">
      <w:pPr>
        <w:spacing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To conclude, the critical </w:t>
      </w:r>
      <w:r w:rsidR="40CC6FBD" w:rsidRPr="185171D4">
        <w:rPr>
          <w:rFonts w:ascii="Calibri" w:eastAsia="Calibri" w:hAnsi="Calibri" w:cs="Calibri"/>
          <w:color w:val="000000" w:themeColor="text1"/>
          <w:sz w:val="24"/>
          <w:szCs w:val="24"/>
          <w:lang w:val="en-GB"/>
        </w:rPr>
        <w:t xml:space="preserve">incident </w:t>
      </w:r>
      <w:r w:rsidRPr="185171D4">
        <w:rPr>
          <w:rFonts w:ascii="Calibri" w:eastAsia="Calibri" w:hAnsi="Calibri" w:cs="Calibri"/>
          <w:color w:val="000000" w:themeColor="text1"/>
          <w:sz w:val="24"/>
          <w:szCs w:val="24"/>
          <w:lang w:val="en-GB"/>
        </w:rPr>
        <w:t>I observed in school X involved cold calling of a learner who was visibly uncomfortable and shy in the classroom setting. Using the reflective model proposed by Tripp to assess and reflect on my observation and how I would improve my own professional practice has been incredibly insightful.</w:t>
      </w:r>
      <w:r w:rsidR="56B41BB5" w:rsidRPr="185171D4">
        <w:rPr>
          <w:rFonts w:ascii="Calibri" w:eastAsia="Calibri" w:hAnsi="Calibri" w:cs="Calibri"/>
          <w:color w:val="000000" w:themeColor="text1"/>
          <w:sz w:val="24"/>
          <w:szCs w:val="24"/>
          <w:lang w:val="en-GB"/>
        </w:rPr>
        <w:t xml:space="preserve"> </w:t>
      </w:r>
    </w:p>
    <w:p w14:paraId="3E7C65CA" w14:textId="01A501F3"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My reflection on the cold</w:t>
      </w:r>
      <w:r w:rsidR="6CC1C3E4" w:rsidRPr="185171D4">
        <w:rPr>
          <w:rFonts w:ascii="Calibri" w:eastAsia="Calibri" w:hAnsi="Calibri" w:cs="Calibri"/>
          <w:color w:val="000000" w:themeColor="text1"/>
          <w:sz w:val="24"/>
          <w:szCs w:val="24"/>
          <w:lang w:val="en-GB"/>
        </w:rPr>
        <w:t xml:space="preserve"> calling</w:t>
      </w:r>
      <w:r w:rsidRPr="185171D4">
        <w:rPr>
          <w:rFonts w:ascii="Calibri" w:eastAsia="Calibri" w:hAnsi="Calibri" w:cs="Calibri"/>
          <w:color w:val="000000" w:themeColor="text1"/>
          <w:sz w:val="24"/>
          <w:szCs w:val="24"/>
          <w:lang w:val="en-GB"/>
        </w:rPr>
        <w:t xml:space="preserve"> technique, influenced by personal experience and an understanding of the psychological impact has led me to reconsider its application in my teaching philosophy. As shown by Cassady (2004) and Bryant et al. (2013), anxiety affects all stages of the learning-testing cycle and cold-calling has been shown to heighten anxiety in some learners as discussed above. By recognising the prevalence of heightened anxieties and mental health issues, especially among</w:t>
      </w:r>
      <w:r w:rsidR="5EC3C787" w:rsidRPr="185171D4">
        <w:rPr>
          <w:rFonts w:ascii="Calibri" w:eastAsia="Calibri" w:hAnsi="Calibri" w:cs="Calibri"/>
          <w:color w:val="000000" w:themeColor="text1"/>
          <w:sz w:val="24"/>
          <w:szCs w:val="24"/>
          <w:lang w:val="en-GB"/>
        </w:rPr>
        <w:t>st today’s</w:t>
      </w:r>
      <w:r w:rsidRPr="185171D4">
        <w:rPr>
          <w:rFonts w:ascii="Calibri" w:eastAsia="Calibri" w:hAnsi="Calibri" w:cs="Calibri"/>
          <w:color w:val="000000" w:themeColor="text1"/>
          <w:sz w:val="24"/>
          <w:szCs w:val="24"/>
          <w:lang w:val="en-GB"/>
        </w:rPr>
        <w:t xml:space="preserve"> learners, I am inclined towards fostering an inclusive and supportive learning environment. Therefore, in my own professional practice, I aim to work with the learner </w:t>
      </w:r>
      <w:proofErr w:type="gramStart"/>
      <w:r w:rsidRPr="185171D4">
        <w:rPr>
          <w:rFonts w:ascii="Calibri" w:eastAsia="Calibri" w:hAnsi="Calibri" w:cs="Calibri"/>
          <w:color w:val="000000" w:themeColor="text1"/>
          <w:sz w:val="24"/>
          <w:szCs w:val="24"/>
          <w:lang w:val="en-GB"/>
        </w:rPr>
        <w:t>in order to</w:t>
      </w:r>
      <w:proofErr w:type="gramEnd"/>
      <w:r w:rsidRPr="185171D4">
        <w:rPr>
          <w:rFonts w:ascii="Calibri" w:eastAsia="Calibri" w:hAnsi="Calibri" w:cs="Calibri"/>
          <w:color w:val="000000" w:themeColor="text1"/>
          <w:sz w:val="24"/>
          <w:szCs w:val="24"/>
          <w:lang w:val="en-GB"/>
        </w:rPr>
        <w:t xml:space="preserve"> help build a positive relationship with them first. I will ensure that they build confidence </w:t>
      </w:r>
      <w:r w:rsidR="0AB91BAF" w:rsidRPr="185171D4">
        <w:rPr>
          <w:rFonts w:ascii="Calibri" w:eastAsia="Calibri" w:hAnsi="Calibri" w:cs="Calibri"/>
          <w:color w:val="000000" w:themeColor="text1"/>
          <w:sz w:val="24"/>
          <w:szCs w:val="24"/>
          <w:lang w:val="en-GB"/>
        </w:rPr>
        <w:t xml:space="preserve">and self-assurance </w:t>
      </w:r>
      <w:r w:rsidRPr="185171D4">
        <w:rPr>
          <w:rFonts w:ascii="Calibri" w:eastAsia="Calibri" w:hAnsi="Calibri" w:cs="Calibri"/>
          <w:color w:val="000000" w:themeColor="text1"/>
          <w:sz w:val="24"/>
          <w:szCs w:val="24"/>
          <w:lang w:val="en-GB"/>
        </w:rPr>
        <w:t xml:space="preserve">through praising their work while monitoring in lessons. A personalised approach, as demonstrated with a shy learner in one of my classes, involves providing assurance and pre-communication, resulting in a more confident and engaged learner during feedback. This will make the classroom environment a comfortable and supportive environment for them to feel safe to share and explore their thoughts and answers </w:t>
      </w:r>
      <w:r w:rsidRPr="185171D4">
        <w:rPr>
          <w:rFonts w:ascii="Calibri" w:eastAsia="Calibri" w:hAnsi="Calibri" w:cs="Calibri"/>
          <w:color w:val="000000" w:themeColor="text1"/>
          <w:sz w:val="24"/>
          <w:szCs w:val="24"/>
          <w:lang w:val="en-GB"/>
        </w:rPr>
        <w:lastRenderedPageBreak/>
        <w:t xml:space="preserve">with their peers. While the notion of equal opportunities for feedback is important, I advocate for an equity driven approach, recognising the diverse needs of learners. I aim to differentiate between learners with anxiety through looking at notes on learners on SIMS and though some may not be diagnosed with mental health challenges, I will try my best to identify traits in body language and </w:t>
      </w:r>
      <w:proofErr w:type="gramStart"/>
      <w:r w:rsidRPr="185171D4">
        <w:rPr>
          <w:rFonts w:ascii="Calibri" w:eastAsia="Calibri" w:hAnsi="Calibri" w:cs="Calibri"/>
          <w:color w:val="000000" w:themeColor="text1"/>
          <w:sz w:val="24"/>
          <w:szCs w:val="24"/>
          <w:lang w:val="en-GB"/>
        </w:rPr>
        <w:t>take into account</w:t>
      </w:r>
      <w:proofErr w:type="gramEnd"/>
      <w:r w:rsidRPr="185171D4">
        <w:rPr>
          <w:rFonts w:ascii="Calibri" w:eastAsia="Calibri" w:hAnsi="Calibri" w:cs="Calibri"/>
          <w:color w:val="000000" w:themeColor="text1"/>
          <w:sz w:val="24"/>
          <w:szCs w:val="24"/>
          <w:lang w:val="en-GB"/>
        </w:rPr>
        <w:t xml:space="preserve"> their attitude during feedback in order to ensure they are comfortable participating – encouraging learners to build their confidence at an appropriate pace. </w:t>
      </w:r>
    </w:p>
    <w:p w14:paraId="4EE99E48" w14:textId="37B5B3B0" w:rsidR="00DE2E7C" w:rsidRDefault="624E2544" w:rsidP="185171D4">
      <w:pPr>
        <w:spacing w:line="480" w:lineRule="auto"/>
        <w:ind w:firstLine="720"/>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In essence, my teaching emphasises the principle of equity, and moving forward I would like to foster an environment where every learner </w:t>
      </w:r>
      <w:proofErr w:type="gramStart"/>
      <w:r w:rsidRPr="185171D4">
        <w:rPr>
          <w:rFonts w:ascii="Calibri" w:eastAsia="Calibri" w:hAnsi="Calibri" w:cs="Calibri"/>
          <w:color w:val="000000" w:themeColor="text1"/>
          <w:sz w:val="24"/>
          <w:szCs w:val="24"/>
          <w:lang w:val="en-GB"/>
        </w:rPr>
        <w:t>has the opportunity to</w:t>
      </w:r>
      <w:proofErr w:type="gramEnd"/>
      <w:r w:rsidRPr="185171D4">
        <w:rPr>
          <w:rFonts w:ascii="Calibri" w:eastAsia="Calibri" w:hAnsi="Calibri" w:cs="Calibri"/>
          <w:color w:val="000000" w:themeColor="text1"/>
          <w:sz w:val="24"/>
          <w:szCs w:val="24"/>
          <w:lang w:val="en-GB"/>
        </w:rPr>
        <w:t xml:space="preserve"> thrive, taking into account their strengths, challenges and mental health considerations. </w:t>
      </w:r>
    </w:p>
    <w:p w14:paraId="7ECFCF2C" w14:textId="7ED1A2CA" w:rsidR="00DE2E7C" w:rsidRDefault="00DE2E7C" w:rsidP="185171D4">
      <w:pPr>
        <w:spacing w:line="480" w:lineRule="auto"/>
        <w:rPr>
          <w:rFonts w:ascii="Calibri" w:eastAsia="Calibri" w:hAnsi="Calibri" w:cs="Calibri"/>
          <w:color w:val="000000" w:themeColor="text1"/>
          <w:sz w:val="24"/>
          <w:szCs w:val="24"/>
        </w:rPr>
      </w:pPr>
    </w:p>
    <w:p w14:paraId="1CA940A4" w14:textId="6772E809" w:rsidR="00DE2E7C" w:rsidRDefault="00DE2E7C" w:rsidP="185171D4">
      <w:pPr>
        <w:spacing w:line="480" w:lineRule="auto"/>
        <w:rPr>
          <w:rFonts w:ascii="Calibri" w:eastAsia="Calibri" w:hAnsi="Calibri" w:cs="Calibri"/>
          <w:color w:val="000000" w:themeColor="text1"/>
          <w:sz w:val="24"/>
          <w:szCs w:val="24"/>
        </w:rPr>
      </w:pPr>
    </w:p>
    <w:p w14:paraId="47BBFEDA" w14:textId="21E67A4B" w:rsidR="00DE2E7C" w:rsidRDefault="00DE2E7C" w:rsidP="185171D4">
      <w:pPr>
        <w:spacing w:line="480" w:lineRule="auto"/>
        <w:rPr>
          <w:rFonts w:ascii="Calibri" w:eastAsia="Calibri" w:hAnsi="Calibri" w:cs="Calibri"/>
          <w:color w:val="000000" w:themeColor="text1"/>
          <w:sz w:val="24"/>
          <w:szCs w:val="24"/>
        </w:rPr>
      </w:pPr>
    </w:p>
    <w:p w14:paraId="3FE73DFB" w14:textId="6B567DE9" w:rsidR="00DE2E7C" w:rsidRDefault="00DE2E7C" w:rsidP="185171D4">
      <w:pPr>
        <w:spacing w:line="480" w:lineRule="auto"/>
        <w:rPr>
          <w:rFonts w:ascii="Calibri" w:eastAsia="Calibri" w:hAnsi="Calibri" w:cs="Calibri"/>
          <w:color w:val="000000" w:themeColor="text1"/>
          <w:sz w:val="24"/>
          <w:szCs w:val="24"/>
        </w:rPr>
      </w:pPr>
    </w:p>
    <w:p w14:paraId="33CA27A1" w14:textId="77777777" w:rsidR="00093E46" w:rsidRDefault="00093E46" w:rsidP="185171D4">
      <w:pPr>
        <w:spacing w:line="480" w:lineRule="auto"/>
        <w:rPr>
          <w:rFonts w:ascii="Calibri" w:eastAsia="Calibri" w:hAnsi="Calibri" w:cs="Calibri"/>
          <w:color w:val="000000" w:themeColor="text1"/>
          <w:sz w:val="24"/>
          <w:szCs w:val="24"/>
        </w:rPr>
      </w:pPr>
    </w:p>
    <w:p w14:paraId="72A9E168" w14:textId="77777777" w:rsidR="00093E46" w:rsidRDefault="00093E46" w:rsidP="185171D4">
      <w:pPr>
        <w:spacing w:line="480" w:lineRule="auto"/>
        <w:rPr>
          <w:rFonts w:ascii="Calibri" w:eastAsia="Calibri" w:hAnsi="Calibri" w:cs="Calibri"/>
          <w:color w:val="000000" w:themeColor="text1"/>
          <w:sz w:val="24"/>
          <w:szCs w:val="24"/>
        </w:rPr>
      </w:pPr>
    </w:p>
    <w:p w14:paraId="00BC0721" w14:textId="77777777" w:rsidR="00093E46" w:rsidRDefault="00093E46" w:rsidP="185171D4">
      <w:pPr>
        <w:spacing w:line="480" w:lineRule="auto"/>
        <w:rPr>
          <w:rFonts w:ascii="Calibri" w:eastAsia="Calibri" w:hAnsi="Calibri" w:cs="Calibri"/>
          <w:color w:val="000000" w:themeColor="text1"/>
          <w:sz w:val="24"/>
          <w:szCs w:val="24"/>
        </w:rPr>
      </w:pPr>
    </w:p>
    <w:p w14:paraId="2E4D85D5" w14:textId="77777777" w:rsidR="00093E46" w:rsidRDefault="00093E46" w:rsidP="185171D4">
      <w:pPr>
        <w:spacing w:line="480" w:lineRule="auto"/>
        <w:rPr>
          <w:rFonts w:ascii="Calibri" w:eastAsia="Calibri" w:hAnsi="Calibri" w:cs="Calibri"/>
          <w:color w:val="000000" w:themeColor="text1"/>
          <w:sz w:val="24"/>
          <w:szCs w:val="24"/>
        </w:rPr>
      </w:pPr>
    </w:p>
    <w:p w14:paraId="48CCA625" w14:textId="3AAAE48D" w:rsidR="00DE2E7C" w:rsidRDefault="00DE2E7C" w:rsidP="185171D4">
      <w:pPr>
        <w:spacing w:line="480" w:lineRule="auto"/>
        <w:rPr>
          <w:rFonts w:ascii="Calibri" w:eastAsia="Calibri" w:hAnsi="Calibri" w:cs="Calibri"/>
          <w:color w:val="000000" w:themeColor="text1"/>
          <w:sz w:val="24"/>
          <w:szCs w:val="24"/>
        </w:rPr>
      </w:pPr>
    </w:p>
    <w:p w14:paraId="3FA9BB8E" w14:textId="28F1E208" w:rsidR="00DE2E7C" w:rsidRDefault="624E2544" w:rsidP="185171D4">
      <w:pPr>
        <w:spacing w:line="480" w:lineRule="auto"/>
        <w:rPr>
          <w:rFonts w:ascii="Calibri" w:eastAsia="Calibri" w:hAnsi="Calibri" w:cs="Calibri"/>
          <w:b/>
          <w:bCs/>
          <w:color w:val="000000" w:themeColor="text1"/>
          <w:sz w:val="24"/>
          <w:szCs w:val="24"/>
        </w:rPr>
      </w:pPr>
      <w:r w:rsidRPr="185171D4">
        <w:rPr>
          <w:rFonts w:ascii="Calibri" w:eastAsia="Calibri" w:hAnsi="Calibri" w:cs="Calibri"/>
          <w:b/>
          <w:bCs/>
          <w:color w:val="000000" w:themeColor="text1"/>
          <w:sz w:val="24"/>
          <w:szCs w:val="24"/>
          <w:lang w:val="en-GB"/>
        </w:rPr>
        <w:lastRenderedPageBreak/>
        <w:t xml:space="preserve">References </w:t>
      </w:r>
    </w:p>
    <w:p w14:paraId="1BCA7C2B" w14:textId="3021D608"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Belvis, E., Pineda, P., Armengol, C., &amp; Moreno, V. (2013). Evaluation of reflective practice in teacher education. </w:t>
      </w:r>
      <w:r w:rsidRPr="185171D4">
        <w:rPr>
          <w:rFonts w:ascii="Calibri" w:eastAsia="Calibri" w:hAnsi="Calibri" w:cs="Calibri"/>
          <w:i/>
          <w:iCs/>
          <w:color w:val="000000" w:themeColor="text1"/>
          <w:sz w:val="24"/>
          <w:szCs w:val="24"/>
          <w:lang w:val="en-GB"/>
        </w:rPr>
        <w:t>European Journal of Teacher Education, 36</w:t>
      </w:r>
      <w:r w:rsidRPr="185171D4">
        <w:rPr>
          <w:rFonts w:ascii="Calibri" w:eastAsia="Calibri" w:hAnsi="Calibri" w:cs="Calibri"/>
          <w:color w:val="000000" w:themeColor="text1"/>
          <w:sz w:val="24"/>
          <w:szCs w:val="24"/>
          <w:lang w:val="en-GB"/>
        </w:rPr>
        <w:t>(3), 279-292.</w:t>
      </w:r>
    </w:p>
    <w:p w14:paraId="153DA229" w14:textId="60BFAE45"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Benbunan-Fich, R., &amp; Arbaugh, J. B. (2006). Separating the effects of knowledge construction and group collaboration in learning outcomes of web-based courses. </w:t>
      </w:r>
      <w:r w:rsidRPr="185171D4">
        <w:rPr>
          <w:rFonts w:ascii="Calibri" w:eastAsia="Calibri" w:hAnsi="Calibri" w:cs="Calibri"/>
          <w:i/>
          <w:iCs/>
          <w:color w:val="000000" w:themeColor="text1"/>
          <w:sz w:val="24"/>
          <w:szCs w:val="24"/>
          <w:lang w:val="en-GB"/>
        </w:rPr>
        <w:t>Information &amp; Management, 43</w:t>
      </w:r>
      <w:r w:rsidRPr="185171D4">
        <w:rPr>
          <w:rFonts w:ascii="Calibri" w:eastAsia="Calibri" w:hAnsi="Calibri" w:cs="Calibri"/>
          <w:color w:val="000000" w:themeColor="text1"/>
          <w:sz w:val="24"/>
          <w:szCs w:val="24"/>
          <w:lang w:val="en-GB"/>
        </w:rPr>
        <w:t>(6), 778-793.</w:t>
      </w:r>
    </w:p>
    <w:p w14:paraId="2FC1AA34" w14:textId="6A6F8B59"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British Educational Research Association [BERA] (2018) ‘Ethical Guidelines for Educational Research’, Fourth Edition, London.</w:t>
      </w:r>
    </w:p>
    <w:p w14:paraId="2FDDD797" w14:textId="44097FD8"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Broeckelman-Post, M., Johnson, A. and Reid Schwebach, J., (2016). Calling on Students Using Notecards: Engagement and Countering Communication Anxiety in Large Lecture. </w:t>
      </w:r>
      <w:r w:rsidRPr="185171D4">
        <w:rPr>
          <w:rFonts w:ascii="Calibri" w:eastAsia="Calibri" w:hAnsi="Calibri" w:cs="Calibri"/>
          <w:i/>
          <w:iCs/>
          <w:color w:val="000000" w:themeColor="text1"/>
          <w:sz w:val="24"/>
          <w:szCs w:val="24"/>
          <w:lang w:val="en-GB"/>
        </w:rPr>
        <w:t>Journal of College Science Teaching, 45</w:t>
      </w:r>
      <w:r w:rsidRPr="185171D4">
        <w:rPr>
          <w:rFonts w:ascii="Calibri" w:eastAsia="Calibri" w:hAnsi="Calibri" w:cs="Calibri"/>
          <w:color w:val="000000" w:themeColor="text1"/>
          <w:sz w:val="24"/>
          <w:szCs w:val="24"/>
          <w:lang w:val="en-GB"/>
        </w:rPr>
        <w:t>(5).</w:t>
      </w:r>
    </w:p>
    <w:p w14:paraId="1DE79B20" w14:textId="1F828FA3"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Bryant, F.B., Kastrup, H., Udo, M., Hislop, N., Shefner, R. and Mallow, J., (2013). Science anxiety, science attitudes, and constructivism: A binational study. </w:t>
      </w:r>
      <w:r w:rsidRPr="185171D4">
        <w:rPr>
          <w:rFonts w:ascii="Calibri" w:eastAsia="Calibri" w:hAnsi="Calibri" w:cs="Calibri"/>
          <w:i/>
          <w:iCs/>
          <w:color w:val="000000" w:themeColor="text1"/>
          <w:sz w:val="24"/>
          <w:szCs w:val="24"/>
          <w:lang w:val="en-GB"/>
        </w:rPr>
        <w:t>Journal of Science Education and Technology, 22</w:t>
      </w:r>
      <w:r w:rsidRPr="185171D4">
        <w:rPr>
          <w:rFonts w:ascii="Calibri" w:eastAsia="Calibri" w:hAnsi="Calibri" w:cs="Calibri"/>
          <w:color w:val="000000" w:themeColor="text1"/>
          <w:sz w:val="24"/>
          <w:szCs w:val="24"/>
          <w:lang w:val="en-GB"/>
        </w:rPr>
        <w:t>, 432-448.</w:t>
      </w:r>
    </w:p>
    <w:p w14:paraId="043BC5BF" w14:textId="35A2736A"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Cassady, J.C., (2004). The influence of cognitive test anxiety across the learning–testing cycle. </w:t>
      </w:r>
      <w:r w:rsidRPr="185171D4">
        <w:rPr>
          <w:rFonts w:ascii="Calibri" w:eastAsia="Calibri" w:hAnsi="Calibri" w:cs="Calibri"/>
          <w:i/>
          <w:iCs/>
          <w:color w:val="000000" w:themeColor="text1"/>
          <w:sz w:val="24"/>
          <w:szCs w:val="24"/>
          <w:lang w:val="en-GB"/>
        </w:rPr>
        <w:t>Learning and Instruction, 14</w:t>
      </w:r>
      <w:r w:rsidRPr="185171D4">
        <w:rPr>
          <w:rFonts w:ascii="Calibri" w:eastAsia="Calibri" w:hAnsi="Calibri" w:cs="Calibri"/>
          <w:color w:val="000000" w:themeColor="text1"/>
          <w:sz w:val="24"/>
          <w:szCs w:val="24"/>
          <w:lang w:val="en-GB"/>
        </w:rPr>
        <w:t>(6), 569-592.</w:t>
      </w:r>
    </w:p>
    <w:p w14:paraId="39049EF2" w14:textId="2AC27791"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Cohen, M., Buzinski, S.G., Armstrong-Carter, E., Clark, J., Buck, B. and Reuman, L., (2019). Think, pair, freeze: The association between social anxiety and student discomfort in the active learning environment. </w:t>
      </w:r>
      <w:r w:rsidRPr="185171D4">
        <w:rPr>
          <w:rFonts w:ascii="Calibri" w:eastAsia="Calibri" w:hAnsi="Calibri" w:cs="Calibri"/>
          <w:i/>
          <w:iCs/>
          <w:color w:val="000000" w:themeColor="text1"/>
          <w:sz w:val="24"/>
          <w:szCs w:val="24"/>
          <w:lang w:val="en-GB"/>
        </w:rPr>
        <w:t>Scholarship of Teaching and Learning in Psychology, 5</w:t>
      </w:r>
      <w:r w:rsidRPr="185171D4">
        <w:rPr>
          <w:rFonts w:ascii="Calibri" w:eastAsia="Calibri" w:hAnsi="Calibri" w:cs="Calibri"/>
          <w:color w:val="000000" w:themeColor="text1"/>
          <w:sz w:val="24"/>
          <w:szCs w:val="24"/>
          <w:lang w:val="en-GB"/>
        </w:rPr>
        <w:t>(4), 265.</w:t>
      </w:r>
    </w:p>
    <w:p w14:paraId="444A1F82" w14:textId="70C714E1"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lastRenderedPageBreak/>
        <w:t xml:space="preserve">Cooper, K.M., Downing, V.R. and Brownell, S.E., (2018). The influence of active learning practices on student anxiety in large-enrollment college science classrooms. </w:t>
      </w:r>
      <w:r w:rsidRPr="185171D4">
        <w:rPr>
          <w:rFonts w:ascii="Calibri" w:eastAsia="Calibri" w:hAnsi="Calibri" w:cs="Calibri"/>
          <w:i/>
          <w:iCs/>
          <w:color w:val="000000" w:themeColor="text1"/>
          <w:sz w:val="24"/>
          <w:szCs w:val="24"/>
          <w:lang w:val="en-GB"/>
        </w:rPr>
        <w:t>International Journal of STEM Education, 5</w:t>
      </w:r>
      <w:r w:rsidRPr="185171D4">
        <w:rPr>
          <w:rFonts w:ascii="Calibri" w:eastAsia="Calibri" w:hAnsi="Calibri" w:cs="Calibri"/>
          <w:color w:val="000000" w:themeColor="text1"/>
          <w:sz w:val="24"/>
          <w:szCs w:val="24"/>
          <w:lang w:val="en-GB"/>
        </w:rPr>
        <w:t>(1), 1-18.</w:t>
      </w:r>
    </w:p>
    <w:p w14:paraId="7E8D043C" w14:textId="053FFD32"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Dallimore, E. J., Hertenstein, J. H., &amp; Platt, M. B. (2005). Faculty-generated strategies for “cold calling” use: A comparative analysis with student recommendations. </w:t>
      </w:r>
      <w:r w:rsidRPr="185171D4">
        <w:rPr>
          <w:rFonts w:ascii="Calibri" w:eastAsia="Calibri" w:hAnsi="Calibri" w:cs="Calibri"/>
          <w:i/>
          <w:iCs/>
          <w:color w:val="000000" w:themeColor="text1"/>
          <w:sz w:val="24"/>
          <w:szCs w:val="24"/>
          <w:lang w:val="en-GB"/>
        </w:rPr>
        <w:t>Journal on Excellence in College Teaching, 16</w:t>
      </w:r>
      <w:r w:rsidRPr="185171D4">
        <w:rPr>
          <w:rFonts w:ascii="Calibri" w:eastAsia="Calibri" w:hAnsi="Calibri" w:cs="Calibri"/>
          <w:color w:val="000000" w:themeColor="text1"/>
          <w:sz w:val="24"/>
          <w:szCs w:val="24"/>
          <w:lang w:val="en-GB"/>
        </w:rPr>
        <w:t>(1), 23-62.</w:t>
      </w:r>
    </w:p>
    <w:p w14:paraId="4B3E3B00" w14:textId="6860540E"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Dallimore, E.J., Hertenstein, J.H. and Platt, M.B., (2019). Leveling the playing field: How cold-calling affects class discussion gender equity. </w:t>
      </w:r>
      <w:r w:rsidRPr="185171D4">
        <w:rPr>
          <w:rFonts w:ascii="Calibri" w:eastAsia="Calibri" w:hAnsi="Calibri" w:cs="Calibri"/>
          <w:i/>
          <w:iCs/>
          <w:color w:val="000000" w:themeColor="text1"/>
          <w:sz w:val="24"/>
          <w:szCs w:val="24"/>
          <w:lang w:val="en-GB"/>
        </w:rPr>
        <w:t>Journal of Education and Learning, 8</w:t>
      </w:r>
      <w:r w:rsidRPr="185171D4">
        <w:rPr>
          <w:rFonts w:ascii="Calibri" w:eastAsia="Calibri" w:hAnsi="Calibri" w:cs="Calibri"/>
          <w:color w:val="000000" w:themeColor="text1"/>
          <w:sz w:val="24"/>
          <w:szCs w:val="24"/>
          <w:lang w:val="en-GB"/>
        </w:rPr>
        <w:t>(2), 14-24., Vancouver.</w:t>
      </w:r>
    </w:p>
    <w:p w14:paraId="2CC24EB3" w14:textId="71418A8C"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Daempfle, P.A., (2003). An analysis of the high attrition rates among first year college science, math, and engineering majors. </w:t>
      </w:r>
      <w:r w:rsidRPr="185171D4">
        <w:rPr>
          <w:rFonts w:ascii="Calibri" w:eastAsia="Calibri" w:hAnsi="Calibri" w:cs="Calibri"/>
          <w:i/>
          <w:iCs/>
          <w:color w:val="000000" w:themeColor="text1"/>
          <w:sz w:val="24"/>
          <w:szCs w:val="24"/>
          <w:lang w:val="en-GB"/>
        </w:rPr>
        <w:t>Journal of College Student Retention: Research, Theory &amp; Practice, 5</w:t>
      </w:r>
      <w:r w:rsidRPr="185171D4">
        <w:rPr>
          <w:rFonts w:ascii="Calibri" w:eastAsia="Calibri" w:hAnsi="Calibri" w:cs="Calibri"/>
          <w:color w:val="000000" w:themeColor="text1"/>
          <w:sz w:val="24"/>
          <w:szCs w:val="24"/>
          <w:lang w:val="en-GB"/>
        </w:rPr>
        <w:t>(1), 37-52.</w:t>
      </w:r>
    </w:p>
    <w:p w14:paraId="2AEC3E9C" w14:textId="1E3BDB8B"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Donaldson, G., (2015). </w:t>
      </w:r>
      <w:r w:rsidRPr="185171D4">
        <w:rPr>
          <w:rFonts w:ascii="Calibri" w:eastAsia="Calibri" w:hAnsi="Calibri" w:cs="Calibri"/>
          <w:i/>
          <w:iCs/>
          <w:color w:val="000000" w:themeColor="text1"/>
          <w:sz w:val="24"/>
          <w:szCs w:val="24"/>
          <w:lang w:val="en-GB"/>
        </w:rPr>
        <w:t>Successful futures: Independent review of curriculum and assessment arrangements in Wales: February 2015</w:t>
      </w:r>
      <w:r w:rsidRPr="185171D4">
        <w:rPr>
          <w:rFonts w:ascii="Calibri" w:eastAsia="Calibri" w:hAnsi="Calibri" w:cs="Calibri"/>
          <w:color w:val="000000" w:themeColor="text1"/>
          <w:sz w:val="24"/>
          <w:szCs w:val="24"/>
          <w:lang w:val="en-GB"/>
        </w:rPr>
        <w:t>.</w:t>
      </w:r>
    </w:p>
    <w:p w14:paraId="646164F8" w14:textId="5086048F"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Eddy, S.L., Brownell, S.E., Thummaphan, P., Lan, M.C. and Wenderoth, M.P., (2015). Caution, student experience may vary: Social identities impact a student’s experience in peer discussions. </w:t>
      </w:r>
      <w:r w:rsidRPr="185171D4">
        <w:rPr>
          <w:rFonts w:ascii="Calibri" w:eastAsia="Calibri" w:hAnsi="Calibri" w:cs="Calibri"/>
          <w:i/>
          <w:iCs/>
          <w:color w:val="000000" w:themeColor="text1"/>
          <w:sz w:val="24"/>
          <w:szCs w:val="24"/>
          <w:lang w:val="en-GB"/>
        </w:rPr>
        <w:t>CBE—Life Sciences Education, 14</w:t>
      </w:r>
      <w:r w:rsidRPr="185171D4">
        <w:rPr>
          <w:rFonts w:ascii="Calibri" w:eastAsia="Calibri" w:hAnsi="Calibri" w:cs="Calibri"/>
          <w:color w:val="000000" w:themeColor="text1"/>
          <w:sz w:val="24"/>
          <w:szCs w:val="24"/>
          <w:lang w:val="en-GB"/>
        </w:rPr>
        <w:t>(4).</w:t>
      </w:r>
    </w:p>
    <w:p w14:paraId="054B2339" w14:textId="3835DBD3"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England, B.J., Brigati, J.R. and Schussler, E.E., (2017). Student anxiety in introductory biology classrooms: Perceptions about active learning and persistence in the major. </w:t>
      </w:r>
      <w:r w:rsidRPr="185171D4">
        <w:rPr>
          <w:rFonts w:ascii="Calibri" w:eastAsia="Calibri" w:hAnsi="Calibri" w:cs="Calibri"/>
          <w:i/>
          <w:iCs/>
          <w:color w:val="000000" w:themeColor="text1"/>
          <w:sz w:val="24"/>
          <w:szCs w:val="24"/>
          <w:lang w:val="en-GB"/>
        </w:rPr>
        <w:t>PloS one, 12</w:t>
      </w:r>
      <w:r w:rsidRPr="185171D4">
        <w:rPr>
          <w:rFonts w:ascii="Calibri" w:eastAsia="Calibri" w:hAnsi="Calibri" w:cs="Calibri"/>
          <w:color w:val="000000" w:themeColor="text1"/>
          <w:sz w:val="24"/>
          <w:szCs w:val="24"/>
          <w:lang w:val="en-GB"/>
        </w:rPr>
        <w:t>(8).</w:t>
      </w:r>
    </w:p>
    <w:p w14:paraId="5C1DBDEF" w14:textId="215B54D5"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lastRenderedPageBreak/>
        <w:t xml:space="preserve">Freeman, S., Eddy, S. L., McDonough, M., Smith, M. K., Okoroafor, N., Jordt, H., &amp; Wenderoth, M. P. (2014). Active learning increases student performance in science, engineering, and mathematics. </w:t>
      </w:r>
      <w:r w:rsidRPr="185171D4">
        <w:rPr>
          <w:rFonts w:ascii="Calibri" w:eastAsia="Calibri" w:hAnsi="Calibri" w:cs="Calibri"/>
          <w:i/>
          <w:iCs/>
          <w:color w:val="000000" w:themeColor="text1"/>
          <w:sz w:val="24"/>
          <w:szCs w:val="24"/>
          <w:lang w:val="en-GB"/>
        </w:rPr>
        <w:t>Proceedings of the National Academy of Sciences, 111</w:t>
      </w:r>
      <w:r w:rsidRPr="185171D4">
        <w:rPr>
          <w:rFonts w:ascii="Calibri" w:eastAsia="Calibri" w:hAnsi="Calibri" w:cs="Calibri"/>
          <w:color w:val="000000" w:themeColor="text1"/>
          <w:sz w:val="24"/>
          <w:szCs w:val="24"/>
          <w:lang w:val="en-GB"/>
        </w:rPr>
        <w:t>(23), 8410-8415.</w:t>
      </w:r>
    </w:p>
    <w:p w14:paraId="75C77448" w14:textId="4DB45E92"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Honicke, T., &amp; Broadbent, J. (2016). The influence of academic self-efficacy on academic performance: A systematic review. </w:t>
      </w:r>
      <w:r w:rsidRPr="185171D4">
        <w:rPr>
          <w:rFonts w:ascii="Calibri" w:eastAsia="Calibri" w:hAnsi="Calibri" w:cs="Calibri"/>
          <w:i/>
          <w:iCs/>
          <w:color w:val="000000" w:themeColor="text1"/>
          <w:sz w:val="24"/>
          <w:szCs w:val="24"/>
          <w:lang w:val="en-GB"/>
        </w:rPr>
        <w:t>Educational Research Review, 17</w:t>
      </w:r>
      <w:r w:rsidRPr="185171D4">
        <w:rPr>
          <w:rFonts w:ascii="Calibri" w:eastAsia="Calibri" w:hAnsi="Calibri" w:cs="Calibri"/>
          <w:color w:val="000000" w:themeColor="text1"/>
          <w:sz w:val="24"/>
          <w:szCs w:val="24"/>
          <w:lang w:val="en-GB"/>
        </w:rPr>
        <w:t>, 63-84.</w:t>
      </w:r>
    </w:p>
    <w:p w14:paraId="0F6D7A8D" w14:textId="3C026732"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Johnson, L.E., (2007). Treating test anxiety in students with learning difficulties: An exploratory study.</w:t>
      </w:r>
    </w:p>
    <w:p w14:paraId="4E7ECE02" w14:textId="3F3BD435"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Kolb, D. A. (1984) </w:t>
      </w:r>
      <w:r w:rsidRPr="185171D4">
        <w:rPr>
          <w:rFonts w:ascii="Calibri" w:eastAsia="Calibri" w:hAnsi="Calibri" w:cs="Calibri"/>
          <w:i/>
          <w:iCs/>
          <w:color w:val="000000" w:themeColor="text1"/>
          <w:sz w:val="24"/>
          <w:szCs w:val="24"/>
          <w:lang w:val="en-GB"/>
        </w:rPr>
        <w:t>Experiential learning: experience as the source of learning and development</w:t>
      </w:r>
      <w:r w:rsidRPr="185171D4">
        <w:rPr>
          <w:rFonts w:ascii="Calibri" w:eastAsia="Calibri" w:hAnsi="Calibri" w:cs="Calibri"/>
          <w:color w:val="000000" w:themeColor="text1"/>
          <w:sz w:val="24"/>
          <w:szCs w:val="24"/>
          <w:lang w:val="en-GB"/>
        </w:rPr>
        <w:t>. Englewood Cliffs: Prentice-Hall.</w:t>
      </w:r>
    </w:p>
    <w:p w14:paraId="01E23BA6" w14:textId="3A83FB4C"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Moon, J (1999) </w:t>
      </w:r>
      <w:r w:rsidRPr="185171D4">
        <w:rPr>
          <w:rFonts w:ascii="Calibri" w:eastAsia="Calibri" w:hAnsi="Calibri" w:cs="Calibri"/>
          <w:i/>
          <w:iCs/>
          <w:color w:val="000000" w:themeColor="text1"/>
          <w:sz w:val="24"/>
          <w:szCs w:val="24"/>
          <w:lang w:val="en-GB"/>
        </w:rPr>
        <w:t>Reflection in Learning and Professional Development</w:t>
      </w:r>
      <w:r w:rsidRPr="185171D4">
        <w:rPr>
          <w:rFonts w:ascii="Calibri" w:eastAsia="Calibri" w:hAnsi="Calibri" w:cs="Calibri"/>
          <w:color w:val="000000" w:themeColor="text1"/>
          <w:sz w:val="24"/>
          <w:szCs w:val="24"/>
          <w:lang w:val="en-GB"/>
        </w:rPr>
        <w:t>. Kogan Page, London.</w:t>
      </w:r>
    </w:p>
    <w:p w14:paraId="0320218F" w14:textId="19BAF78D"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Mallow, J.V., (2006). Science anxiety: Research and action. </w:t>
      </w:r>
      <w:r w:rsidRPr="185171D4">
        <w:rPr>
          <w:rFonts w:ascii="Calibri" w:eastAsia="Calibri" w:hAnsi="Calibri" w:cs="Calibri"/>
          <w:i/>
          <w:iCs/>
          <w:color w:val="000000" w:themeColor="text1"/>
          <w:sz w:val="24"/>
          <w:szCs w:val="24"/>
          <w:lang w:val="en-GB"/>
        </w:rPr>
        <w:t>Handbook of college science teaching</w:t>
      </w:r>
      <w:r w:rsidRPr="185171D4">
        <w:rPr>
          <w:rFonts w:ascii="Calibri" w:eastAsia="Calibri" w:hAnsi="Calibri" w:cs="Calibri"/>
          <w:color w:val="000000" w:themeColor="text1"/>
          <w:sz w:val="24"/>
          <w:szCs w:val="24"/>
          <w:lang w:val="en-GB"/>
        </w:rPr>
        <w:t>, 3-14.</w:t>
      </w:r>
    </w:p>
    <w:p w14:paraId="0BAAD162" w14:textId="43C7FDD6"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McKinney, Mark E., Robert J. Gatchel, and Paul B. Paulus. (1983). The effects of audience size on high and low speech-anxious subjects during an actual speaking task. </w:t>
      </w:r>
      <w:r w:rsidRPr="185171D4">
        <w:rPr>
          <w:rFonts w:ascii="Calibri" w:eastAsia="Calibri" w:hAnsi="Calibri" w:cs="Calibri"/>
          <w:i/>
          <w:iCs/>
          <w:color w:val="000000" w:themeColor="text1"/>
          <w:sz w:val="24"/>
          <w:szCs w:val="24"/>
          <w:lang w:val="en-GB"/>
        </w:rPr>
        <w:t>Basic and Applied Social Psychology, 4</w:t>
      </w:r>
      <w:r w:rsidRPr="185171D4">
        <w:rPr>
          <w:rFonts w:ascii="Calibri" w:eastAsia="Calibri" w:hAnsi="Calibri" w:cs="Calibri"/>
          <w:color w:val="000000" w:themeColor="text1"/>
          <w:sz w:val="24"/>
          <w:szCs w:val="24"/>
          <w:lang w:val="en-GB"/>
        </w:rPr>
        <w:t>(1), 73-87.</w:t>
      </w:r>
    </w:p>
    <w:p w14:paraId="5E818BB8" w14:textId="05DA0D4F"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Prince, M. (2004). Does active learning work? A review of the research. </w:t>
      </w:r>
      <w:r w:rsidRPr="185171D4">
        <w:rPr>
          <w:rFonts w:ascii="Calibri" w:eastAsia="Calibri" w:hAnsi="Calibri" w:cs="Calibri"/>
          <w:i/>
          <w:iCs/>
          <w:color w:val="000000" w:themeColor="text1"/>
          <w:sz w:val="24"/>
          <w:szCs w:val="24"/>
          <w:lang w:val="en-GB"/>
        </w:rPr>
        <w:t>Journal of Engineering Education, 93</w:t>
      </w:r>
      <w:r w:rsidRPr="185171D4">
        <w:rPr>
          <w:rFonts w:ascii="Calibri" w:eastAsia="Calibri" w:hAnsi="Calibri" w:cs="Calibri"/>
          <w:color w:val="000000" w:themeColor="text1"/>
          <w:sz w:val="24"/>
          <w:szCs w:val="24"/>
          <w:lang w:val="en-GB"/>
        </w:rPr>
        <w:t>(3), 223-231., Chicago.</w:t>
      </w:r>
    </w:p>
    <w:p w14:paraId="6AC0D40B" w14:textId="14262DFF" w:rsidR="00DE2E7C" w:rsidRDefault="33C788C8" w:rsidP="185171D4">
      <w:pPr>
        <w:spacing w:before="240" w:after="240" w:line="480" w:lineRule="auto"/>
        <w:rPr>
          <w:rFonts w:ascii="Calibri" w:eastAsia="Calibri" w:hAnsi="Calibri" w:cs="Calibri"/>
          <w:color w:val="000000" w:themeColor="text1"/>
          <w:sz w:val="24"/>
          <w:szCs w:val="24"/>
          <w:lang w:val="en-GB"/>
        </w:rPr>
      </w:pPr>
      <w:r w:rsidRPr="185171D4">
        <w:rPr>
          <w:rFonts w:ascii="Calibri" w:eastAsia="Calibri" w:hAnsi="Calibri" w:cs="Calibri"/>
          <w:color w:val="000000" w:themeColor="text1"/>
          <w:sz w:val="24"/>
          <w:szCs w:val="24"/>
          <w:lang w:val="en-GB"/>
        </w:rPr>
        <w:lastRenderedPageBreak/>
        <w:t>The Guardian. (2022). 'Warnings of mental health crisis among COVID generation of students'. [Online]: https://www.theguardian.com/society/2022/jun/28/warnings-of-mental-health-crisis-among-covid-generation-of-students</w:t>
      </w:r>
    </w:p>
    <w:p w14:paraId="448FA50A" w14:textId="0AED813C" w:rsidR="00DE2E7C" w:rsidRDefault="33C788C8"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The Guardian. (2023). 'Rise in school absences since COVID driven by anxiety and lack of support, say English councils'. [Online]: </w:t>
      </w:r>
      <w:r w:rsidRPr="185171D4">
        <w:rPr>
          <w:rFonts w:ascii="Calibri" w:eastAsia="Calibri" w:hAnsi="Calibri" w:cs="Calibri"/>
          <w:sz w:val="24"/>
          <w:szCs w:val="24"/>
          <w:lang w:val="en-GB"/>
        </w:rPr>
        <w:t>https://www.theguardian.com/education/2023/apr/23/rise-in-school-absences-since-covid-driven-by-anxiety-and-lack-of-support-say-english-councils</w:t>
      </w:r>
    </w:p>
    <w:p w14:paraId="2D585F3C" w14:textId="1F48E46C"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Tripp, D. (1993). </w:t>
      </w:r>
      <w:r w:rsidRPr="185171D4">
        <w:rPr>
          <w:rFonts w:ascii="Calibri" w:eastAsia="Calibri" w:hAnsi="Calibri" w:cs="Calibri"/>
          <w:i/>
          <w:iCs/>
          <w:color w:val="000000" w:themeColor="text1"/>
          <w:sz w:val="24"/>
          <w:szCs w:val="24"/>
          <w:lang w:val="en-GB"/>
        </w:rPr>
        <w:t>Critical Incidents in Teaching: Developing Professional Judgement</w:t>
      </w:r>
      <w:r w:rsidRPr="185171D4">
        <w:rPr>
          <w:rFonts w:ascii="Calibri" w:eastAsia="Calibri" w:hAnsi="Calibri" w:cs="Calibri"/>
          <w:color w:val="000000" w:themeColor="text1"/>
          <w:sz w:val="24"/>
          <w:szCs w:val="24"/>
          <w:lang w:val="en-GB"/>
        </w:rPr>
        <w:t>. London: Routledge.</w:t>
      </w:r>
    </w:p>
    <w:p w14:paraId="658E4B37" w14:textId="02D58E82"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Tripp, D. (2011). </w:t>
      </w:r>
      <w:r w:rsidRPr="185171D4">
        <w:rPr>
          <w:rFonts w:ascii="Calibri" w:eastAsia="Calibri" w:hAnsi="Calibri" w:cs="Calibri"/>
          <w:i/>
          <w:iCs/>
          <w:color w:val="000000" w:themeColor="text1"/>
          <w:sz w:val="24"/>
          <w:szCs w:val="24"/>
          <w:lang w:val="en-GB"/>
        </w:rPr>
        <w:t>Critical Incidents in Teaching: Developing Professional Judgement</w:t>
      </w:r>
      <w:r w:rsidRPr="185171D4">
        <w:rPr>
          <w:rFonts w:ascii="Calibri" w:eastAsia="Calibri" w:hAnsi="Calibri" w:cs="Calibri"/>
          <w:color w:val="000000" w:themeColor="text1"/>
          <w:sz w:val="24"/>
          <w:szCs w:val="24"/>
          <w:lang w:val="en-GB"/>
        </w:rPr>
        <w:t xml:space="preserve"> [Classic Edition]. Routledge: Taylor and Francis Group.Vancouver.</w:t>
      </w:r>
    </w:p>
    <w:p w14:paraId="1BF819E0" w14:textId="5C815BAF"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Welsh Government. (2017). </w:t>
      </w:r>
      <w:r w:rsidRPr="185171D4">
        <w:rPr>
          <w:rFonts w:ascii="Calibri" w:eastAsia="Calibri" w:hAnsi="Calibri" w:cs="Calibri"/>
          <w:i/>
          <w:iCs/>
          <w:color w:val="000000" w:themeColor="text1"/>
          <w:sz w:val="24"/>
          <w:szCs w:val="24"/>
          <w:lang w:val="en-GB"/>
        </w:rPr>
        <w:t>Professional standards for teaching and leadership</w:t>
      </w:r>
      <w:r w:rsidRPr="185171D4">
        <w:rPr>
          <w:rFonts w:ascii="Calibri" w:eastAsia="Calibri" w:hAnsi="Calibri" w:cs="Calibri"/>
          <w:color w:val="000000" w:themeColor="text1"/>
          <w:sz w:val="24"/>
          <w:szCs w:val="24"/>
          <w:lang w:val="en-GB"/>
        </w:rPr>
        <w:t>.</w:t>
      </w:r>
    </w:p>
    <w:p w14:paraId="35E07814" w14:textId="43638CF8"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Weaver, R.R. and Qi, J., (2005). Classroom organization and participation: College students' perceptions. </w:t>
      </w:r>
      <w:r w:rsidRPr="185171D4">
        <w:rPr>
          <w:rFonts w:ascii="Calibri" w:eastAsia="Calibri" w:hAnsi="Calibri" w:cs="Calibri"/>
          <w:i/>
          <w:iCs/>
          <w:color w:val="000000" w:themeColor="text1"/>
          <w:sz w:val="24"/>
          <w:szCs w:val="24"/>
          <w:lang w:val="en-GB"/>
        </w:rPr>
        <w:t>Journal of Higher Education</w:t>
      </w:r>
      <w:r w:rsidRPr="185171D4">
        <w:rPr>
          <w:rFonts w:ascii="Calibri" w:eastAsia="Calibri" w:hAnsi="Calibri" w:cs="Calibri"/>
          <w:color w:val="000000" w:themeColor="text1"/>
          <w:sz w:val="24"/>
          <w:szCs w:val="24"/>
          <w:lang w:val="en-GB"/>
        </w:rPr>
        <w:t>, 570-601.</w:t>
      </w:r>
    </w:p>
    <w:p w14:paraId="690F83F9" w14:textId="7413F728"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Welsh Government. (2017). </w:t>
      </w:r>
      <w:r w:rsidRPr="185171D4">
        <w:rPr>
          <w:rFonts w:ascii="Calibri" w:eastAsia="Calibri" w:hAnsi="Calibri" w:cs="Calibri"/>
          <w:i/>
          <w:iCs/>
          <w:color w:val="000000" w:themeColor="text1"/>
          <w:sz w:val="24"/>
          <w:szCs w:val="24"/>
          <w:lang w:val="en-GB"/>
        </w:rPr>
        <w:t>Professional standards for teaching and leadership</w:t>
      </w:r>
      <w:r w:rsidRPr="185171D4">
        <w:rPr>
          <w:rFonts w:ascii="Calibri" w:eastAsia="Calibri" w:hAnsi="Calibri" w:cs="Calibri"/>
          <w:color w:val="000000" w:themeColor="text1"/>
          <w:sz w:val="24"/>
          <w:szCs w:val="24"/>
          <w:lang w:val="en-GB"/>
        </w:rPr>
        <w:t>.</w:t>
      </w:r>
    </w:p>
    <w:p w14:paraId="39C6C9DB" w14:textId="1CDE22E3" w:rsidR="00DE2E7C" w:rsidRDefault="624E2544" w:rsidP="185171D4">
      <w:pPr>
        <w:spacing w:before="240" w:after="240" w:line="480" w:lineRule="auto"/>
        <w:rPr>
          <w:rFonts w:ascii="Calibri" w:eastAsia="Calibri" w:hAnsi="Calibri" w:cs="Calibri"/>
          <w:color w:val="000000" w:themeColor="text1"/>
          <w:sz w:val="24"/>
          <w:szCs w:val="24"/>
        </w:rPr>
      </w:pPr>
      <w:r w:rsidRPr="185171D4">
        <w:rPr>
          <w:rFonts w:ascii="Calibri" w:eastAsia="Calibri" w:hAnsi="Calibri" w:cs="Calibri"/>
          <w:color w:val="000000" w:themeColor="text1"/>
          <w:sz w:val="24"/>
          <w:szCs w:val="24"/>
          <w:lang w:val="en-GB"/>
        </w:rPr>
        <w:t xml:space="preserve">Zwozdiak-Myers, P.N., (2018). </w:t>
      </w:r>
      <w:r w:rsidRPr="185171D4">
        <w:rPr>
          <w:rFonts w:ascii="Calibri" w:eastAsia="Calibri" w:hAnsi="Calibri" w:cs="Calibri"/>
          <w:i/>
          <w:iCs/>
          <w:color w:val="000000" w:themeColor="text1"/>
          <w:sz w:val="24"/>
          <w:szCs w:val="24"/>
          <w:lang w:val="en-GB"/>
        </w:rPr>
        <w:t>The teacher's reflective practice handbook: Becoming an extended professional through capturing evidence-informed practice</w:t>
      </w:r>
      <w:r w:rsidRPr="185171D4">
        <w:rPr>
          <w:rFonts w:ascii="Calibri" w:eastAsia="Calibri" w:hAnsi="Calibri" w:cs="Calibri"/>
          <w:color w:val="000000" w:themeColor="text1"/>
          <w:sz w:val="24"/>
          <w:szCs w:val="24"/>
          <w:lang w:val="en-GB"/>
        </w:rPr>
        <w:t>. Routledge</w:t>
      </w:r>
    </w:p>
    <w:p w14:paraId="3D21F135" w14:textId="01228DE9" w:rsidR="00DE2E7C" w:rsidRDefault="00DE2E7C" w:rsidP="185171D4">
      <w:pPr>
        <w:spacing w:line="480" w:lineRule="auto"/>
        <w:rPr>
          <w:rFonts w:ascii="Calibri" w:eastAsia="Calibri" w:hAnsi="Calibri" w:cs="Calibri"/>
          <w:color w:val="000000" w:themeColor="text1"/>
          <w:sz w:val="24"/>
          <w:szCs w:val="24"/>
        </w:rPr>
      </w:pPr>
    </w:p>
    <w:p w14:paraId="2C078E63" w14:textId="02F086F5" w:rsidR="00DE2E7C" w:rsidRDefault="00DE2E7C" w:rsidP="185171D4">
      <w:pPr>
        <w:spacing w:line="480" w:lineRule="auto"/>
      </w:pPr>
    </w:p>
    <w:sectPr w:rsidR="00DE2E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9/jDyAX31qBd8f" int2:id="EBD4R2um">
      <int2:state int2:value="Rejected" int2:type="AugLoop_Text_Critique"/>
    </int2:textHash>
    <int2:textHash int2:hashCode="e51ys+DpffU6eg" int2:id="XDDYzDMr">
      <int2:state int2:value="Rejected" int2:type="AugLoop_Text_Critique"/>
    </int2:textHash>
    <int2:textHash int2:hashCode="6Owx4DmjcBCpIG" int2:id="zzgklyVg">
      <int2:state int2:value="Rejected" int2:type="AugLoop_Text_Critique"/>
    </int2:textHash>
    <int2:textHash int2:hashCode="m+DSbdZLgeGb0y" int2:id="7VkdRfnV">
      <int2:state int2:value="Rejected" int2:type="AugLoop_Text_Critique"/>
    </int2:textHash>
    <int2:textHash int2:hashCode="JjdeaIzQ1yav/t" int2:id="gvAj0sa2">
      <int2:state int2:value="Rejected" int2:type="AugLoop_Text_Critique"/>
    </int2:textHash>
    <int2:textHash int2:hashCode="SxcsPuMqm36Ohe" int2:id="mqItOQHi">
      <int2:state int2:value="Rejected" int2:type="AugLoop_Text_Critique"/>
    </int2:textHash>
    <int2:textHash int2:hashCode="7N0Bsnb5cw7/O3" int2:id="Usg0Z7PX">
      <int2:state int2:value="Rejected" int2:type="AugLoop_Text_Critique"/>
    </int2:textHash>
    <int2:textHash int2:hashCode="2FKwWswRn9j66Q" int2:id="s8fidyxa">
      <int2:state int2:value="Rejected" int2:type="AugLoop_Text_Critique"/>
    </int2:textHash>
    <int2:textHash int2:hashCode="TaUNCpEh0sOBot" int2:id="EnkcR0BB">
      <int2:state int2:value="Rejected" int2:type="AugLoop_Text_Critique"/>
    </int2:textHash>
    <int2:textHash int2:hashCode="NinKQcda3j302u" int2:id="0dYPDLjS">
      <int2:state int2:value="Rejected" int2:type="AugLoop_Text_Critique"/>
    </int2:textHash>
    <int2:textHash int2:hashCode="rxkI5rUi2yWMqO" int2:id="xkGIHsHp">
      <int2:state int2:value="Rejected" int2:type="AugLoop_Text_Critique"/>
    </int2:textHash>
    <int2:textHash int2:hashCode="gwouxI3Rbi35qL" int2:id="ZAnXr0dL">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E5E853"/>
    <w:rsid w:val="00093E46"/>
    <w:rsid w:val="0079B2DE"/>
    <w:rsid w:val="00DE2E7C"/>
    <w:rsid w:val="02F486B5"/>
    <w:rsid w:val="032FE87B"/>
    <w:rsid w:val="03337589"/>
    <w:rsid w:val="03CCC466"/>
    <w:rsid w:val="0508AD93"/>
    <w:rsid w:val="07CD6040"/>
    <w:rsid w:val="0884400D"/>
    <w:rsid w:val="08870D2C"/>
    <w:rsid w:val="09967EDF"/>
    <w:rsid w:val="0A81D1BA"/>
    <w:rsid w:val="0AB91BAF"/>
    <w:rsid w:val="0B1FE434"/>
    <w:rsid w:val="0B9D0A0F"/>
    <w:rsid w:val="0C1DA21B"/>
    <w:rsid w:val="0D5A7E4F"/>
    <w:rsid w:val="0DC3BCE7"/>
    <w:rsid w:val="124974B4"/>
    <w:rsid w:val="13E54515"/>
    <w:rsid w:val="13EAAD7D"/>
    <w:rsid w:val="152FCF18"/>
    <w:rsid w:val="185171D4"/>
    <w:rsid w:val="18B8B638"/>
    <w:rsid w:val="1B96657C"/>
    <w:rsid w:val="2102D0B6"/>
    <w:rsid w:val="211147B0"/>
    <w:rsid w:val="21BDE6DA"/>
    <w:rsid w:val="2206725B"/>
    <w:rsid w:val="23062D21"/>
    <w:rsid w:val="25B63AFA"/>
    <w:rsid w:val="299461D9"/>
    <w:rsid w:val="2A7297E9"/>
    <w:rsid w:val="2B45B533"/>
    <w:rsid w:val="2F46090C"/>
    <w:rsid w:val="33C788C8"/>
    <w:rsid w:val="35051DC6"/>
    <w:rsid w:val="38D92B5D"/>
    <w:rsid w:val="3A1ACDBB"/>
    <w:rsid w:val="3ADDA1E3"/>
    <w:rsid w:val="3C6D24B2"/>
    <w:rsid w:val="3DAC9C80"/>
    <w:rsid w:val="40CC6FBD"/>
    <w:rsid w:val="414CE367"/>
    <w:rsid w:val="41BC6F60"/>
    <w:rsid w:val="434AEB2D"/>
    <w:rsid w:val="43583FC1"/>
    <w:rsid w:val="441BDE04"/>
    <w:rsid w:val="44F41022"/>
    <w:rsid w:val="4920CBD0"/>
    <w:rsid w:val="49E5E853"/>
    <w:rsid w:val="4CF824DD"/>
    <w:rsid w:val="4E9D5AE0"/>
    <w:rsid w:val="4F9CBE6C"/>
    <w:rsid w:val="51388ECD"/>
    <w:rsid w:val="53832AD0"/>
    <w:rsid w:val="54A29579"/>
    <w:rsid w:val="55FB6729"/>
    <w:rsid w:val="56B41BB5"/>
    <w:rsid w:val="5B7BDDE8"/>
    <w:rsid w:val="5BD665CC"/>
    <w:rsid w:val="5D1D3357"/>
    <w:rsid w:val="5D6FD84D"/>
    <w:rsid w:val="5EC3C787"/>
    <w:rsid w:val="5F97EFA7"/>
    <w:rsid w:val="604F4F0B"/>
    <w:rsid w:val="61723A8F"/>
    <w:rsid w:val="6179FD24"/>
    <w:rsid w:val="61EB1F6C"/>
    <w:rsid w:val="624E2544"/>
    <w:rsid w:val="652AADB4"/>
    <w:rsid w:val="65697D85"/>
    <w:rsid w:val="6799535E"/>
    <w:rsid w:val="68624E76"/>
    <w:rsid w:val="68E8F177"/>
    <w:rsid w:val="69FE1ED7"/>
    <w:rsid w:val="6AEF7CA7"/>
    <w:rsid w:val="6BC2311F"/>
    <w:rsid w:val="6C6BBB19"/>
    <w:rsid w:val="6C6EEF90"/>
    <w:rsid w:val="6CC1C3E4"/>
    <w:rsid w:val="6D35BF99"/>
    <w:rsid w:val="6E0DF1B7"/>
    <w:rsid w:val="73A5011D"/>
    <w:rsid w:val="747D333B"/>
    <w:rsid w:val="79ACB469"/>
    <w:rsid w:val="7C09DB35"/>
    <w:rsid w:val="7E211591"/>
    <w:rsid w:val="7F510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5E853"/>
  <w15:chartTrackingRefBased/>
  <w15:docId w15:val="{CDC498F1-59C4-4B2B-8BAA-4F4A7A96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4151</Words>
  <Characters>23662</Characters>
  <Application>Microsoft Office Word</Application>
  <DocSecurity>0</DocSecurity>
  <Lines>197</Lines>
  <Paragraphs>55</Paragraphs>
  <ScaleCrop>false</ScaleCrop>
  <Company/>
  <LinksUpToDate>false</LinksUpToDate>
  <CharactersWithSpaces>27758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Sumayyah Islam (2318487)</dc:creator>
  <cp:keywords/>
  <dc:description/>
  <cp:lastModifiedBy>Sumayyah Islam</cp:lastModifiedBy>
  <cp:revision>2</cp:revision>
  <dcterms:created xsi:type="dcterms:W3CDTF">2024-01-09T00:39:00Z</dcterms:created>
  <dcterms:modified xsi:type="dcterms:W3CDTF">2024-01-09T00:39:00Z</dcterms:modified>
</cp:coreProperties>
</file>